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trike w:val="0"/>
          <w:sz w:val="28"/>
        </w:rPr>
        <w:t>3.2.1-rasm (namuna)</w:t>
      </w:r>
    </w:p>
    <w:p>
      <w:pPr>
        <w:jc w:val="center"/>
      </w:pPr>
      <w:r xmlns:a="http://schemas.openxmlformats.org/drawingml/2006/main" xmlns:c="http://schemas.openxmlformats.org/drawingml/2006/chart">
        <w:rPr>
          <w:noProof/>
        </w:rPr>
        <w:drawing>
          <wp:inline distT="0" distB="0" distL="0" distR="0">
            <wp:extent cx="5760000" cy="3420000"/>
            <wp:effectExtent l="0" t="0" r="0" b="0"/>
            <wp:docPr id="1001" name="3.2.1-rasm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>
      <w:pPr>
        <w:jc w:val="left"/>
      </w:pPr>
      <w:r>
        <w:rPr>
          <w:b w:val="0"/>
          <w:strike w:val="0"/>
          <w:color w:val="FF0000"/>
          <w:sz w:val="22"/>
        </w:rPr>
        <w:t>Izoh: * – logit usulida baholanmagan, tayanch vazni saqlangan (shtrixli ustunlar); empirik o‘rtacha entropiya, variatsiya koeffitsiyenti va bosh komponentlar usullari bo‘yicha hisoblangan.</w:t>
      </w:r>
    </w:p>
    <w:p>
      <w:pPr>
        <w:jc w:val="center"/>
      </w:pPr>
      <w:r>
        <w:rPr>
          <w:b/>
          <w:strike w:val="0"/>
          <w:sz w:val="28"/>
        </w:rPr>
        <w:t>3.2.1-rasm. Integral indeks bloklarining tayanch va empirik vaznlari</w:t>
      </w:r>
    </w:p>
    <w:p/>
    <w:p>
      <w:pPr>
        <w:jc w:val="both"/>
      </w:pPr>
      <w:r>
        <w:rPr>
          <w:b/>
          <w:strike w:val="0"/>
          <w:sz w:val="24"/>
        </w:rPr>
        <w:t>Matndagi o‘zgarishlar:</w:t>
      </w:r>
    </w:p>
    <w:p>
      <w:pPr>
        <w:jc w:val="both"/>
      </w:pPr>
      <w:r>
        <w:rPr>
          <w:b w:val="0"/>
          <w:strike w:val="0"/>
          <w:sz w:val="24"/>
        </w:rPr>
        <w:t xml:space="preserve">1) Rasmdan oldingi xatboshida: </w:t>
      </w:r>
      <w:r>
        <w:rPr>
          <w:b w:val="0"/>
          <w:strike/>
          <w:color w:val="7F7F7F"/>
          <w:sz w:val="24"/>
        </w:rPr>
        <w:t>Eng katta farq likvidlik va daromadlilik bloklarida kuzatiladi:</w:t>
      </w:r>
      <w:r>
        <w:rPr>
          <w:b w:val="0"/>
          <w:strike w:val="0"/>
          <w:sz w:val="24"/>
        </w:rPr>
        <w:t xml:space="preserve"> → </w:t>
      </w:r>
      <w:r>
        <w:rPr>
          <w:b w:val="0"/>
          <w:strike w:val="0"/>
          <w:color w:val="FF0000"/>
          <w:sz w:val="24"/>
        </w:rPr>
        <w:t>Likvidlik va daromadlilik bloklarida ham sezilarli farq kuzatiladi:</w:t>
      </w:r>
    </w:p>
    <w:p>
      <w:pPr>
        <w:jc w:val="both"/>
      </w:pPr>
      <w:r>
        <w:rPr>
          <w:b w:val="0"/>
          <w:strike w:val="0"/>
          <w:sz w:val="24"/>
        </w:rPr>
        <w:t xml:space="preserve">2) Rasmdan keyingi xatboshida: Rasmdan ko‘rinib turibdiki, </w:t>
      </w:r>
      <w:r>
        <w:rPr>
          <w:b w:val="0"/>
          <w:strike/>
          <w:color w:val="7F7F7F"/>
          <w:sz w:val="24"/>
        </w:rPr>
        <w:t>usullar o‘rtasidagi farq asosan likvidlik va daromadlilik bloklariga tegishli.</w:t>
      </w:r>
      <w:r>
        <w:rPr>
          <w:b w:val="0"/>
          <w:strike w:val="0"/>
          <w:sz w:val="24"/>
        </w:rPr>
        <w:t xml:space="preserve"> → </w:t>
      </w:r>
      <w:r>
        <w:rPr>
          <w:b w:val="0"/>
          <w:strike w:val="0"/>
          <w:color w:val="FF0000"/>
          <w:sz w:val="24"/>
        </w:rPr>
        <w:t>usullar o‘rtasidagi farq asosan kapital, likvidlik va daromadlilik bloklariga tegishli.</w:t>
      </w:r>
    </w:p>
    <w:p>
      <w:pPr>
        <w:jc w:val="both"/>
      </w:pPr>
      <w:r>
        <w:rPr>
          <w:b w:val="0"/>
          <w:strike w:val="0"/>
          <w:sz w:val="24"/>
        </w:rPr>
        <w:t>Asos: empirik o‘rtachaning tayanch vazndan farqi – daromadlilik 0,23, kapital 0,17, likvidlik 0,12, valyuta riski 0,06, aktivlar sifati 0,00.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uz-Latn-UZ"/>
  <c:roundedCorners val="0"/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Tayanch</c:v>
                </c:pt>
              </c:strCache>
            </c:strRef>
          </c:tx>
          <c:spPr>
            <a:solidFill>
              <a:srgbClr val="1F4E79"/>
            </a:solidFill>
            <a:ln w="6350">
              <a:solidFill>
                <a:srgbClr val="FFFFFF"/>
              </a:solidFill>
            </a:ln>
          </c:spPr>
          <c:invertIfNegative val="0"/>
          <c:dLbls>
            <c:dLbl>
              <c:idx val="0"/>
              <c:tx>
                <c:rich>
                  <a:bodyPr rot="-5400000" vert="horz" wrap="none"/>
                  <a:lstStyle/>
                  <a:p>
                    <a:pPr>
                      <a:defRPr sz="850" b="1">
                        <a:solidFill>
                          <a:srgbClr val="000000"/>
                        </a:solidFill>
                        <a:latin typeface="Times New Roman"/>
                        <a:cs typeface="Times New Roman"/>
                      </a:defRPr>
                    </a:pPr>
                    <a:r>
                      <a:rPr lang="uz-Latn-UZ" sz="850" b="1">
                        <a:solidFill>
                          <a:srgbClr val="000000"/>
                        </a:solidFill>
                        <a:latin typeface="Times New Roman"/>
                        <a:cs typeface="Times New Roman"/>
                      </a:rPr>
                      <a:t>0,25</a:t>
                    </a:r>
                  </a:p>
                </c:rich>
              </c:tx>
              <c:spPr>
                <a:noFill/>
                <a:ln>
                  <a:noFill/>
                </a:ln>
              </c:spPr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"/>
              <c:tx>
                <c:rich>
                  <a:bodyPr rot="-5400000" vert="horz" wrap="none"/>
                  <a:lstStyle/>
                  <a:p>
                    <a:pPr>
                      <a:defRPr sz="850" b="1">
                        <a:solidFill>
                          <a:srgbClr val="000000"/>
                        </a:solidFill>
                        <a:latin typeface="Times New Roman"/>
                        <a:cs typeface="Times New Roman"/>
                      </a:defRPr>
                    </a:pPr>
                    <a:r>
                      <a:rPr lang="uz-Latn-UZ" sz="850" b="1">
                        <a:solidFill>
                          <a:srgbClr val="000000"/>
                        </a:solidFill>
                        <a:latin typeface="Times New Roman"/>
                        <a:cs typeface="Times New Roman"/>
                      </a:rPr>
                      <a:t>0,30</a:t>
                    </a:r>
                  </a:p>
                </c:rich>
              </c:tx>
              <c:spPr>
                <a:noFill/>
                <a:ln>
                  <a:noFill/>
                </a:ln>
              </c:spPr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"/>
              <c:tx>
                <c:rich>
                  <a:bodyPr rot="-5400000" vert="horz" wrap="none"/>
                  <a:lstStyle/>
                  <a:p>
                    <a:pPr>
                      <a:defRPr sz="850" b="1">
                        <a:solidFill>
                          <a:srgbClr val="000000"/>
                        </a:solidFill>
                        <a:latin typeface="Times New Roman"/>
                        <a:cs typeface="Times New Roman"/>
                      </a:defRPr>
                    </a:pPr>
                    <a:r>
                      <a:rPr lang="uz-Latn-UZ" sz="850" b="1">
                        <a:solidFill>
                          <a:srgbClr val="000000"/>
                        </a:solidFill>
                        <a:latin typeface="Times New Roman"/>
                        <a:cs typeface="Times New Roman"/>
                      </a:rPr>
                      <a:t>0,20</a:t>
                    </a:r>
                  </a:p>
                </c:rich>
              </c:tx>
              <c:spPr>
                <a:noFill/>
                <a:ln>
                  <a:noFill/>
                </a:ln>
              </c:spPr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"/>
              <c:tx>
                <c:rich>
                  <a:bodyPr rot="-5400000" vert="horz" wrap="none"/>
                  <a:lstStyle/>
                  <a:p>
                    <a:pPr>
                      <a:defRPr sz="850" b="1">
                        <a:solidFill>
                          <a:srgbClr val="000000"/>
                        </a:solidFill>
                        <a:latin typeface="Times New Roman"/>
                        <a:cs typeface="Times New Roman"/>
                      </a:defRPr>
                    </a:pPr>
                    <a:r>
                      <a:rPr lang="uz-Latn-UZ" sz="850" b="1">
                        <a:solidFill>
                          <a:srgbClr val="000000"/>
                        </a:solidFill>
                        <a:latin typeface="Times New Roman"/>
                        <a:cs typeface="Times New Roman"/>
                      </a:rPr>
                      <a:t>0,15</a:t>
                    </a:r>
                  </a:p>
                </c:rich>
              </c:tx>
              <c:spPr>
                <a:noFill/>
                <a:ln>
                  <a:noFill/>
                </a:ln>
              </c:spPr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"/>
              <c:tx>
                <c:rich>
                  <a:bodyPr rot="-5400000" vert="horz" wrap="none"/>
                  <a:lstStyle/>
                  <a:p>
                    <a:pPr>
                      <a:defRPr sz="850" b="1">
                        <a:solidFill>
                          <a:srgbClr val="000000"/>
                        </a:solidFill>
                        <a:latin typeface="Times New Roman"/>
                        <a:cs typeface="Times New Roman"/>
                      </a:defRPr>
                    </a:pPr>
                    <a:r>
                      <a:rPr lang="uz-Latn-UZ" sz="850" b="1">
                        <a:solidFill>
                          <a:srgbClr val="000000"/>
                        </a:solidFill>
                        <a:latin typeface="Times New Roman"/>
                        <a:cs typeface="Times New Roman"/>
                      </a:rPr>
                      <a:t>0,10</a:t>
                    </a:r>
                  </a:p>
                </c:rich>
              </c:tx>
              <c:spPr>
                <a:noFill/>
                <a:ln>
                  <a:noFill/>
                </a:ln>
              </c:spPr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</c:dLbl>
            <c:showLegendKey val="0"/>
            <c:showVal val="0"/>
            <c:showCatName val="0"/>
            <c:showSerName val="0"/>
            <c:showPercent val="0"/>
            <c:showBubbleSize val="0"/>
          </c:dLbls>
          <c:cat>
            <c:strRef>
              <c:f>Sheet1!$A$2:$A$6</c:f>
              <c:strCache>
                <c:ptCount val="5"/>
                <c:pt idx="0">
                  <c:v>Kapital</c:v>
                </c:pt>
                <c:pt idx="1">
                  <c:v>Aktivlar sifati</c:v>
                </c:pt>
                <c:pt idx="2">
                  <c:v>Likvidlik</c:v>
                </c:pt>
                <c:pt idx="3">
                  <c:v>Daromadlilik</c:v>
                </c:pt>
                <c:pt idx="4">
                  <c:v>Valyuta riski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0.25</c:v>
                </c:pt>
                <c:pt idx="1">
                  <c:v>0.3</c:v>
                </c:pt>
                <c:pt idx="2">
                  <c:v>0.2</c:v>
                </c:pt>
                <c:pt idx="3">
                  <c:v>0.15</c:v>
                </c:pt>
                <c:pt idx="4">
                  <c:v>0.1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Entropiya</c:v>
                </c:pt>
              </c:strCache>
            </c:strRef>
          </c:tx>
          <c:spPr>
            <a:solidFill>
              <a:srgbClr val="ED7D31"/>
            </a:solidFill>
            <a:ln w="6350">
              <a:solidFill>
                <a:srgbClr val="FFFFFF"/>
              </a:solidFill>
            </a:ln>
          </c:spPr>
          <c:invertIfNegative val="0"/>
          <c:dLbls>
            <c:dLbl>
              <c:idx val="0"/>
              <c:tx>
                <c:rich>
                  <a:bodyPr rot="-5400000" vert="horz" wrap="none"/>
                  <a:lstStyle/>
                  <a:p>
                    <a:pPr>
                      <a:defRPr sz="850" b="1">
                        <a:solidFill>
                          <a:srgbClr val="000000"/>
                        </a:solidFill>
                        <a:latin typeface="Times New Roman"/>
                        <a:cs typeface="Times New Roman"/>
                      </a:defRPr>
                    </a:pPr>
                    <a:r>
                      <a:rPr lang="uz-Latn-UZ" sz="850" b="1">
                        <a:solidFill>
                          <a:srgbClr val="000000"/>
                        </a:solidFill>
                        <a:latin typeface="Times New Roman"/>
                        <a:cs typeface="Times New Roman"/>
                      </a:rPr>
                      <a:t>0,02</a:t>
                    </a:r>
                  </a:p>
                </c:rich>
              </c:tx>
              <c:spPr>
                <a:noFill/>
                <a:ln>
                  <a:noFill/>
                </a:ln>
              </c:spPr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"/>
              <c:tx>
                <c:rich>
                  <a:bodyPr rot="-5400000" vert="horz" wrap="none"/>
                  <a:lstStyle/>
                  <a:p>
                    <a:pPr>
                      <a:defRPr sz="850" b="1">
                        <a:solidFill>
                          <a:srgbClr val="000000"/>
                        </a:solidFill>
                        <a:latin typeface="Times New Roman"/>
                        <a:cs typeface="Times New Roman"/>
                      </a:defRPr>
                    </a:pPr>
                    <a:r>
                      <a:rPr lang="uz-Latn-UZ" sz="850" b="1">
                        <a:solidFill>
                          <a:srgbClr val="000000"/>
                        </a:solidFill>
                        <a:latin typeface="Times New Roman"/>
                        <a:cs typeface="Times New Roman"/>
                      </a:rPr>
                      <a:t>0,32</a:t>
                    </a:r>
                  </a:p>
                </c:rich>
              </c:tx>
              <c:spPr>
                <a:noFill/>
                <a:ln>
                  <a:noFill/>
                </a:ln>
              </c:spPr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"/>
              <c:tx>
                <c:rich>
                  <a:bodyPr rot="-5400000" vert="horz" wrap="none"/>
                  <a:lstStyle/>
                  <a:p>
                    <a:pPr>
                      <a:defRPr sz="850" b="1">
                        <a:solidFill>
                          <a:srgbClr val="000000"/>
                        </a:solidFill>
                        <a:latin typeface="Times New Roman"/>
                        <a:cs typeface="Times New Roman"/>
                      </a:defRPr>
                    </a:pPr>
                    <a:r>
                      <a:rPr lang="uz-Latn-UZ" sz="850" b="1">
                        <a:solidFill>
                          <a:srgbClr val="000000"/>
                        </a:solidFill>
                        <a:latin typeface="Times New Roman"/>
                        <a:cs typeface="Times New Roman"/>
                      </a:rPr>
                      <a:t>0,03</a:t>
                    </a:r>
                  </a:p>
                </c:rich>
              </c:tx>
              <c:spPr>
                <a:noFill/>
                <a:ln>
                  <a:noFill/>
                </a:ln>
              </c:spPr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"/>
              <c:tx>
                <c:rich>
                  <a:bodyPr rot="-5400000" vert="horz" wrap="none"/>
                  <a:lstStyle/>
                  <a:p>
                    <a:pPr>
                      <a:defRPr sz="850" b="1">
                        <a:solidFill>
                          <a:srgbClr val="000000"/>
                        </a:solidFill>
                        <a:latin typeface="Times New Roman"/>
                        <a:cs typeface="Times New Roman"/>
                      </a:defRPr>
                    </a:pPr>
                    <a:r>
                      <a:rPr lang="uz-Latn-UZ" sz="850" b="1">
                        <a:solidFill>
                          <a:srgbClr val="000000"/>
                        </a:solidFill>
                        <a:latin typeface="Times New Roman"/>
                        <a:cs typeface="Times New Roman"/>
                      </a:rPr>
                      <a:t>0,46</a:t>
                    </a:r>
                  </a:p>
                </c:rich>
              </c:tx>
              <c:spPr>
                <a:noFill/>
                <a:ln>
                  <a:noFill/>
                </a:ln>
              </c:spPr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"/>
              <c:tx>
                <c:rich>
                  <a:bodyPr rot="-5400000" vert="horz" wrap="none"/>
                  <a:lstStyle/>
                  <a:p>
                    <a:pPr>
                      <a:defRPr sz="850" b="1">
                        <a:solidFill>
                          <a:srgbClr val="000000"/>
                        </a:solidFill>
                        <a:latin typeface="Times New Roman"/>
                        <a:cs typeface="Times New Roman"/>
                      </a:defRPr>
                    </a:pPr>
                    <a:r>
                      <a:rPr lang="uz-Latn-UZ" sz="850" b="1">
                        <a:solidFill>
                          <a:srgbClr val="000000"/>
                        </a:solidFill>
                        <a:latin typeface="Times New Roman"/>
                        <a:cs typeface="Times New Roman"/>
                      </a:rPr>
                      <a:t>0,17</a:t>
                    </a:r>
                  </a:p>
                </c:rich>
              </c:tx>
              <c:spPr>
                <a:noFill/>
                <a:ln>
                  <a:noFill/>
                </a:ln>
              </c:spPr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</c:dLbl>
            <c:showLegendKey val="0"/>
            <c:showVal val="0"/>
            <c:showCatName val="0"/>
            <c:showSerName val="0"/>
            <c:showPercent val="0"/>
            <c:showBubbleSize val="0"/>
          </c:dLbls>
          <c:cat>
            <c:strRef>
              <c:f>Sheet1!$A$2:$A$6</c:f>
              <c:strCache>
                <c:ptCount val="5"/>
                <c:pt idx="0">
                  <c:v>Kapital</c:v>
                </c:pt>
                <c:pt idx="1">
                  <c:v>Aktivlar sifati</c:v>
                </c:pt>
                <c:pt idx="2">
                  <c:v>Likvidlik</c:v>
                </c:pt>
                <c:pt idx="3">
                  <c:v>Daromadlilik</c:v>
                </c:pt>
                <c:pt idx="4">
                  <c:v>Valyuta riski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0.02</c:v>
                </c:pt>
                <c:pt idx="1">
                  <c:v>0.32</c:v>
                </c:pt>
                <c:pt idx="2">
                  <c:v>0.03</c:v>
                </c:pt>
                <c:pt idx="3">
                  <c:v>0.46</c:v>
                </c:pt>
                <c:pt idx="4">
                  <c:v>0.17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Variatsiya koeffitsiyenti</c:v>
                </c:pt>
              </c:strCache>
            </c:strRef>
          </c:tx>
          <c:spPr>
            <a:solidFill>
              <a:srgbClr val="5B9BD5"/>
            </a:solidFill>
            <a:ln w="6350">
              <a:solidFill>
                <a:srgbClr val="FFFFFF"/>
              </a:solidFill>
            </a:ln>
          </c:spPr>
          <c:invertIfNegative val="0"/>
          <c:dLbls>
            <c:dLbl>
              <c:idx val="0"/>
              <c:tx>
                <c:rich>
                  <a:bodyPr rot="-5400000" vert="horz" wrap="none"/>
                  <a:lstStyle/>
                  <a:p>
                    <a:pPr>
                      <a:defRPr sz="850" b="1">
                        <a:solidFill>
                          <a:srgbClr val="000000"/>
                        </a:solidFill>
                        <a:latin typeface="Times New Roman"/>
                        <a:cs typeface="Times New Roman"/>
                      </a:defRPr>
                    </a:pPr>
                    <a:r>
                      <a:rPr lang="uz-Latn-UZ" sz="850" b="1">
                        <a:solidFill>
                          <a:srgbClr val="000000"/>
                        </a:solidFill>
                        <a:latin typeface="Times New Roman"/>
                        <a:cs typeface="Times New Roman"/>
                      </a:rPr>
                      <a:t>0,07</a:t>
                    </a:r>
                  </a:p>
                </c:rich>
              </c:tx>
              <c:spPr>
                <a:noFill/>
                <a:ln>
                  <a:noFill/>
                </a:ln>
              </c:spPr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"/>
              <c:tx>
                <c:rich>
                  <a:bodyPr rot="-5400000" vert="horz" wrap="none"/>
                  <a:lstStyle/>
                  <a:p>
                    <a:pPr>
                      <a:defRPr sz="850" b="1">
                        <a:solidFill>
                          <a:srgbClr val="000000"/>
                        </a:solidFill>
                        <a:latin typeface="Times New Roman"/>
                        <a:cs typeface="Times New Roman"/>
                      </a:defRPr>
                    </a:pPr>
                    <a:r>
                      <a:rPr lang="uz-Latn-UZ" sz="850" b="1">
                        <a:solidFill>
                          <a:srgbClr val="000000"/>
                        </a:solidFill>
                        <a:latin typeface="Times New Roman"/>
                        <a:cs typeface="Times New Roman"/>
                      </a:rPr>
                      <a:t>0,32</a:t>
                    </a:r>
                  </a:p>
                </c:rich>
              </c:tx>
              <c:spPr>
                <a:noFill/>
                <a:ln>
                  <a:noFill/>
                </a:ln>
              </c:spPr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"/>
              <c:tx>
                <c:rich>
                  <a:bodyPr rot="-5400000" vert="horz" wrap="none"/>
                  <a:lstStyle/>
                  <a:p>
                    <a:pPr>
                      <a:defRPr sz="850" b="1">
                        <a:solidFill>
                          <a:srgbClr val="000000"/>
                        </a:solidFill>
                        <a:latin typeface="Times New Roman"/>
                        <a:cs typeface="Times New Roman"/>
                      </a:defRPr>
                    </a:pPr>
                    <a:r>
                      <a:rPr lang="uz-Latn-UZ" sz="850" b="1">
                        <a:solidFill>
                          <a:srgbClr val="000000"/>
                        </a:solidFill>
                        <a:latin typeface="Times New Roman"/>
                        <a:cs typeface="Times New Roman"/>
                      </a:rPr>
                      <a:t>0,06</a:t>
                    </a:r>
                  </a:p>
                </c:rich>
              </c:tx>
              <c:spPr>
                <a:noFill/>
                <a:ln>
                  <a:noFill/>
                </a:ln>
              </c:spPr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"/>
              <c:tx>
                <c:rich>
                  <a:bodyPr rot="-5400000" vert="horz" wrap="none"/>
                  <a:lstStyle/>
                  <a:p>
                    <a:pPr>
                      <a:defRPr sz="850" b="1">
                        <a:solidFill>
                          <a:srgbClr val="000000"/>
                        </a:solidFill>
                        <a:latin typeface="Times New Roman"/>
                        <a:cs typeface="Times New Roman"/>
                      </a:defRPr>
                    </a:pPr>
                    <a:r>
                      <a:rPr lang="uz-Latn-UZ" sz="850" b="1">
                        <a:solidFill>
                          <a:srgbClr val="000000"/>
                        </a:solidFill>
                        <a:latin typeface="Times New Roman"/>
                        <a:cs typeface="Times New Roman"/>
                      </a:rPr>
                      <a:t>0,37</a:t>
                    </a:r>
                  </a:p>
                </c:rich>
              </c:tx>
              <c:spPr>
                <a:noFill/>
                <a:ln>
                  <a:noFill/>
                </a:ln>
              </c:spPr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"/>
              <c:tx>
                <c:rich>
                  <a:bodyPr rot="-5400000" vert="horz" wrap="none"/>
                  <a:lstStyle/>
                  <a:p>
                    <a:pPr>
                      <a:defRPr sz="850" b="1">
                        <a:solidFill>
                          <a:srgbClr val="000000"/>
                        </a:solidFill>
                        <a:latin typeface="Times New Roman"/>
                        <a:cs typeface="Times New Roman"/>
                      </a:defRPr>
                    </a:pPr>
                    <a:r>
                      <a:rPr lang="uz-Latn-UZ" sz="850" b="1">
                        <a:solidFill>
                          <a:srgbClr val="000000"/>
                        </a:solidFill>
                        <a:latin typeface="Times New Roman"/>
                        <a:cs typeface="Times New Roman"/>
                      </a:rPr>
                      <a:t>0,18</a:t>
                    </a:r>
                  </a:p>
                </c:rich>
              </c:tx>
              <c:spPr>
                <a:noFill/>
                <a:ln>
                  <a:noFill/>
                </a:ln>
              </c:spPr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</c:dLbl>
            <c:showLegendKey val="0"/>
            <c:showVal val="0"/>
            <c:showCatName val="0"/>
            <c:showSerName val="0"/>
            <c:showPercent val="0"/>
            <c:showBubbleSize val="0"/>
          </c:dLbls>
          <c:cat>
            <c:strRef>
              <c:f>Sheet1!$A$2:$A$6</c:f>
              <c:strCache>
                <c:ptCount val="5"/>
                <c:pt idx="0">
                  <c:v>Kapital</c:v>
                </c:pt>
                <c:pt idx="1">
                  <c:v>Aktivlar sifati</c:v>
                </c:pt>
                <c:pt idx="2">
                  <c:v>Likvidlik</c:v>
                </c:pt>
                <c:pt idx="3">
                  <c:v>Daromadlilik</c:v>
                </c:pt>
                <c:pt idx="4">
                  <c:v>Valyuta riski</c:v>
                </c:pt>
              </c:strCache>
            </c:strRef>
          </c:cat>
          <c:val>
            <c:numRef>
              <c:f>Sheet1!$D$2:$D$6</c:f>
              <c:numCache>
                <c:formatCode>General</c:formatCode>
                <c:ptCount val="5"/>
                <c:pt idx="0">
                  <c:v>0.07</c:v>
                </c:pt>
                <c:pt idx="1">
                  <c:v>0.32</c:v>
                </c:pt>
                <c:pt idx="2">
                  <c:v>0.06</c:v>
                </c:pt>
                <c:pt idx="3">
                  <c:v>0.37</c:v>
                </c:pt>
                <c:pt idx="4">
                  <c:v>0.18</c:v>
                </c:pt>
              </c:numCache>
            </c:numRef>
          </c:val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Bosh komponentlar</c:v>
                </c:pt>
              </c:strCache>
            </c:strRef>
          </c:tx>
          <c:spPr>
            <a:solidFill>
              <a:srgbClr val="70AD47"/>
            </a:solidFill>
            <a:ln w="6350">
              <a:solidFill>
                <a:srgbClr val="FFFFFF"/>
              </a:solidFill>
            </a:ln>
          </c:spPr>
          <c:invertIfNegative val="0"/>
          <c:dLbls>
            <c:dLbl>
              <c:idx val="0"/>
              <c:tx>
                <c:rich>
                  <a:bodyPr rot="-5400000" vert="horz" wrap="none"/>
                  <a:lstStyle/>
                  <a:p>
                    <a:pPr>
                      <a:defRPr sz="850" b="1">
                        <a:solidFill>
                          <a:srgbClr val="000000"/>
                        </a:solidFill>
                        <a:latin typeface="Times New Roman"/>
                        <a:cs typeface="Times New Roman"/>
                      </a:defRPr>
                    </a:pPr>
                    <a:r>
                      <a:rPr lang="uz-Latn-UZ" sz="850" b="1">
                        <a:solidFill>
                          <a:srgbClr val="000000"/>
                        </a:solidFill>
                        <a:latin typeface="Times New Roman"/>
                        <a:cs typeface="Times New Roman"/>
                      </a:rPr>
                      <a:t>0,14</a:t>
                    </a:r>
                  </a:p>
                </c:rich>
              </c:tx>
              <c:spPr>
                <a:noFill/>
                <a:ln>
                  <a:noFill/>
                </a:ln>
              </c:spPr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"/>
              <c:tx>
                <c:rich>
                  <a:bodyPr rot="-5400000" vert="horz" wrap="none"/>
                  <a:lstStyle/>
                  <a:p>
                    <a:pPr>
                      <a:defRPr sz="850" b="1">
                        <a:solidFill>
                          <a:srgbClr val="000000"/>
                        </a:solidFill>
                        <a:latin typeface="Times New Roman"/>
                        <a:cs typeface="Times New Roman"/>
                      </a:defRPr>
                    </a:pPr>
                    <a:r>
                      <a:rPr lang="uz-Latn-UZ" sz="850" b="1">
                        <a:solidFill>
                          <a:srgbClr val="000000"/>
                        </a:solidFill>
                        <a:latin typeface="Times New Roman"/>
                        <a:cs typeface="Times New Roman"/>
                      </a:rPr>
                      <a:t>0,27</a:t>
                    </a:r>
                  </a:p>
                </c:rich>
              </c:tx>
              <c:spPr>
                <a:noFill/>
                <a:ln>
                  <a:noFill/>
                </a:ln>
              </c:spPr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"/>
              <c:tx>
                <c:rich>
                  <a:bodyPr rot="-5400000" vert="horz" wrap="none"/>
                  <a:lstStyle/>
                  <a:p>
                    <a:pPr>
                      <a:defRPr sz="850" b="1">
                        <a:solidFill>
                          <a:srgbClr val="000000"/>
                        </a:solidFill>
                        <a:latin typeface="Times New Roman"/>
                        <a:cs typeface="Times New Roman"/>
                      </a:defRPr>
                    </a:pPr>
                    <a:r>
                      <a:rPr lang="uz-Latn-UZ" sz="850" b="1">
                        <a:solidFill>
                          <a:srgbClr val="000000"/>
                        </a:solidFill>
                        <a:latin typeface="Times New Roman"/>
                        <a:cs typeface="Times New Roman"/>
                      </a:rPr>
                      <a:t>0,16</a:t>
                    </a:r>
                  </a:p>
                </c:rich>
              </c:tx>
              <c:spPr>
                <a:noFill/>
                <a:ln>
                  <a:noFill/>
                </a:ln>
              </c:spPr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"/>
              <c:tx>
                <c:rich>
                  <a:bodyPr rot="-5400000" vert="horz" wrap="none"/>
                  <a:lstStyle/>
                  <a:p>
                    <a:pPr>
                      <a:defRPr sz="850" b="1">
                        <a:solidFill>
                          <a:srgbClr val="000000"/>
                        </a:solidFill>
                        <a:latin typeface="Times New Roman"/>
                        <a:cs typeface="Times New Roman"/>
                      </a:defRPr>
                    </a:pPr>
                    <a:r>
                      <a:rPr lang="uz-Latn-UZ" sz="850" b="1">
                        <a:solidFill>
                          <a:srgbClr val="000000"/>
                        </a:solidFill>
                        <a:latin typeface="Times New Roman"/>
                        <a:cs typeface="Times New Roman"/>
                      </a:rPr>
                      <a:t>0,30</a:t>
                    </a:r>
                  </a:p>
                </c:rich>
              </c:tx>
              <c:spPr>
                <a:noFill/>
                <a:ln>
                  <a:noFill/>
                </a:ln>
              </c:spPr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"/>
              <c:tx>
                <c:rich>
                  <a:bodyPr rot="-5400000" vert="horz" wrap="none"/>
                  <a:lstStyle/>
                  <a:p>
                    <a:pPr>
                      <a:defRPr sz="850" b="1">
                        <a:solidFill>
                          <a:srgbClr val="000000"/>
                        </a:solidFill>
                        <a:latin typeface="Times New Roman"/>
                        <a:cs typeface="Times New Roman"/>
                      </a:defRPr>
                    </a:pPr>
                    <a:r>
                      <a:rPr lang="uz-Latn-UZ" sz="850" b="1">
                        <a:solidFill>
                          <a:srgbClr val="000000"/>
                        </a:solidFill>
                        <a:latin typeface="Times New Roman"/>
                        <a:cs typeface="Times New Roman"/>
                      </a:rPr>
                      <a:t>0,13</a:t>
                    </a:r>
                  </a:p>
                </c:rich>
              </c:tx>
              <c:spPr>
                <a:noFill/>
                <a:ln>
                  <a:noFill/>
                </a:ln>
              </c:spPr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</c:dLbl>
            <c:showLegendKey val="0"/>
            <c:showVal val="0"/>
            <c:showCatName val="0"/>
            <c:showSerName val="0"/>
            <c:showPercent val="0"/>
            <c:showBubbleSize val="0"/>
          </c:dLbls>
          <c:cat>
            <c:strRef>
              <c:f>Sheet1!$A$2:$A$6</c:f>
              <c:strCache>
                <c:ptCount val="5"/>
                <c:pt idx="0">
                  <c:v>Kapital</c:v>
                </c:pt>
                <c:pt idx="1">
                  <c:v>Aktivlar sifati</c:v>
                </c:pt>
                <c:pt idx="2">
                  <c:v>Likvidlik</c:v>
                </c:pt>
                <c:pt idx="3">
                  <c:v>Daromadlilik</c:v>
                </c:pt>
                <c:pt idx="4">
                  <c:v>Valyuta riski</c:v>
                </c:pt>
              </c:strCache>
            </c:strRef>
          </c:cat>
          <c:val>
            <c:numRef>
              <c:f>Sheet1!$E$2:$E$6</c:f>
              <c:numCache>
                <c:formatCode>General</c:formatCode>
                <c:ptCount val="5"/>
                <c:pt idx="0">
                  <c:v>0.14</c:v>
                </c:pt>
                <c:pt idx="1">
                  <c:v>0.27</c:v>
                </c:pt>
                <c:pt idx="2">
                  <c:v>0.16</c:v>
                </c:pt>
                <c:pt idx="3">
                  <c:v>0.3</c:v>
                </c:pt>
                <c:pt idx="4">
                  <c:v>0.13</c:v>
                </c:pt>
              </c:numCache>
            </c:numRef>
          </c:val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Logit</c:v>
                </c:pt>
              </c:strCache>
            </c:strRef>
          </c:tx>
          <c:spPr>
            <a:solidFill>
              <a:srgbClr val="FFC000"/>
            </a:solidFill>
            <a:ln w="6350">
              <a:solidFill>
                <a:srgbClr val="FFFFFF"/>
              </a:solidFill>
            </a:ln>
          </c:spPr>
          <c:invertIfNegative val="0"/>
          <c:dPt>
            <c:idx val="0"/>
            <c:invertIfNegative val="0"/>
            <c:bubble3D val="0"/>
            <c:spPr>
              <a:pattFill prst="wdUpDiag">
                <a:fgClr>
                  <a:srgbClr val="FFC000"/>
                </a:fgClr>
                <a:bgClr>
                  <a:srgbClr val="FFFFFF"/>
                </a:bgClr>
              </a:pattFill>
              <a:ln w="9525">
                <a:solidFill>
                  <a:srgbClr val="FFC000"/>
                </a:solidFill>
              </a:ln>
            </c:spPr>
          </c:dPt>
          <c:dPt>
            <c:idx val="4"/>
            <c:invertIfNegative val="0"/>
            <c:bubble3D val="0"/>
            <c:spPr>
              <a:pattFill prst="wdUpDiag">
                <a:fgClr>
                  <a:srgbClr val="FFC000"/>
                </a:fgClr>
                <a:bgClr>
                  <a:srgbClr val="FFFFFF"/>
                </a:bgClr>
              </a:pattFill>
              <a:ln w="9525">
                <a:solidFill>
                  <a:srgbClr val="FFC000"/>
                </a:solidFill>
              </a:ln>
            </c:spPr>
          </c:dPt>
          <c:dLbls>
            <c:dLbl>
              <c:idx val="0"/>
              <c:tx>
                <c:rich>
                  <a:bodyPr rot="-5400000" vert="horz" wrap="none"/>
                  <a:lstStyle/>
                  <a:p>
                    <a:pPr>
                      <a:defRPr sz="850" b="1">
                        <a:solidFill>
                          <a:srgbClr val="000000"/>
                        </a:solidFill>
                        <a:latin typeface="Times New Roman"/>
                        <a:cs typeface="Times New Roman"/>
                      </a:defRPr>
                    </a:pPr>
                    <a:r>
                      <a:rPr lang="uz-Latn-UZ" sz="850" b="1">
                        <a:solidFill>
                          <a:srgbClr val="000000"/>
                        </a:solidFill>
                        <a:latin typeface="Times New Roman"/>
                        <a:cs typeface="Times New Roman"/>
                      </a:rPr>
                      <a:t>0,25*</a:t>
                    </a:r>
                  </a:p>
                </c:rich>
              </c:tx>
              <c:spPr>
                <a:noFill/>
                <a:ln>
                  <a:noFill/>
                </a:ln>
              </c:spPr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"/>
              <c:tx>
                <c:rich>
                  <a:bodyPr rot="-5400000" vert="horz" wrap="none"/>
                  <a:lstStyle/>
                  <a:p>
                    <a:pPr>
                      <a:defRPr sz="850" b="1">
                        <a:solidFill>
                          <a:srgbClr val="000000"/>
                        </a:solidFill>
                        <a:latin typeface="Times New Roman"/>
                        <a:cs typeface="Times New Roman"/>
                      </a:defRPr>
                    </a:pPr>
                    <a:r>
                      <a:rPr lang="uz-Latn-UZ" sz="850" b="1">
                        <a:solidFill>
                          <a:srgbClr val="000000"/>
                        </a:solidFill>
                        <a:latin typeface="Times New Roman"/>
                        <a:cs typeface="Times New Roman"/>
                      </a:rPr>
                      <a:t>0,57</a:t>
                    </a:r>
                  </a:p>
                </c:rich>
              </c:tx>
              <c:spPr>
                <a:noFill/>
                <a:ln>
                  <a:noFill/>
                </a:ln>
              </c:spPr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"/>
              <c:tx>
                <c:rich>
                  <a:bodyPr rot="-5400000" vert="horz" wrap="none"/>
                  <a:lstStyle/>
                  <a:p>
                    <a:pPr>
                      <a:defRPr sz="850" b="1">
                        <a:solidFill>
                          <a:srgbClr val="000000"/>
                        </a:solidFill>
                        <a:latin typeface="Times New Roman"/>
                        <a:cs typeface="Times New Roman"/>
                      </a:defRPr>
                    </a:pPr>
                    <a:r>
                      <a:rPr lang="uz-Latn-UZ" sz="850" b="1">
                        <a:solidFill>
                          <a:srgbClr val="000000"/>
                        </a:solidFill>
                        <a:latin typeface="Times New Roman"/>
                        <a:cs typeface="Times New Roman"/>
                      </a:rPr>
                      <a:t>0,00</a:t>
                    </a:r>
                  </a:p>
                </c:rich>
              </c:tx>
              <c:spPr>
                <a:noFill/>
                <a:ln>
                  <a:noFill/>
                </a:ln>
              </c:spPr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"/>
              <c:tx>
                <c:rich>
                  <a:bodyPr rot="-5400000" vert="horz" wrap="none"/>
                  <a:lstStyle/>
                  <a:p>
                    <a:pPr>
                      <a:defRPr sz="850" b="1">
                        <a:solidFill>
                          <a:srgbClr val="000000"/>
                        </a:solidFill>
                        <a:latin typeface="Times New Roman"/>
                        <a:cs typeface="Times New Roman"/>
                      </a:defRPr>
                    </a:pPr>
                    <a:r>
                      <a:rPr lang="uz-Latn-UZ" sz="850" b="1">
                        <a:solidFill>
                          <a:srgbClr val="000000"/>
                        </a:solidFill>
                        <a:latin typeface="Times New Roman"/>
                        <a:cs typeface="Times New Roman"/>
                      </a:rPr>
                      <a:t>0,08</a:t>
                    </a:r>
                  </a:p>
                </c:rich>
              </c:tx>
              <c:spPr>
                <a:noFill/>
                <a:ln>
                  <a:noFill/>
                </a:ln>
              </c:spPr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"/>
              <c:tx>
                <c:rich>
                  <a:bodyPr rot="-5400000" vert="horz" wrap="none"/>
                  <a:lstStyle/>
                  <a:p>
                    <a:pPr>
                      <a:defRPr sz="850" b="1">
                        <a:solidFill>
                          <a:srgbClr val="000000"/>
                        </a:solidFill>
                        <a:latin typeface="Times New Roman"/>
                        <a:cs typeface="Times New Roman"/>
                      </a:defRPr>
                    </a:pPr>
                    <a:r>
                      <a:rPr lang="uz-Latn-UZ" sz="850" b="1">
                        <a:solidFill>
                          <a:srgbClr val="000000"/>
                        </a:solidFill>
                        <a:latin typeface="Times New Roman"/>
                        <a:cs typeface="Times New Roman"/>
                      </a:rPr>
                      <a:t>0,10*</a:t>
                    </a:r>
                  </a:p>
                </c:rich>
              </c:tx>
              <c:spPr>
                <a:noFill/>
                <a:ln>
                  <a:noFill/>
                </a:ln>
              </c:spPr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</c:dLbl>
            <c:showLegendKey val="0"/>
            <c:showVal val="0"/>
            <c:showCatName val="0"/>
            <c:showSerName val="0"/>
            <c:showPercent val="0"/>
            <c:showBubbleSize val="0"/>
          </c:dLbls>
          <c:cat>
            <c:strRef>
              <c:f>Sheet1!$A$2:$A$6</c:f>
              <c:strCache>
                <c:ptCount val="5"/>
                <c:pt idx="0">
                  <c:v>Kapital</c:v>
                </c:pt>
                <c:pt idx="1">
                  <c:v>Aktivlar sifati</c:v>
                </c:pt>
                <c:pt idx="2">
                  <c:v>Likvidlik</c:v>
                </c:pt>
                <c:pt idx="3">
                  <c:v>Daromadlilik</c:v>
                </c:pt>
                <c:pt idx="4">
                  <c:v>Valyuta riski</c:v>
                </c:pt>
              </c:strCache>
            </c:strRef>
          </c:cat>
          <c:val>
            <c:numRef>
              <c:f>Sheet1!$F$2:$F$6</c:f>
              <c:numCache>
                <c:formatCode>General</c:formatCode>
                <c:ptCount val="5"/>
                <c:pt idx="0">
                  <c:v>0.25</c:v>
                </c:pt>
                <c:pt idx="1">
                  <c:v>0.57</c:v>
                </c:pt>
                <c:pt idx="2">
                  <c:v>0.0</c:v>
                </c:pt>
                <c:pt idx="3">
                  <c:v>0.08</c:v>
                </c:pt>
                <c:pt idx="4">
                  <c:v>0.1</c:v>
                </c:pt>
              </c:numCache>
            </c:numRef>
          </c:val>
        </c:ser>
        <c:ser>
          <c:idx val="5"/>
          <c:order val="5"/>
          <c:tx>
            <c:strRef>
              <c:f>Sheet1!$G$1</c:f>
              <c:strCache>
                <c:ptCount val="1"/>
                <c:pt idx="0">
                  <c:v>Empirik o‘rtacha</c:v>
                </c:pt>
              </c:strCache>
            </c:strRef>
          </c:tx>
          <c:spPr>
            <a:solidFill>
              <a:srgbClr val="7F7F7F"/>
            </a:solidFill>
            <a:ln w="6350">
              <a:solidFill>
                <a:srgbClr val="FFFFFF"/>
              </a:solidFill>
            </a:ln>
          </c:spPr>
          <c:invertIfNegative val="0"/>
          <c:dLbls>
            <c:dLbl>
              <c:idx val="0"/>
              <c:tx>
                <c:rich>
                  <a:bodyPr rot="-5400000" vert="horz" wrap="none"/>
                  <a:lstStyle/>
                  <a:p>
                    <a:pPr>
                      <a:defRPr sz="850" b="1">
                        <a:solidFill>
                          <a:srgbClr val="000000"/>
                        </a:solidFill>
                        <a:latin typeface="Times New Roman"/>
                        <a:cs typeface="Times New Roman"/>
                      </a:defRPr>
                    </a:pPr>
                    <a:r>
                      <a:rPr lang="uz-Latn-UZ" sz="850" b="1">
                        <a:solidFill>
                          <a:srgbClr val="000000"/>
                        </a:solidFill>
                        <a:latin typeface="Times New Roman"/>
                        <a:cs typeface="Times New Roman"/>
                      </a:rPr>
                      <a:t>0,08</a:t>
                    </a:r>
                  </a:p>
                </c:rich>
              </c:tx>
              <c:spPr>
                <a:noFill/>
                <a:ln>
                  <a:noFill/>
                </a:ln>
              </c:spPr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"/>
              <c:tx>
                <c:rich>
                  <a:bodyPr rot="-5400000" vert="horz" wrap="none"/>
                  <a:lstStyle/>
                  <a:p>
                    <a:pPr>
                      <a:defRPr sz="850" b="1">
                        <a:solidFill>
                          <a:srgbClr val="000000"/>
                        </a:solidFill>
                        <a:latin typeface="Times New Roman"/>
                        <a:cs typeface="Times New Roman"/>
                      </a:defRPr>
                    </a:pPr>
                    <a:r>
                      <a:rPr lang="uz-Latn-UZ" sz="850" b="1">
                        <a:solidFill>
                          <a:srgbClr val="000000"/>
                        </a:solidFill>
                        <a:latin typeface="Times New Roman"/>
                        <a:cs typeface="Times New Roman"/>
                      </a:rPr>
                      <a:t>0,30</a:t>
                    </a:r>
                  </a:p>
                </c:rich>
              </c:tx>
              <c:spPr>
                <a:noFill/>
                <a:ln>
                  <a:noFill/>
                </a:ln>
              </c:spPr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"/>
              <c:tx>
                <c:rich>
                  <a:bodyPr rot="-5400000" vert="horz" wrap="none"/>
                  <a:lstStyle/>
                  <a:p>
                    <a:pPr>
                      <a:defRPr sz="850" b="1">
                        <a:solidFill>
                          <a:srgbClr val="000000"/>
                        </a:solidFill>
                        <a:latin typeface="Times New Roman"/>
                        <a:cs typeface="Times New Roman"/>
                      </a:defRPr>
                    </a:pPr>
                    <a:r>
                      <a:rPr lang="uz-Latn-UZ" sz="850" b="1">
                        <a:solidFill>
                          <a:srgbClr val="000000"/>
                        </a:solidFill>
                        <a:latin typeface="Times New Roman"/>
                        <a:cs typeface="Times New Roman"/>
                      </a:rPr>
                      <a:t>0,08</a:t>
                    </a:r>
                  </a:p>
                </c:rich>
              </c:tx>
              <c:spPr>
                <a:noFill/>
                <a:ln>
                  <a:noFill/>
                </a:ln>
              </c:spPr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"/>
              <c:tx>
                <c:rich>
                  <a:bodyPr rot="-5400000" vert="horz" wrap="none"/>
                  <a:lstStyle/>
                  <a:p>
                    <a:pPr>
                      <a:defRPr sz="850" b="1">
                        <a:solidFill>
                          <a:srgbClr val="000000"/>
                        </a:solidFill>
                        <a:latin typeface="Times New Roman"/>
                        <a:cs typeface="Times New Roman"/>
                      </a:defRPr>
                    </a:pPr>
                    <a:r>
                      <a:rPr lang="uz-Latn-UZ" sz="850" b="1">
                        <a:solidFill>
                          <a:srgbClr val="000000"/>
                        </a:solidFill>
                        <a:latin typeface="Times New Roman"/>
                        <a:cs typeface="Times New Roman"/>
                      </a:rPr>
                      <a:t>0,38</a:t>
                    </a:r>
                  </a:p>
                </c:rich>
              </c:tx>
              <c:spPr>
                <a:noFill/>
                <a:ln>
                  <a:noFill/>
                </a:ln>
              </c:spPr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"/>
              <c:tx>
                <c:rich>
                  <a:bodyPr rot="-5400000" vert="horz" wrap="none"/>
                  <a:lstStyle/>
                  <a:p>
                    <a:pPr>
                      <a:defRPr sz="850" b="1">
                        <a:solidFill>
                          <a:srgbClr val="000000"/>
                        </a:solidFill>
                        <a:latin typeface="Times New Roman"/>
                        <a:cs typeface="Times New Roman"/>
                      </a:defRPr>
                    </a:pPr>
                    <a:r>
                      <a:rPr lang="uz-Latn-UZ" sz="850" b="1">
                        <a:solidFill>
                          <a:srgbClr val="000000"/>
                        </a:solidFill>
                        <a:latin typeface="Times New Roman"/>
                        <a:cs typeface="Times New Roman"/>
                      </a:rPr>
                      <a:t>0,16</a:t>
                    </a:r>
                  </a:p>
                </c:rich>
              </c:tx>
              <c:spPr>
                <a:noFill/>
                <a:ln>
                  <a:noFill/>
                </a:ln>
              </c:spPr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</c:dLbl>
            <c:showLegendKey val="0"/>
            <c:showVal val="0"/>
            <c:showCatName val="0"/>
            <c:showSerName val="0"/>
            <c:showPercent val="0"/>
            <c:showBubbleSize val="0"/>
          </c:dLbls>
          <c:cat>
            <c:strRef>
              <c:f>Sheet1!$A$2:$A$6</c:f>
              <c:strCache>
                <c:ptCount val="5"/>
                <c:pt idx="0">
                  <c:v>Kapital</c:v>
                </c:pt>
                <c:pt idx="1">
                  <c:v>Aktivlar sifati</c:v>
                </c:pt>
                <c:pt idx="2">
                  <c:v>Likvidlik</c:v>
                </c:pt>
                <c:pt idx="3">
                  <c:v>Daromadlilik</c:v>
                </c:pt>
                <c:pt idx="4">
                  <c:v>Valyuta riski</c:v>
                </c:pt>
              </c:strCache>
            </c:strRef>
          </c:cat>
          <c:val>
            <c:numRef>
              <c:f>Sheet1!$G$2:$G$6</c:f>
              <c:numCache>
                <c:formatCode>General</c:formatCode>
                <c:ptCount val="5"/>
                <c:pt idx="0">
                  <c:v>0.08</c:v>
                </c:pt>
                <c:pt idx="1">
                  <c:v>0.3</c:v>
                </c:pt>
                <c:pt idx="2">
                  <c:v>0.08</c:v>
                </c:pt>
                <c:pt idx="3">
                  <c:v>0.38</c:v>
                </c:pt>
                <c:pt idx="4">
                  <c:v>0.16</c:v>
                </c:pt>
              </c:numCache>
            </c:numRef>
          </c:val>
        </c:ser>
        <c:gapWidth val="60"/>
        <c:axId val="111"/>
        <c:axId val="222"/>
      </c:barChart>
      <c:catAx>
        <c:axId val="111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low"/>
        <c:spPr>
          <a:ln w="9525">
            <a:solidFill>
              <a:srgbClr val="595959"/>
            </a:solidFill>
          </a:ln>
        </c:spPr>
        <c:txPr>
          <a:bodyPr rot="0" vert="horz"/>
          <a:lstStyle/>
          <a:p>
            <a:pPr>
              <a:defRPr sz="1100" b="0">
                <a:solidFill>
                  <a:srgbClr val="000000"/>
                </a:solidFill>
                <a:latin typeface="Times New Roman"/>
                <a:cs typeface="Times New Roman"/>
              </a:defRPr>
            </a:pPr>
            <a:endParaRPr lang="uz-Latn-UZ"/>
          </a:p>
        </c:txPr>
        <c:crossAx val="222"/>
        <c:crosses val="autoZero"/>
        <c:auto val="1"/>
        <c:lblAlgn val="ctr"/>
        <c:lblOffset val="100"/>
        <c:tickLblSkip val="1"/>
        <c:noMultiLvlLbl val="0"/>
      </c:catAx>
      <c:valAx>
        <c:axId val="222"/>
        <c:scaling>
          <c:orientation val="minMax"/>
          <c:max val="0.7"/>
          <c:min val="0"/>
        </c:scaling>
        <c:delete val="0"/>
        <c:axPos val="l"/>
        <c:majorGridlines>
          <c:spPr>
            <a:ln w="6350">
              <a:solidFill>
                <a:srgbClr val="D9D9D9"/>
              </a:solidFill>
            </a:ln>
          </c:spPr>
        </c:majorGridlines>
        <c:title>
          <c:tx>
            <c:rich>
              <a:bodyPr rot="-5400000" vert="horz"/>
              <a:lstStyle/>
              <a:p>
                <a:pPr>
                  <a:defRPr sz="1100" b="0">
                    <a:solidFill>
                      <a:srgbClr val="000000"/>
                    </a:solidFill>
                    <a:latin typeface="Times New Roman"/>
                    <a:cs typeface="Times New Roman"/>
                  </a:defRPr>
                </a:pPr>
                <a:r>
                  <a:rPr lang="uz-Latn-UZ" sz="1100" b="0">
                    <a:solidFill>
                      <a:srgbClr val="000000"/>
                    </a:solidFill>
                    <a:latin typeface="Times New Roman"/>
                  </a:rPr>
                  <a:t>Vazn</a:t>
                </a:r>
              </a:p>
            </c:rich>
          </c:tx>
          <c:overlay val="0"/>
        </c:title>
        <c:numFmt formatCode="0.0" sourceLinked="0"/>
        <c:majorTickMark val="out"/>
        <c:minorTickMark val="none"/>
        <c:tickLblPos val="low"/>
        <c:spPr>
          <a:ln w="9525">
            <a:solidFill>
              <a:srgbClr val="595959"/>
            </a:solidFill>
          </a:ln>
        </c:spPr>
        <c:txPr>
          <a:bodyPr/>
          <a:lstStyle/>
          <a:p>
            <a:pPr>
              <a:defRPr sz="1100" b="0">
                <a:solidFill>
                  <a:srgbClr val="000000"/>
                </a:solidFill>
                <a:latin typeface="Times New Roman"/>
                <a:cs typeface="Times New Roman"/>
              </a:defRPr>
            </a:pPr>
            <a:endParaRPr lang="uz-Latn-UZ"/>
          </a:p>
        </c:txPr>
        <c:crossAx val="111"/>
        <c:crosses val="autoZero"/>
        <c:crossBetween val="between"/>
        <c:majorUnit val="0.1"/>
      </c:valAx>
      <c:spPr>
        <a:noFill/>
        <a:ln>
          <a:noFill/>
        </a:ln>
      </c:spPr>
    </c:plotArea>
    <c:legend>
      <c:legendPos val="b"/>
      <c:overlay val="0"/>
      <c:txPr>
        <a:bodyPr/>
        <a:lstStyle/>
        <a:p>
          <a:pPr>
            <a:defRPr sz="1050" b="0">
              <a:solidFill>
                <a:srgbClr val="000000"/>
              </a:solidFill>
              <a:latin typeface="Times New Roman"/>
              <a:cs typeface="Times New Roman"/>
            </a:defRPr>
          </a:pPr>
          <a:endParaRPr lang="uz-Latn-UZ"/>
        </a:p>
      </c:txPr>
    </c:legend>
    <c:plotVisOnly val="1"/>
    <c:dispBlanksAs val="gap"/>
  </c:chart>
  <c:spPr>
    <a:solidFill>
      <a:srgbClr val="FFFFFF"/>
    </a:solidFill>
    <a:ln>
      <a:noFill/>
    </a:ln>
  </c:spPr>
  <c:txPr>
    <a:bodyPr/>
    <a:lstStyle/>
    <a:p>
      <a:pPr>
        <a:defRPr sz="1100" b="0">
          <a:solidFill>
            <a:srgbClr val="000000"/>
          </a:solidFill>
          <a:latin typeface="Times New Roman"/>
          <a:cs typeface="Times New Roman"/>
        </a:defRPr>
      </a:pPr>
      <a:endParaRPr lang="uz-Latn-UZ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