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</w:rPr>
        <w:t>3.2.4-jadval (namuna)</w:t>
      </w:r>
    </w:p>
    <w:p>
      <w:pPr>
        <w:jc w:val="both"/>
      </w:pPr>
      <w:r>
        <w:rPr>
          <w:b/>
          <w:strike w:val="0"/>
        </w:rPr>
        <w:t>1) Jadval nomi:</w:t>
      </w:r>
    </w:p>
    <w:p>
      <w:pPr>
        <w:jc w:val="center"/>
      </w:pPr>
      <w:r>
        <w:rPr>
          <w:b/>
          <w:strike w:val="0"/>
        </w:rPr>
        <w:t xml:space="preserve">Integral indeks sinflari bo‘yicha muammo hodisalarining yuz berish chastotasi, </w:t>
      </w:r>
      <w:r>
        <w:rPr>
          <w:b/>
          <w:strike/>
          <w:color w:val="7F7F7F"/>
        </w:rPr>
        <w:t>2021–2025-yillar</w:t>
      </w:r>
      <w:r>
        <w:rPr>
          <w:b/>
          <w:strike w:val="0"/>
        </w:rPr>
        <w:t xml:space="preserve"> </w:t>
      </w:r>
      <w:r>
        <w:rPr>
          <w:b/>
          <w:strike w:val="0"/>
          <w:color w:val="FF0000"/>
        </w:rPr>
        <w:t>2021–2024-yillar kuzatuvlari</w:t>
      </w:r>
    </w:p>
    <w:p>
      <w:pPr>
        <w:jc w:val="both"/>
      </w:pPr>
      <w:r>
        <w:rPr>
          <w:b/>
          <w:strike w:val="0"/>
        </w:rPr>
        <w:t>2) Jadval ostida yangi izoh:</w:t>
      </w:r>
    </w:p>
    <w:p>
      <w:pPr>
        <w:jc w:val="both"/>
      </w:pPr>
      <w:r>
        <w:rPr>
          <w:b w:val="0"/>
          <w:strike w:val="0"/>
          <w:color w:val="FF0000"/>
        </w:rPr>
        <w:t>Izoh: 25 ta bank paneli, milliy hisobot asosidagi 8 ko‘rsatkichli choraklik indeks; muammo hodisalari har bir kuzatuvdan keyingi to‘rt chorak, ya’ni 2025-yil oxirigacha bo‘lgan davrda kuzatilgan. 2025-yil kuzatuvlari keyingi to‘rt chorak ma’lumotlari to‘liq bo‘lmagani sababli kiritilmagan.</w:t>
      </w:r>
    </w:p>
    <w:p>
      <w:pPr>
        <w:jc w:val="both"/>
      </w:pPr>
      <w:r>
        <w:rPr>
          <w:b/>
          <w:strike w:val="0"/>
        </w:rPr>
        <w:t>3) Jadvaldan keyingi xatboshida:</w:t>
      </w:r>
    </w:p>
    <w:p>
      <w:pPr>
        <w:jc w:val="both"/>
      </w:pPr>
      <w:r>
        <w:rPr>
          <w:b w:val="0"/>
          <w:strike/>
          <w:color w:val="7F7F7F"/>
        </w:rPr>
        <w:t>Shundan so‘ng empirik asoslangan indeks</w:t>
      </w:r>
      <w:r>
        <w:rPr>
          <w:b w:val="0"/>
          <w:strike w:val="0"/>
        </w:rPr>
        <w:t xml:space="preserve"> </w:t>
      </w:r>
      <w:r>
        <w:rPr>
          <w:b w:val="0"/>
          <w:strike w:val="0"/>
          <w:color w:val="FF0000"/>
        </w:rPr>
        <w:t>Shundan so‘ng empirik tekshiruvdan o‘tgan, tayanch vaznli indeks</w:t>
      </w:r>
      <w:r>
        <w:rPr>
          <w:b w:val="0"/>
          <w:strike w:val="0"/>
        </w:rPr>
        <w:t xml:space="preserve"> beshta bankning 2021–2025-yillardagi moliyaviy barqarorligi dinamikasini baholash uchun qo‘llandi (3.2.2-rasm).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