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11.xml" ContentType="application/vnd.openxmlformats-officedocument.drawingml.chart+xml"/>
  <Override PartName="/word/charts/chart312.xml" ContentType="application/vnd.openxmlformats-officedocument.drawingml.chart+xml"/>
  <Override PartName="/word/charts/chart32.xml" ContentType="application/vnd.openxmlformats-officedocument.drawingml.chart+xml"/>
  <Override PartName="/word/charts/chart321.xml" ContentType="application/vnd.openxmlformats-officedocument.drawingml.chart+xml"/>
  <Override PartName="/word/charts/chart322.xml" ContentType="application/vnd.openxmlformats-officedocument.drawingml.chart+xml"/>
  <Override PartName="/word/charts/chart323.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38</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56</w:t>
      </w:r>
    </w:p>
    <w:p w:rsidR="005603EC" w:rsidRDefault="00AB61AC">
      <w:pPr>
        <w:tabs>
          <w:tab w:val="right" w:leader="dot" w:pos="9354"/>
        </w:tabs>
        <w:spacing w:after="80" w:line="240" w:lineRule="auto"/>
        <w:ind w:left="454"/>
      </w:pPr>
      <w:r>
        <w:rPr>
          <w:sz w:val="26"/>
        </w:rPr>
        <w:t>I bob bo‘yicha xulosalar</w:t>
      </w:r>
      <w:r>
        <w:rPr>
          <w:sz w:val="26"/>
        </w:rPr>
        <w:tab/>
        <w:t>79</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82</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82</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94</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111</w:t>
      </w:r>
    </w:p>
    <w:p w:rsidR="005603EC" w:rsidRDefault="00AB61AC">
      <w:pPr>
        <w:tabs>
          <w:tab w:val="right" w:leader="dot" w:pos="9354"/>
        </w:tabs>
        <w:spacing w:after="80" w:line="240" w:lineRule="auto"/>
        <w:ind w:left="454"/>
      </w:pPr>
      <w:r>
        <w:rPr>
          <w:sz w:val="26"/>
        </w:rPr>
        <w:t>II bob bo‘yicha xulosalar</w:t>
      </w:r>
      <w:r>
        <w:rPr>
          <w:sz w:val="26"/>
        </w:rPr>
        <w:tab/>
        <w:t>134</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137</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137</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157</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170</w:t>
      </w:r>
    </w:p>
    <w:p w:rsidR="005603EC" w:rsidRDefault="00AB61AC">
      <w:pPr>
        <w:tabs>
          <w:tab w:val="right" w:leader="dot" w:pos="9354"/>
        </w:tabs>
        <w:spacing w:after="80" w:line="240" w:lineRule="auto"/>
        <w:ind w:left="454"/>
      </w:pPr>
      <w:r>
        <w:rPr>
          <w:sz w:val="26"/>
        </w:rPr>
        <w:t>III bob bo‘yicha xulosalar</w:t>
      </w:r>
      <w:r>
        <w:rPr>
          <w:sz w:val="26"/>
        </w:rPr>
        <w:tab/>
        <w:t>189</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192</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192</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208</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225</w:t>
      </w:r>
    </w:p>
    <w:p w:rsidR="005603EC" w:rsidRDefault="00AB61AC">
      <w:pPr>
        <w:tabs>
          <w:tab w:val="right" w:leader="dot" w:pos="9354"/>
        </w:tabs>
        <w:spacing w:after="80" w:line="240" w:lineRule="auto"/>
        <w:ind w:left="454"/>
      </w:pPr>
      <w:r>
        <w:rPr>
          <w:sz w:val="26"/>
        </w:rPr>
        <w:t>IV bob bo‘yicha xulosalar</w:t>
      </w:r>
      <w:r>
        <w:rPr>
          <w:sz w:val="26"/>
        </w:rPr>
        <w:tab/>
        <w:t>239</w:t>
      </w:r>
    </w:p>
    <w:p w:rsidR="005603EC" w:rsidRDefault="00AB61AC">
      <w:pPr>
        <w:tabs>
          <w:tab w:val="right" w:leader="dot" w:pos="9354"/>
        </w:tabs>
        <w:spacing w:after="80" w:line="240" w:lineRule="auto"/>
      </w:pPr>
      <w:r>
        <w:rPr>
          <w:b/>
          <w:sz w:val="26"/>
        </w:rPr>
        <w:t>XULOSA</w:t>
      </w:r>
      <w:r>
        <w:rPr>
          <w:b/>
          <w:sz w:val="26"/>
        </w:rPr>
        <w:tab/>
        <w:t>242</w:t>
      </w:r>
    </w:p>
    <w:p w:rsidR="005603EC" w:rsidRDefault="00AB61AC">
      <w:pPr>
        <w:tabs>
          <w:tab w:val="right" w:leader="dot" w:pos="9354"/>
        </w:tabs>
        <w:spacing w:after="80" w:line="240" w:lineRule="auto"/>
      </w:pPr>
      <w:r>
        <w:rPr>
          <w:b/>
          <w:sz w:val="26"/>
        </w:rPr>
        <w:t>FOYDALANILGAN ADABIYOTLAR RO‘YXATI</w:t>
      </w:r>
      <w:r>
        <w:rPr>
          <w:b/>
          <w:sz w:val="26"/>
        </w:rPr>
        <w:tab/>
        <w:t>248</w:t>
      </w:r>
    </w:p>
    <w:p w:rsidR="005603EC" w:rsidRDefault="00AB61AC">
      <w:pPr>
        <w:tabs>
          <w:tab w:val="right" w:leader="dot" w:pos="9354"/>
        </w:tabs>
        <w:spacing w:after="80" w:line="240" w:lineRule="auto"/>
      </w:pPr>
      <w:r>
        <w:rPr>
          <w:b/>
          <w:sz w:val="26"/>
        </w:rPr>
        <w:t>ILOVALAR</w:t>
      </w:r>
      <w:r>
        <w:rPr>
          <w:b/>
          <w:sz w:val="26"/>
        </w:rPr>
        <w:tab/>
        <w:t>269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w:t>
      </w:r>
      <w:r>
        <w:rPr/>
        <w:t xml:space="preserve">jadal o‘sdi. Xususan, 2026-yil</w:t>
      </w:r>
      <w:r>
        <w:t xml:space="preserve">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w:t>
      </w:r>
      <w:r>
        <w:rPr/>
        <w:t xml:space="preserve">ham buni tasdiqlaydi. Jumladan, 2025-yil yakunida</w:t>
      </w:r>
      <w:r>
        <w:t xml:space="preserve"> “O‘zsanoatqurilishbank” ATB da milliy hisobot bo‘yicha muammoli kreditlar ulushi 2,5 foiz bo‘lgan bo‘lsa, MHXS 9 bo‘yicha qadrsizlangan kreditlar ulushi 7,5 foizni, “Mikrokreditbank” ATB da esa mos ravishda 4,4 va 12,3 foizni </w:t>
      </w:r>
      <w:r>
        <w:lastRenderedPageBreak/>
      </w:r>
      <w:r>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r>
      <w:r>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xml:space="preserve">; yirik moliya </w:t>
      </w:r>
      <w:r>
        <w:rPr>
          <w:color w:val="0070C0"/>
        </w:rPr>
        <w:t xml:space="preserve">institutlarining</w:t>
      </w:r>
      <w:r>
        <w:t xml:space="preserve">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r>
      <w:r>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r>
      <w:r>
        <w:t xml:space="preserve">2026–2028-yillarga shartli ssenariy prognozi asosida 2020-yildagi kabi keskin iqtisodiy shok takrorlangan taqdirda 2027-yilda </w:t>
      </w:r>
      <w:r>
        <w:rPr>
          <w:color w:val="0070C0"/>
        </w:rPr>
        <w:t xml:space="preserve">tanlangan banklar</w:t>
      </w:r>
      <w:r>
        <w:t xml:space="preserve">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 xml:space="preserve">likvidlikni qoplash me’yorini Bazel III ga muvofiqlashtirish maqsadida boshqa banklardagi muddatli depozitlarni yuqori likvidli aktivlar tarkibidan chiqarish va majburiyatlar bo‘yicha tabaqalashtirilgan chiqish koeffitsiyentlarini qo‘llash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 xml:space="preserve">“yashirin kredit riski koeffitsiyenti” yordamida milliy hisobot asosidagi muammoli kreditlar ko‘rsatkichini MHXS 9 darajasiga keltirib, integral indeksning aktivlar sifati blokini tuzatish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 xml:space="preserve">moliyaviy barqarorlik integral indeksi va uning chegaraviy qiymatlari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r>
      <w:r>
        <w:t xml:space="preserve">integral indeksga asoslangan uch zonali erta ogohlantirish tizimi va uni stress-test natijalari bilan bog‘lash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0070C0"/>
        </w:rPr>
        <w:t xml:space="preserve">244 betni</w:t>
      </w:r>
      <w:r>
        <w:t xml:space="preserve"> tashkil etadi, unda 60 dan ortiq jadval va rasm keltirilgan, </w:t>
      </w:r>
      <w:r>
        <w:rPr/>
        <w:t xml:space="preserve">foydalanilgan adabiyotlar ro‘yxati </w:t>
      </w:r>
      <w:r>
        <w:rPr>
          <w:color w:val="0070C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 xml:space="preserve">Biroq “moliyaviy barqarorlik” tushunchasi iqtisodiy adabiyotda ham, me’yoriy hujjatlarda ham hali yagona talqinga ega emas. </w:t>
      </w:r>
      <w:r>
        <w:rPr>
          <w:color w:val="0070C0"/>
        </w:rPr>
        <w:t xml:space="preserve">Ayrim</w:t>
      </w:r>
      <w:r>
        <w:t xml:space="preserve">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r>
      <w:r>
        <w:t xml:space="preserve">maqsadga muvofiq. Rus iqtisodiy maktabida bu masalaga alohida e’tibor berilgan. O.I. Lavrushin va I.D. Mamonova G.G. Fetisov yondashuviga tayanib, “barqarorlik” va “stabillik” tushunchalarini </w:t>
      </w:r>
      <w:r>
        <w:rPr/>
        <w:t xml:space="preserve">qat’iy ajratadi. Ularning fikricha, stabillik – statika</w:t>
      </w:r>
      <w:r>
        <w:t xml:space="preserve">,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w:t>
      </w:r>
      <w:r>
        <w:rPr>
          <w:color w:val="0070C0"/>
        </w:rPr>
        <w:t xml:space="preserve">uni bank</w:t>
      </w:r>
      <w:r>
        <w:t xml:space="preserve">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w:t>
      </w:r>
      <w:r>
        <w:rPr/>
        <w:t xml:space="preserve">muhim xulosaga olib keladi. Unga ko‘ra, me’yoriy ko‘rsatkichlar</w:t>
      </w:r>
      <w:r>
        <w:t xml:space="preserve">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w:t>
      </w:r>
      <w:r>
        <w:rPr/>
        <w:t xml:space="preserve">muhim fikrni ilgari suradi. Uning ta’kidlashicha, bank inqirozi</w:t>
      </w:r>
      <w:r>
        <w:t xml:space="preserve">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w:t>
      </w:r>
      <w:r>
        <w:rPr/>
        <w:t xml:space="preserve">ko‘rsatadi. Masalan, foiz spredlari</w:t>
      </w:r>
      <w:r>
        <w:t xml:space="preserve">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r>
      <w:r>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w:t>
      </w:r>
      <w:r>
        <w:rPr/>
        <w:t xml:space="preserve">yetarli emas, chunki kapital va likvidlik</w:t>
      </w:r>
      <w:r>
        <w:t xml:space="preserve">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xml:space="preserve">. E’tiborli jihati shundaki, mualliflar inqirozdan keyingi bir martalik o‘sishni barqarorlik belgisi deb hisoblamaydi, keskin o‘sishni esa xavfli deb biladi. </w:t>
      </w:r>
      <w:r>
        <w:rPr/>
        <w:t xml:space="preserve">Bu fikrning baholash metodikasi uchun ahamiyati shundaki, ko‘rsatkichning</w:t>
      </w:r>
      <w:r>
        <w:t xml:space="preserve">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w:t>
      </w:r>
      <w:r>
        <w:rPr/>
        <w:t xml:space="preserve">bankni zaif qiladi, chunki omonatchilar</w:t>
      </w:r>
      <w:r>
        <w:t xml:space="preserve">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w:t>
      </w:r>
      <w:r>
        <w:rPr/>
        <w:t xml:space="preserve">beqarorlikni keltirib chiqaradi. Buning sababi shundaki, muvaffaqiyatli yillar</w:t>
      </w:r>
      <w:r>
        <w:t xml:space="preserve">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xml:space="preserve">. A.V. Thakor esa bu jarayonni yanada </w:t>
      </w:r>
      <w:r>
        <w:rPr/>
        <w:t xml:space="preserve">aniqroq ifodalaydi. Uning fikricha, uzoq muvaffaqiyat</w:t>
      </w:r>
      <w:r>
        <w:t xml:space="preserve"> bankirlar mahoratiga bo‘lgan ishonchni oshiradi, shok kelganda esa moliyalashtirish to‘xtaydi va “likvidlik inqiroziga o‘xshagan, aslida to‘lov qobiliyati inqirozi” yuzaga keladi</w:t>
      </w:r>
      <w:r>
        <w:rPr>
          <w:rStyle w:val="aff8"/>
        </w:rPr>
        <w:footnoteReference w:id="94"/>
      </w:r>
      <w:r>
        <w:t xml:space="preserve">. </w:t>
      </w:r>
      <w:r>
        <w:rPr>
          <w:color w:val="0070C0"/>
        </w:rPr>
        <w:t xml:space="preserve">Minsky</w:t>
      </w:r>
      <w:r>
        <w:t xml:space="preserve">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xml:space="preserve">. Ushbu mantiqni R. Merton tomonidan ishlab chiqilgan tarkibiy model </w:t>
      </w:r>
      <w:r>
        <w:rPr/>
        <w:t xml:space="preserve">miqdoriy shaklga keltiradi. Unga ko‘ra, kompaniya aktivlarining</w:t>
      </w:r>
      <w:r>
        <w:t xml:space="preserve">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 xml:space="preserve">Beshinchi guruh modellar alohida bankdan butun tizimga o‘tadi. C. Borio makroprudensial yondashuvni asoslab, tizimli riskning ikki o‘lchovini ajratgan: vaqt o‘lchovida risk moliyaviy </w:t>
      </w:r>
      <w:r>
        <w:rPr>
          <w:color w:val="0070C0"/>
        </w:rPr>
        <w:t xml:space="preserve">sikl</w:t>
      </w:r>
      <w:r>
        <w:t xml:space="preserve">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w:t>
      </w:r>
      <w:r>
        <w:rPr/>
        <w:t xml:space="preserve">cheklanganligini ko‘rsatdi. Ma’lum bo‘ldiki, har bir bank</w:t>
      </w:r>
      <w:r>
        <w:t xml:space="preserve">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w:t>
      </w:r>
      <w:r>
        <w:rPr>
          <w:color w:val="0070C0"/>
        </w:rPr>
        <w:t xml:space="preserve">siklning</w:t>
      </w:r>
      <w:r>
        <w:t xml:space="preserve">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xml:space="preserve">. Stress-testlar ham xuddi shu </w:t>
      </w:r>
      <w:r>
        <w:rPr/>
        <w:t xml:space="preserve">mantiqqa asoslanadi, ya’ni ular bankning</w:t>
      </w:r>
      <w:r>
        <w:t xml:space="preserve">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spacing w:after="0" w:line="360" w:lineRule="auto"/>
        <w:ind w:firstLine="709"/>
        <w:jc w:val="both"/>
      </w:pPr>
      <w: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w:t>
      </w:r>
      <w:r>
        <w:rPr>
          <w:color w:val="0070C0"/>
        </w:rPr>
        <w:t xml:space="preserve">barqarorlikni, bir tomondan,</w:t>
      </w:r>
      <w:r>
        <w:t xml:space="preserve"> miqdoriy o‘lchanadigan, ikkinchi </w:t>
      </w:r>
      <w:r>
        <w:rPr>
          <w:color w:val="0070C0"/>
        </w:rPr>
        <w:t xml:space="preserve">tomondan,</w:t>
      </w:r>
      <w:r>
        <w:t xml:space="preserve">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r>
      <w:r>
        <w:t xml:space="preserve">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w:t>
      </w:r>
      <w:r>
        <w:rPr>
          <w:color w:val="0070C0"/>
        </w:rPr>
        <w:t xml:space="preserve">Bu,</w:t>
      </w:r>
      <w:r>
        <w:t xml:space="preserve">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w:t>
      </w:r>
      <w:r>
        <w:rPr>
          <w:color w:val="0070C0"/>
        </w:rPr>
        <w:t xml:space="preserve">ko‘rsatkichlar</w:t>
      </w:r>
      <w:r>
        <w:t xml:space="preserve">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w:t>
      </w:r>
      <w:r>
        <w:rPr/>
        <w:t xml:space="preserve">muhim xulosa beradi. Ya’ni kapital ko‘rsatkichini</w:t>
      </w:r>
      <w:r>
        <w:t xml:space="preserve">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r>
      <w:r>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xml:space="preserve">. Bu tamoyillar ayrim hollarda o‘zaro </w:t>
      </w:r>
      <w:r>
        <w:rPr/>
        <w:t xml:space="preserve">ziddiyatga kirishadi. Masalan, formallashtirish talabi</w:t>
      </w:r>
      <w:r>
        <w:t xml:space="preserve">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spacing w:after="0" w:line="360" w:lineRule="auto"/>
        <w:ind w:firstLine="709"/>
        <w:jc w:val="both"/>
      </w:pPr>
      <w:r>
        <w:rPr>
          <w:color w:val="0070C0"/>
        </w:rPr>
        <w:t xml:space="preserve">1.2.1-rasmdan </w:t>
      </w:r>
      <w:r>
        <w:t xml:space="preserve">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r>
      <w:r>
        <w:t>ichki modellari bir xil kreditlar uchun minus 30 foizdan plyus 190 foizgacha farq qiladigan kapital talabini bergan</w:t>
      </w:r>
      <w:r>
        <w:rPr>
          <w:rStyle w:val="aff8"/>
        </w:rPr>
        <w:footnoteReference w:id="139"/>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40"/>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w:t>
      </w:r>
      <w:r>
        <w:rPr/>
        <w:t xml:space="preserve">jihatidan kuchaytirdi. Jumladan, birinchi darajali</w:t>
      </w:r>
      <w:r>
        <w:rPr/>
        <w:t xml:space="preserve">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r>
      <w:r>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xml:space="preserve">. Konservatsiya buferining o‘ziga xos jihati shundaki, u to‘g‘ridan-to‘g‘ri majburiy minimum emas, balki bank xatti-harakatini cheklovchi </w:t>
      </w:r>
      <w:r>
        <w:rPr/>
        <w:t xml:space="preserve">mexanizm hisoblanadi. Xususan, asosiy kapital</w:t>
      </w:r>
      <w:r>
        <w:t xml:space="preserve">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 xml:space="preserve">mumkinligini ko‘rsatadi. Kontrsiklik bufer esa makroprudensial vosita sifatida kredit/YaIM nisbatining uzoq muddatli trenddan </w:t>
      </w:r>
      <w:r>
        <w:rPr/>
        <w:t xml:space="preserve">og‘ishiga bog‘lanadi. Bunda og‘ish 2 foiz punktdan</w:t>
      </w:r>
      <w:r>
        <w:t xml:space="preserve">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w:t>
      </w:r>
      <w:r>
        <w:rPr/>
        <w:t xml:space="preserve">keng tabaqalashtiradi. Bunda, ayniqsa, moliya</w:t>
      </w:r>
      <w:r>
        <w:t xml:space="preserve">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spacing w:after="0" w:line="360" w:lineRule="auto"/>
        <w:ind w:firstLine="709"/>
        <w:jc w:val="both"/>
      </w:pPr>
      <w:r>
        <w:rPr>
          <w:color w:val="0070C0"/>
        </w:rPr>
        <w:t xml:space="preserve">1.2.4-rasmdan </w:t>
      </w:r>
      <w:r>
        <w:t xml:space="preserve">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w:t>
      </w:r>
      <w:r>
        <w:rPr>
          <w:color w:val="0070C0"/>
        </w:rPr>
        <w:t xml:space="preserve">oshadi</w:t>
      </w:r>
      <w:r>
        <w:rPr>
          <w:rStyle w:val="aff8"/>
        </w:rPr>
        <w:footnoteReference w:id="159"/>
      </w:r>
      <w:r>
        <w:rPr>
          <w:color w:val="0070C0"/>
        </w:rPr>
        <w:t xml:space="preserve">. Ikkinchidan, milliy</w:t>
      </w:r>
      <w:r>
        <w:t xml:space="preserve">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1"/>
      </w:r>
      <w:r>
        <w:t>. O‘zbekiston banklari misolida bu farq ikkinchi bobda tahlil qilinadi.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62"/>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spacing w:after="0" w:line="360" w:lineRule="auto"/>
        <w:ind w:firstLine="709"/>
        <w:jc w:val="both"/>
      </w:pPr>
      <w:r>
        <w:rPr>
          <w:color w:val="0070C0"/>
        </w:rPr>
        <w:t xml:space="preserve">1.2.5-jadvaldan </w:t>
      </w:r>
      <w:r>
        <w:rPr/>
        <w:t xml:space="preserve">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t xml:space="preserve"> Bu esa O‘zbekiston sharoitida valyuta riskiga sezgirlikni integral bahoning alohida bloki sifatida ajratish zarurligini ko‘rsatadi.</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spacing w:after="0" w:line="360" w:lineRule="auto"/>
        <w:ind w:firstLine="709"/>
        <w:jc w:val="both"/>
      </w:pPr>
      <w:r>
        <w:rPr>
          <w:color w:val="0070C0"/>
        </w:rPr>
        <w:t xml:space="preserve">1.3.1-rasmdagi tasnifdan ko‘rinib</w:t>
      </w:r>
      <w:r>
        <w:t xml:space="preserve">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r>
        <w:rPr/>
        <w:t xml:space="preserve">.</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w:t>
      </w:r>
      <w:r>
        <w:rPr/>
        <w:t xml:space="preserve">usuli bergan. Xususan, u zaif banklarning</w:t>
      </w:r>
      <w:r>
        <w:rPr/>
        <w:t xml:space="preserve">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w:t>
      </w:r>
      <w:r>
        <w:rPr/>
        <w:t xml:space="preserve">ta’rifini yumshatdi, ya’ni endi bitta</w:t>
      </w:r>
      <w:r>
        <w:t xml:space="preserve">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w:t>
      </w:r>
      <w:r>
        <w:rPr/>
        <w:t xml:space="preserve">Stress-testlar ham isloh qilindi. Jumladan, 2026-yil</w:t>
      </w:r>
      <w:r>
        <w:t xml:space="preserve">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w:t>
      </w:r>
      <w:r>
        <w:rPr/>
        <w:t xml:space="preserve">talablarga zid keladi, chunki tavakkalchilik</w:t>
      </w:r>
      <w:r>
        <w:t xml:space="preserve">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spacing w:after="0" w:line="360" w:lineRule="auto"/>
        <w:ind w:firstLine="709"/>
        <w:jc w:val="both"/>
      </w:pPr>
      <w:r>
        <w:rPr>
          <w:color w:val="0070C0"/>
        </w:rPr>
        <w:t xml:space="preserve">1.3.4-rasmdan </w:t>
      </w:r>
      <w:r>
        <w:rPr/>
        <w:t xml:space="preserve">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6"/>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w:t>
      </w:r>
      <w:r>
        <w:rPr/>
        <w:t xml:space="preserve">o‘z ichiga oladi. Ulardan 19 tasi</w:t>
      </w:r>
      <w:r>
        <w:lastRenderedPageBreak/>
      </w:r>
      <w:r>
        <w:t xml:space="preserve">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xml:space="preserve">. Iqtisodiy tanazzul davrida ular o‘rtasidagi </w:t>
      </w:r>
      <w:r>
        <w:rPr/>
        <w:t xml:space="preserve">ziddiyat kuchayadi, chunki makroprudensial siyosat</w:t>
      </w:r>
      <w:r>
        <w:t xml:space="preserve">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xml:space="preserve">. Nazorat stress-testlari ham </w:t>
      </w:r>
      <w:r>
        <w:rPr/>
        <w:t xml:space="preserve">muntazam davom etmoqda. Masalan, Yevropa bank</w:t>
      </w:r>
      <w:r>
        <w:t xml:space="preserve">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w:t>
            </w:r>
            <w:r>
              <w:rPr>
                <w:rFonts w:ascii="Times New Roman" w:hAnsi="Times New Roman" w:eastAsia="Times New Roman" w:cs="Times New Roman"/>
                <w:color w:val="0070C0"/>
                <w:sz w:val="24"/>
                <w:szCs w:val="24"/>
              </w:rPr>
              <w:t xml:space="preserve">1-oktabrdan</w:t>
            </w:r>
            <w:r>
              <w:rPr>
                <w:rFonts w:ascii="Times New Roman" w:hAnsi="Times New Roman" w:eastAsia="Times New Roman" w:cs="Times New Roman"/>
                <w:sz w:val="24"/>
                <w:szCs w:val="24"/>
              </w:rPr>
              <w:t xml:space="preserve">):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 xml:space="preserve">Jadvaldan ko‘rinib turibdiki, Rossiya tizimi dastlab AQShning CAMEL tizimidan andoza olib, keyinchalik uni o‘z ehtiyojlariga moslashtirgan. Ayniqsa, 2004-yildagi 1379-U ko‘rsatma </w:t>
      </w:r>
      <w:r>
        <w:rPr/>
        <w:t xml:space="preserve">burilish nuqtasi bo‘ldi, chunki omonatlarni</w:t>
      </w:r>
      <w:r>
        <w:t xml:space="preserve"> sug‘urtalash tizimiga qabul qilish uchun banklarni ochiq mezonlar asosida saralash zarurati ballik shkala, vaznlar va yig‘ma ballning paydo bo‘lishiga olib keldi. 1997-yilgi baholash natijalari esa o‘sha davrdagi vaziyat qanchalik og‘ir </w:t>
      </w:r>
      <w:r>
        <w:rPr/>
        <w:t xml:space="preserve">bo‘lganini ko‘rsatadi. O‘shanda banklarning 40</w:t>
      </w:r>
      <w:r>
        <w:t xml:space="preserve">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w:t>
      </w:r>
      <w:r>
        <w:rPr/>
        <w:t xml:space="preserve">1-martdan boshlandi. Bunda normativning</w:t>
      </w:r>
      <w:r>
        <w:t xml:space="preserve">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
      </w:r>
      <w:r>
        <w:rPr>
          <w:rStyle w:val="aff8"/>
        </w:rPr>
        <w:footnoteReference w:id="219"/>
      </w:r>
      <w:r>
        <w:rPr/>
        <w:t xml:space="preserve">.</w:t>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xml:space="preserve">. Bu arxitektura AQSh Federal rezerv tizimi nazorat stress-testlarining mantig‘iga ancha yaqin (1.3.6-rasm). So‘nggi yillarda makroprudensial vositalar ham </w:t>
      </w:r>
      <w:r>
        <w:rPr/>
        <w:t xml:space="preserve">faol qo‘llanmoqda. Xususan, Rossiya banki</w:t>
      </w:r>
      <w:r>
        <w:t xml:space="preserve">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 xml:space="preserve">qoidalar kuchga kirdi. </w:t>
      </w:r>
      <w:r>
        <w:rPr>
          <w:color w:val="0070C0"/>
        </w:rPr>
        <w:t xml:space="preserve">Ularga</w:t>
      </w:r>
      <w:r>
        <w:t xml:space="preserve">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 xml:space="preserve">Biroq Xitoy tajribasi rasmiy ko‘rsatkichlarning ishonchliligi muammosini ham ochiq namoyon etadi. Bu muammo ilmiy adabiyotda </w:t>
      </w:r>
      <w:r>
        <w:rPr/>
        <w:t xml:space="preserve">ancha oldin qayd etilgan. Masalan, 2010-yillarning</w:t>
      </w:r>
      <w:r>
        <w:t xml:space="preserve">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w:t>
      </w:r>
      <w:r>
        <w:rPr>
          <w:color w:val="0070C0"/>
        </w:rPr>
        <w:t xml:space="preserve">yetadi</w:t>
      </w:r>
      <w:r>
        <w:rPr>
          <w:rStyle w:val="aff8"/>
        </w:rPr>
        <w:footnoteReference w:id="237"/>
      </w:r>
      <w:r>
        <w:rPr>
          <w:color w:val="0070C0"/>
        </w:rPr>
        <w:t xml:space="preserve">. B. Charoenwong, M. Miao</w:t>
      </w:r>
      <w:r>
        <w:t xml:space="preserve"> va T. Ruan esa banklar muammoli kreditlarni o‘zlariga bog‘liq tomonlarga “sotib”, ularning riskini amalda </w:t>
      </w:r>
      <w:r>
        <w:rPr>
          <w:color w:val="0070C0"/>
        </w:rPr>
        <w:t xml:space="preserve">o‘zlarida</w:t>
      </w:r>
      <w:r>
        <w:t xml:space="preserve">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r>
      <w:r>
        <w:t xml:space="preserve">rasmiy ko‘rsatkichlar haqiqiy riskni </w:t>
      </w:r>
      <w:r>
        <w:rPr>
          <w:color w:val="0070C0"/>
        </w:rPr>
        <w:t xml:space="preserve">kamaytirib</w:t>
      </w:r>
      <w:r>
        <w:t xml:space="preserve"> ko‘rsatishi mumkinligidan dalolat beradi. Davlat banklari ulushi hamon yuqori bo‘lgan O‘zbekiston uchun bu xulosa ayniqsa muhimdir.</w:t>
      </w:r>
    </w:p>
    <w:p w:rsidR="005603EC" w:rsidRDefault="00AB61AC">
      <w:pPr>
        <w:pStyle w:val="af"/>
        <w:spacing w:after="0" w:line="360" w:lineRule="auto"/>
        <w:ind w:firstLine="709"/>
        <w:jc w:val="both"/>
      </w:pPr>
      <w: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w:t>
      </w:r>
      <w:r>
        <w:rPr>
          <w:color w:val="0070C0"/>
        </w:rPr>
        <w:t xml:space="preserve">Bu,</w:t>
      </w:r>
      <w:r>
        <w:t xml:space="preserve">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r>
      <w: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w:t>
      </w:r>
      <w:r>
        <w:rPr>
          <w:color w:val="0070C0"/>
        </w:rPr>
        <w:t xml:space="preserve">kamaytirib</w:t>
      </w:r>
      <w:r>
        <w:t xml:space="preserve">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spacing w:after="0" w:line="360" w:lineRule="auto"/>
        <w:ind w:firstLine="709"/>
        <w:jc w:val="both"/>
      </w:pPr>
      <w:r>
        <w:rPr>
          <w:color w:val="0070C0"/>
        </w:rPr>
        <w:t xml:space="preserve">2.1.1-rasmdan </w:t>
      </w:r>
      <w:r>
        <w:t xml:space="preserve">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7"/>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r>
      <w:r>
        <w:t>nizom 2026-yil 1-yanvardan o‘z kuchini yo‘qotdi</w:t>
      </w:r>
      <w:r>
        <w:rPr>
          <w:rStyle w:val="aff8"/>
        </w:rPr>
        <w:footnoteReference w:id="248"/>
      </w:r>
      <w:r>
        <w:t xml:space="preserve">. Shu bilan Bazel III ning makroprudensial elementlari – kapital buferlari </w:t>
      </w:r>
      <w:r>
        <w:rPr>
          <w:color w:val="0070C0"/>
        </w:rPr>
        <w:t xml:space="preserve">– ham</w:t>
      </w:r>
      <w:r>
        <w:t xml:space="preserve">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2025-yilgacha </w:t>
            </w:r>
            <w:r>
              <w:rPr>
                <w:rFonts w:ascii="Times New Roman" w:hAnsi="Times New Roman" w:eastAsia="Times New Roman" w:cs="Times New Roman"/>
                <w:color w:val="0070C0"/>
                <w:sz w:val="24"/>
                <w:szCs w:val="24"/>
              </w:rPr>
              <w:t xml:space="preserve">3 foizlik</w:t>
            </w:r>
            <w:r>
              <w:rPr>
                <w:rFonts w:ascii="Times New Roman" w:hAnsi="Times New Roman" w:eastAsia="Times New Roman" w:cs="Times New Roman"/>
                <w:sz w:val="24"/>
                <w:szCs w:val="24"/>
              </w:rPr>
              <w:t xml:space="preserve">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w:t>
      </w:r>
      <w:r>
        <w:rPr>
          <w:color w:val="0070C0"/>
        </w:rPr>
        <w:t xml:space="preserve">me’yorlar bo‘yicha</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w:t>
      </w:r>
      <w:r>
        <w:rPr>
          <w:color w:val="0070C0"/>
        </w:rPr>
        <w:t xml:space="preserve">–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w:t>
      </w:r>
      <w:r>
        <w:rPr/>
        <w:t xml:space="preserve">barqaror holatda. Jumladan, 2021–2025-yillarda</w:t>
      </w:r>
      <w:r>
        <w:rPr/>
        <w:t xml:space="preserve">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w:t>
            </w:r>
            <w:r>
              <w:rPr>
                <w:rFonts w:ascii="Times New Roman" w:hAnsi="Times New Roman" w:eastAsia="Times New Roman" w:cs="Times New Roman"/>
                <w:color w:val="0070C0"/>
                <w:sz w:val="24"/>
                <w:szCs w:val="24"/>
              </w:rPr>
              <w:t xml:space="preserve">kamaytirib</w:t>
            </w:r>
            <w:r>
              <w:rPr>
                <w:rFonts w:ascii="Times New Roman" w:hAnsi="Times New Roman" w:eastAsia="Times New Roman" w:cs="Times New Roman"/>
                <w:sz w:val="24"/>
                <w:szCs w:val="24"/>
              </w:rPr>
              <w:t xml:space="preserve">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w:t>
      </w:r>
      <w:r>
        <w:rPr>
          <w:color w:val="0070C0"/>
        </w:rPr>
        <w:t xml:space="preserve">kamaytirib</w:t>
      </w:r>
      <w:r>
        <w:t xml:space="preserve"> ko‘rsatish holatlari ko‘proq uchraydigan imtiyozli va yo‘naltirilgan kreditlarga alohida e’tibor qaratish kerakligi ta’kidlangan</w:t>
      </w:r>
      <w:r>
        <w:rPr>
          <w:rStyle w:val="aff8"/>
        </w:rPr>
        <w:footnoteReference w:id="270"/>
      </w:r>
      <w:r>
        <w:t xml:space="preserve">. Yo‘l xaritasida bu muammoning </w:t>
      </w:r>
      <w:r>
        <w:rPr/>
        <w:t xml:space="preserve">aniq sabablari ham ko‘rsatilgan. Xususan, amaldagi tartibda</w:t>
      </w:r>
      <w:r>
        <w:t xml:space="preserve">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 xml:space="preserve">Oldingi paragrafda O‘zbekistonda banklar moliyaviy barqarorligini baholash tizimining tuzilishi va uni xalqaro standartlarga moslashtirish muammolari ko‘rib chiqildi. Endi ushbu tizim natijalarini, ya’ni bank tizimi va alohida banklarning moliyaviy barqarorlik </w:t>
      </w:r>
      <w:r>
        <w:rPr>
          <w:color w:val="0070C0"/>
        </w:rPr>
        <w:t xml:space="preserve">ko‘rsatkichlarini,</w:t>
      </w:r>
      <w:r>
        <w:t xml:space="preserve">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w:t>
      </w:r>
      <w:r>
        <w:rPr/>
        <w:t xml:space="preserve">tanlanishi tasodifiy emas, chunki birinchisi</w:t>
      </w:r>
      <w:r>
        <w:t xml:space="preserve">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r>
      <w:r>
        <w:t xml:space="preserve">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w:t>
      </w:r>
      <w:r>
        <w:rPr>
          <w:color w:val="0070C0"/>
        </w:rPr>
        <w:t xml:space="preserve">kamaytirib</w:t>
      </w:r>
      <w:r>
        <w:t xml:space="preserve">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 xml:space="preserve">Jadval ma’lumotlari bank tizimining umumiy holatini </w:t>
      </w:r>
      <w:r>
        <w:rPr/>
        <w:t xml:space="preserve">ijobiy baholash imkonini beradi, chunki kapital va likvidlik</w:t>
      </w:r>
      <w:r>
        <w:t xml:space="preserve">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spacing w:after="0" w:line="360" w:lineRule="auto"/>
        <w:ind w:firstLine="709"/>
        <w:jc w:val="both"/>
      </w:pPr>
      <w:r>
        <w:rPr>
          <w:color w:val="0070C0"/>
        </w:rPr>
        <w:t xml:space="preserve">2.2.2-rasmdan </w:t>
      </w:r>
      <w:r>
        <w:rPr/>
        <w:t xml:space="preserve">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w:t>
      </w:r>
      <w:r>
        <w:rPr/>
        <w:t xml:space="preserve">bu ko‘rsatkichlar yuqori, chunki Bazel III da</w:t>
      </w:r>
      <w:r>
        <w:t xml:space="preserve"> jami kapital uchun 8 foiz, konservatsiya buferi bilan 10,5 foiz, asosiy kapital uchun esa 4,5 foiz minimum belgilangan</w:t>
      </w:r>
      <w:r>
        <w:rPr>
          <w:rStyle w:val="aff8"/>
        </w:rPr>
        <w:footnoteReference w:id="290"/>
      </w:r>
      <w:r>
        <w:t xml:space="preserve">. CAMELS tizimida eng yuqori, ya’ni </w:t>
      </w:r>
      <w:r>
        <w:rPr>
          <w:color w:val="0070C0"/>
        </w:rPr>
        <w:t xml:space="preserve">1-reyting,</w:t>
      </w:r>
      <w:r>
        <w:t xml:space="preserve"> kapital koeffitsiyentlari 4 va 8 foizlik chegaralardan ancha yuqori bo‘lganda beriladi</w:t>
      </w:r>
      <w:r>
        <w:rPr>
          <w:rStyle w:val="aff8"/>
        </w:rPr>
        <w:footnoteReference w:id="291"/>
      </w:r>
      <w:r>
        <w:t xml:space="preserve">. Shu bilan birga, uch jihat bu bahoni ehtiyotkorlik bilan qabul qilishni talab qiladi. Birinchidan, 2.1-paragrafda ko‘rsatilganidek, kapital ta’rifi </w:t>
      </w:r>
      <w:r>
        <w:rPr/>
        <w:t xml:space="preserve">Bazel III ga to‘liq mos emas, chunki II darajali</w:t>
      </w:r>
      <w:r>
        <w:t xml:space="preserve">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5"/>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70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195"/>
        <w:gridCol w:w="964"/>
        <w:gridCol w:w="964"/>
        <w:gridCol w:w="964"/>
        <w:gridCol w:w="964"/>
        <w:gridCol w:w="964"/>
      </w:tblGrid>
      <w:tr>
        <w:trPr>
          <w:tblHeader/>
        </w:trPr>
        <w:tc>
          <w:tcPr>
            <w:tcW w:type="dxa" w:w="4195"/>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Ko‘rsatkich</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2021</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2022</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2023</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2024</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2025</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color w:val="0070C0"/>
                <w:sz w:val="24"/>
                <w:szCs w:val="24"/>
              </w:rPr>
              <w:t>Substandart va muammoli kreditlar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12,5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15,9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19,5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21,0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15,0</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color w:val="0070C0"/>
                <w:sz w:val="24"/>
                <w:szCs w:val="24"/>
              </w:rPr>
              <w:t>Muammoli kreditlar, davlat ulushi mavjud banklar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5,4</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3,2</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color w:val="0070C0"/>
                <w:sz w:val="24"/>
                <w:szCs w:val="24"/>
              </w:rPr>
              <w:t>Muammoli kreditlar, jami</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5,2</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3,6</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3,0</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color w:val="0070C0"/>
                <w:sz w:val="24"/>
                <w:szCs w:val="24"/>
              </w:rPr>
              <w:t>Muammoli kreditlar, boshqa banklar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2,4</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2,6</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0000"/>
                <w:sz w:val="24"/>
                <w:szCs w:val="24"/>
              </w:rPr>
              <w:t xml:space="preserve">━━ </w:t>
            </w:r>
            <w:r>
              <w:rPr>
                <w:rFonts w:ascii="Times New Roman" w:hAnsi="Times New Roman" w:eastAsia="Times New Roman" w:cs="Times New Roman"/>
                <w:b w:val="0"/>
                <w:color w:val="0070C0"/>
                <w:sz w:val="24"/>
                <w:szCs w:val="24"/>
              </w:rPr>
              <w:t>Erta ogohlantirish chegarasi (5 %)</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r>
    </w:tbl>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w:t>
      </w:r>
      <w:r>
        <w:rPr>
          <w:color w:val="0070C0"/>
        </w:rPr>
        <w:t xml:space="preserve">Shu sababli tahlil uchta</w:t>
      </w:r>
      <w:r>
        <w:rPr/>
        <w:t xml:space="preserve">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w:t>
      </w:r>
      <w:r>
        <w:rPr>
          <w:color w:val="0070C0"/>
        </w:rPr>
        <w:t xml:space="preserve">misolida chuqurlashtiriladi.</w:t>
      </w:r>
      <w:r>
        <w:rPr/>
        <w:t xml:space="preserve"> Avval har bir </w:t>
      </w:r>
      <w:r>
        <w:rPr>
          <w:color w:val="0070C0"/>
        </w:rPr>
        <w:t xml:space="preserve">bankning asosiy</w:t>
      </w:r>
      <w:r>
        <w:rPr/>
        <w:t xml:space="preserve"> ko‘rsatkichlari alohida (2.2.2–2.2.4-jadvallar), </w:t>
      </w:r>
      <w:r>
        <w:rPr>
          <w:color w:val="0070C0"/>
        </w:rPr>
        <w:t xml:space="preserve">so‘ngra ular qiyosiy</w:t>
      </w:r>
      <w:r>
        <w:rPr/>
        <w:t xml:space="preserve">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 xml:space="preserve">Izoh: muammoli kreditlar – qoniqarsiz, shubhali va </w:t>
      </w:r>
      <w:r>
        <w:rPr>
          <w:i/>
          <w:iCs/>
          <w:color w:val="0070C0"/>
        </w:rPr>
        <w:t xml:space="preserve">umidsiz kreditlar</w:t>
      </w:r>
      <w:r>
        <w:rPr>
          <w:i/>
          <w:iCs/>
        </w:rPr>
        <w:t xml:space="preserve">; </w:t>
      </w:r>
      <w:r>
        <w:rPr>
          <w:i/>
          <w:iCs/>
          <w:color w:val="0070C0"/>
        </w:rPr>
        <w:t xml:space="preserve">ROA va ROE – sof foydaning o‘rtacha yillik aktivlar va kapitalga nisbati.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w:t>
      </w:r>
      <w:r>
        <w:rPr/>
        <w:t xml:space="preserve">MHXS hisoboti bilan tasdiqlanadi. Xususan, 2025-yil</w:t>
      </w:r>
      <w:r>
        <w:rPr/>
        <w:t xml:space="preserve">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w:t>
      </w:r>
      <w:r>
        <w:rPr/>
        <w:t xml:space="preserve">resurslari hisobiga moliyalashtiradi. Chunonchi, 2025-yil</w:t>
      </w:r>
      <w:r>
        <w:rPr/>
        <w:t xml:space="preserve"> yakunida bankning olingan kreditlari 35,5 trln so‘mni tashkil etib, depozitlardan qariyb 1,1 barobar ko‘p bo‘lgan</w:t>
      </w:r>
      <w:r>
        <w:rPr>
          <w:rStyle w:val="aff8"/>
        </w:rPr>
        <w:footnoteReference w:id="313"/>
      </w:r>
      <w:r>
        <w:rPr/>
        <w:t xml:space="preserve">.</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w:t>
      </w:r>
      <w:r>
        <w:rPr/>
        <w:t xml:space="preserve">keskin tebranadi. Jumladan, 2021-yilda</w:t>
      </w:r>
      <w:r>
        <w:rPr/>
        <w:t xml:space="preserve">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 xml:space="preserve">Izoh: muammoli kreditlar – qoniqarsiz, shubhali va </w:t>
      </w:r>
      <w:r>
        <w:rPr>
          <w:i/>
          <w:iCs/>
          <w:color w:val="0070C0"/>
        </w:rPr>
        <w:t xml:space="preserve">umidsiz kreditlar</w:t>
      </w:r>
      <w:r>
        <w:rPr>
          <w:i/>
          <w:iCs/>
        </w:rPr>
        <w:t xml:space="preserve">; </w:t>
      </w:r>
      <w:r>
        <w:rPr>
          <w:i/>
          <w:iCs/>
          <w:color w:val="0070C0"/>
        </w:rPr>
        <w:t xml:space="preserve">ROA va ROE – sof foydaning o‘rtacha yillik aktivlar va kapitalga nisbati.</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w:t>
      </w:r>
      <w:r>
        <w:rPr/>
        <w:t xml:space="preserve">daromadlilikka bevosita ta’sir ko‘rsatgan. Jumladan, ROE</w:t>
      </w:r>
      <w:r>
        <w:rPr/>
        <w:t xml:space="preserve"> 2021–2023-yillarda 0,7–1,9 foiz bilan inflyatsiya darajasidan ancha past bo‘lgan, 2024-yilda esa bank 1 703,8 mlrd so‘m zarar ko‘rgan. Bu zarar aktivlar bo‘yicha ehtimoliy yo‘qotishlarga qarshi zaxiralarning keskin oshirilishi </w:t>
      </w:r>
      <w:r>
        <w:rPr/>
        <w:t xml:space="preserve">natijasida yuzaga kelgan. Xususan, zaxiralar ajratilgandan</w:t>
      </w:r>
      <w:r>
        <w:rPr/>
        <w:t xml:space="preserve"> keyingi sof foizli daromad 1 167,3 mlrd so‘m zararni tashkil etgan</w:t>
      </w:r>
      <w:r>
        <w:rPr>
          <w:rStyle w:val="aff8"/>
        </w:rPr>
        <w:footnoteReference w:id="316"/>
      </w:r>
      <w:r>
        <w:rPr/>
        <w:t xml:space="preserve">. Boshqacha aytganda, ilgari </w:t>
      </w:r>
      <w:r>
        <w:rPr>
          <w:color w:val="0070C0"/>
        </w:rPr>
        <w:t xml:space="preserve">kamaytirib</w:t>
      </w:r>
      <w:r>
        <w:rPr/>
        <w:t xml:space="preserve">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 xml:space="preserve">Izoh: muammoli kreditlar – qoniqarsiz, shubhali va </w:t>
      </w:r>
      <w:r>
        <w:rPr>
          <w:i/>
          <w:iCs/>
          <w:color w:val="0070C0"/>
        </w:rPr>
        <w:t xml:space="preserve">umidsiz kreditlar</w:t>
      </w:r>
      <w:r>
        <w:rPr>
          <w:i/>
          <w:iCs/>
        </w:rPr>
        <w:t xml:space="preserve">; </w:t>
      </w:r>
      <w:r>
        <w:rPr>
          <w:i/>
          <w:iCs/>
          <w:color w:val="0070C0"/>
        </w:rPr>
        <w:t xml:space="preserve">ROA va ROE – sof foydaning o‘rtacha yillik aktivlar va kapitalga nisbati.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w:t>
      </w:r>
      <w:r>
        <w:rPr/>
        <w:t xml:space="preserve">farqi moliyalashtirish tuzilmasida. Xususan, kreditlarning</w:t>
      </w:r>
      <w:r>
        <w:rPr/>
        <w:t xml:space="preserve">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w:t>
      </w:r>
      <w:r>
        <w:rPr/>
        <w:t xml:space="preserve">xuddi shunday manzara kuzatiladi. Unda 3-bosqich</w:t>
      </w:r>
      <w:r>
        <w:rPr/>
        <w:t xml:space="preserve">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w:t>
      </w:r>
      <w:r>
        <w:rPr>
          <w:color w:val="0070C0"/>
        </w:rPr>
        <w:t xml:space="preserve">“Mikrokreditbank” ATB da</w:t>
      </w:r>
      <w:r>
        <w:t xml:space="preserve">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w:t>
      </w:r>
      <w:r>
        <w:rPr>
          <w:color w:val="0070C0"/>
        </w:rPr>
        <w:t xml:space="preserve">kamaytirib</w:t>
      </w:r>
      <w:r>
        <w:t xml:space="preserve">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w:t>
      </w:r>
      <w:r>
        <w:rPr/>
        <w:t xml:space="preserve">muhim jihatni ochib berdi. Unga ko‘ra, davlat banklarida</w:t>
      </w:r>
      <w:r>
        <w:t xml:space="preserve">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w:t>
      </w:r>
      <w:r>
        <w:rPr/>
        <w:t xml:space="preserve">eng zaif bo‘g‘in bo‘lib qolmoqda. Xususan, substandart</w:t>
      </w:r>
      <w:r>
        <w:t xml:space="preserve">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xml:space="preserve">, prudensial nazorat, ya’ni kapital yetarliligi, aktivlar sifati va likvidlik me’yorlariga rioya </w:t>
      </w:r>
      <w:r>
        <w:rPr>
          <w:color w:val="0070C0"/>
        </w:rPr>
        <w:t xml:space="preserve">etilishi,</w:t>
      </w:r>
      <w:r>
        <w:t xml:space="preserve">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r>
      <w:r>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xml:space="preserve">. Bu tadqiqotlar bitta </w:t>
      </w:r>
      <w:r>
        <w:rPr/>
        <w:t xml:space="preserve">umumiy xulosaga olib keladi. Unga ko‘ra, hisobot standarti</w:t>
      </w:r>
      <w:r>
        <w:t xml:space="preserve">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spacing w:after="0" w:line="360" w:lineRule="auto"/>
        <w:ind w:firstLine="709"/>
        <w:jc w:val="both"/>
      </w:pPr>
      <w:r>
        <w:rPr>
          <w:color w:val="0070C0"/>
        </w:rPr>
        <w:t xml:space="preserve">2.3.1-jadval ma’lumotlari</w:t>
      </w:r>
      <w:r>
        <w:t xml:space="preserve"> shuni ko‘rsatadiki, ikki hisobot o‘rtasidagi farqlarning eng muhimlari kreditlarni tasniflash va zaxira shakllantirish qoidalari bilan bog‘liq. Milliy tizimda zaxira miqdori kreditning toifasiga qarab qat’iy stavkalarda </w:t>
      </w:r>
      <w:r>
        <w:lastRenderedPageBreak/>
      </w:r>
      <w:r>
        <w:t>belgilanadi</w:t>
      </w:r>
      <w:r>
        <w:rPr>
          <w:rStyle w:val="aff8"/>
        </w:rPr>
        <w:footnoteReference w:id="335"/>
      </w:r>
      <w:r>
        <w:t xml:space="preserve">. Ushbu stavkalar haqiqatda qo‘llanayotganini “O‘zsanoatqurilishbank” ATB ning 2025-yil yakunidagi </w:t>
      </w:r>
      <w:r>
        <w:rPr/>
        <w:t xml:space="preserve">hisoboti tasdiqlaydi. Jumladan, standart kreditlar</w:t>
      </w:r>
      <w:r>
        <w:t xml:space="preserve">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w:t>
            </w:r>
            <w:r>
              <w:rPr>
                <w:rFonts w:ascii="Times New Roman" w:hAnsi="Times New Roman" w:eastAsia="Times New Roman" w:cs="Times New Roman"/>
                <w:color w:val="0070C0"/>
                <w:sz w:val="24"/>
                <w:szCs w:val="24"/>
              </w:rPr>
              <w:t xml:space="preserve">2-</w:t>
            </w:r>
            <w:r>
              <w:rPr>
                <w:rFonts w:ascii="Times New Roman" w:hAnsi="Times New Roman" w:eastAsia="Times New Roman" w:cs="Times New Roman"/>
                <w:sz w:val="24"/>
                <w:szCs w:val="24"/>
              </w:rPr>
              <w:t xml:space="preserve">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rPr>
          <w:color w:val="0070C0"/>
        </w:rPr>
        <w:t xml:space="preserve">2.3.1-rasmdan </w:t>
      </w:r>
      <w:r>
        <w:t xml:space="preserve">ko‘rinib turibdiki, tafovut zanjirining boshlang‘ich bo‘g‘ini kreditlarni tasniflash bo‘lib, uning ta’siri moliyaviy barqarorlikning barcha asosiy bloklariga – aktivlar sifati, daromadlilik, kapital va likvidlikka yetib boradi. Bu zanjirning muhim xususiyati shundaki, uning har bir bo‘g‘inida </w:t>
      </w:r>
      <w:r>
        <w:rPr/>
        <w:t xml:space="preserve">ta’sir kuchsizlanib boradi. Masalan, kreditlar tasnifidagi</w:t>
      </w:r>
      <w:r>
        <w:t xml:space="preserve"> farq bir necha barobarni tashkil etsa, kapitaldagi farq o‘n </w:t>
      </w:r>
      <w:r>
        <w:lastRenderedPageBreak/>
      </w:r>
      <w:r>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w:t>
      </w:r>
      <w:r>
        <w:rPr/>
        <w:t xml:space="preserve">. Masalan, “Mikrokreditbank”</w:t>
      </w:r>
      <w:r>
        <w:rPr/>
        <w:t xml:space="preserve">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w:t>
      </w:r>
      <w:r>
        <w:rPr/>
        <w:t xml:space="preserve">bevosita ta’sir qiladi. Xususan, MHXS ma’lumotlari</w:t>
      </w:r>
      <w:r>
        <w:t xml:space="preserve">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w:t>
      </w:r>
      <w:r>
        <w:rPr/>
        <w:t xml:space="preserve">vaziyat tubdan farq qiladi, chunki rasmiy hisobot</w:t>
      </w:r>
      <w:r>
        <w:rPr/>
        <w:t xml:space="preserve">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r>
      <w:r>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spacing w:after="0" w:line="360" w:lineRule="auto"/>
        <w:ind w:firstLine="709"/>
        <w:jc w:val="both"/>
      </w:pPr>
      <w:r>
        <w:rPr>
          <w:color w:val="0070C0"/>
        </w:rPr>
        <w:t xml:space="preserve">2.3.2-rasmdan </w:t>
      </w:r>
      <w:r>
        <w:t xml:space="preserve">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r>
      <w:r>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6"/>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spacing w:after="0" w:line="360" w:lineRule="auto"/>
        <w:ind w:firstLine="709"/>
        <w:jc w:val="both"/>
      </w:pPr>
      <w:r>
        <w:lastRenderedPageBreak/>
      </w:r>
      <w:r>
        <w:rPr>
          <w:color w:val="0070C0"/>
        </w:rPr>
        <w:t xml:space="preserve">2.3.3-rasm ma’lumotlari</w:t>
      </w:r>
      <w:r>
        <w:t xml:space="preserve">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w:t>
      </w:r>
      <w:r>
        <w:rPr>
          <w:color w:val="0070C0"/>
        </w:rPr>
        <w:t xml:space="preserve">esa, aksincha,</w:t>
      </w:r>
      <w:r>
        <w:t xml:space="preserve">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spacing w:after="0" w:line="360" w:lineRule="auto"/>
        <w:ind w:firstLine="709"/>
        <w:jc w:val="both"/>
      </w:pPr>
      <w:r>
        <w:rPr>
          <w:color w:val="0070C0"/>
        </w:rPr>
        <w:t xml:space="preserve">2.3.4-rasm ma’lumotlari</w:t>
      </w:r>
      <w:r>
        <w:t xml:space="preserve">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xml:space="preserve">. 2-bosqich kreditlari bo‘yicha </w:t>
      </w:r>
      <w:r>
        <w:rPr/>
        <w:t xml:space="preserve">ham manzara o‘xshash. Jumladan, 2025-yilda</w:t>
      </w:r>
      <w:r>
        <w:t xml:space="preserve"> kredit riski sezilarli oshgan 25 320,4 mlrd so‘mlik kreditlarning 51,2 foizi milliy tasnifda “standart” kreditlar hisoblangan.</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50"/>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lastRenderedPageBreak/>
      </w:r>
      <w:r>
        <w:t xml:space="preserve">Bu ma’lumotlar yuqorida keltirilgan nazariy xulosani </w:t>
      </w:r>
      <w:r>
        <w:rPr/>
        <w:t xml:space="preserve">amaliy jihatdan tasdiqlaydi. Unga ko‘ra, milliy va MHXS</w:t>
      </w:r>
      <w:r>
        <w:t xml:space="preserve">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w:t>
      </w:r>
      <w:r>
        <w:rPr/>
        <w:t xml:space="preserve">koeffitsiyenti ham keltirilgan. Ushbu koeffitsiyent 2021-yildagi</w:t>
      </w:r>
      <w:r>
        <w:rPr/>
        <w:t xml:space="preserve"> 2,46 dan 2022-yilda 4,90 gacha oshib, 2023–2024-yillarda 4,01 darajasida saqlangan, 2025-yilda esa 2,83 ga pasaygan, ya’ni bu bankda milliy tasnif kredit riskini ikki tadqiqot obyektiga nisbatan ham kuchliroq </w:t>
      </w:r>
      <w:r>
        <w:rPr>
          <w:color w:val="0070C0"/>
        </w:rPr>
        <w:t xml:space="preserve">kamaytirib</w:t>
      </w:r>
      <w:r>
        <w:rPr/>
        <w:t xml:space="preserve"> ko‘rsatgan.</w:t>
      </w:r>
      <w:r>
        <w:t xml:space="preserve"> </w:t>
      </w:r>
      <w:r>
        <w:rPr/>
        <w:t xml:space="preserve">Uchala bank uchun</w:t>
      </w:r>
      <w:r>
        <w:t xml:space="preserve"> ham koeffitsiyentning nisbatan barqarorligi muhim </w:t>
      </w:r>
      <w:r>
        <w:rPr/>
        <w:t xml:space="preserve">amaliy xulosaga olib keladi. Unga ko‘ra, milliy hisobot</w:t>
      </w:r>
      <w:r>
        <w:t xml:space="preserve"> asosidagi muammoli kreditlar ko‘rsatkichi kredit riskini tasodifan emas, balki muntazam ravishda </w:t>
      </w:r>
      <w:r>
        <w:rPr>
          <w:color w:val="0070C0"/>
        </w:rPr>
        <w:t xml:space="preserve">kamaytirib</w:t>
      </w:r>
      <w:r>
        <w:t xml:space="preserve">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w:t>
      </w:r>
      <w:r>
        <w:rPr>
          <w:color w:val="0070C0"/>
        </w:rPr>
        <w:t xml:space="preserve">olishini,</w:t>
      </w:r>
      <w:r>
        <w:t xml:space="preserve">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r>
      <w:r>
        <w:rPr/>
        <w:t>paragraf boshida J. Abad va J. Suarez tadqiqoti misolida</w:t>
      </w:r>
      <w:r>
        <w:t xml:space="preserve"> ko‘rib chiqilgan kutilgan kredit zararlari modelining prosiklik xususiyati to‘g‘risidagi xulosani </w:t>
      </w:r>
      <w:r>
        <w:rPr/>
        <w:t xml:space="preserve">boshqa tomondan ham to‘ldiradi. Chunonchi, ertaroq</w:t>
      </w:r>
      <w:r>
        <w:t xml:space="preserve">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xml:space="preserve">, MHXS ma’lumotlariga asoslangan koeffitsiyentlar esa banklar tomonidan e’lon qilinmaydi. Shu sababli ular Markaziy bank metodikasi bo‘yicha </w:t>
      </w:r>
      <w:r>
        <w:rPr/>
        <w:t xml:space="preserve">muallif tomonidan qayta hisoblandi. Bunda birinchi darajali</w:t>
      </w:r>
      <w:r>
        <w:t xml:space="preserve">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w:t>
      </w:r>
      <w:r>
        <w:rPr>
          <w:color w:val="0070C0"/>
        </w:rPr>
        <w:t xml:space="preserve">– hamda</w:t>
      </w:r>
      <w:r>
        <w:t xml:space="preserve"> ikki hisobot turi bo‘yicha to‘rt variantda hisoblandi</w:t>
      </w:r>
      <w:r>
        <w:rPr>
          <w:rStyle w:val="aff8"/>
        </w:rPr>
        <w:footnoteReference w:id="358"/>
      </w:r>
      <w:r>
        <w:rPr>
          <w:rStyle w:val="aff8"/>
        </w:rPr>
        <w:footnoteReference w:id="359"/>
      </w:r>
      <w:r>
        <w:t>.</w:t>
      </w:r>
      <w:r>
        <w:rPr/>
        <w:t xml:space="preserve"> </w:t>
      </w:r>
      <w:r>
        <w:rPr/>
        <w:lastRenderedPageBreak/>
      </w:r>
      <w:r>
        <w:rPr/>
        <w:t xml:space="preserve">Hisob-kitob jarayonida xalqaro standart va bankning hisobot shakli o‘rtasida muhim farq aniqlandi. Bazel III ga </w:t>
      </w:r>
      <w:r>
        <w:rPr>
          <w:color w:val="0070C0"/>
        </w:rPr>
        <w:t xml:space="preserve">ko‘ra,</w:t>
      </w:r>
      <w:r>
        <w:rPr/>
        <w:t xml:space="preserve">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w:t>
      </w:r>
      <w:r>
        <w:rPr/>
        <w:t xml:space="preserve">bir-birini qisman qoplaydi. Xususan, Bazel III</w:t>
      </w:r>
      <w:r>
        <w:t xml:space="preserve">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spacing w:after="0" w:line="360" w:lineRule="auto"/>
        <w:ind w:firstLine="709"/>
        <w:jc w:val="both"/>
      </w:pPr>
      <w:r>
        <w:rPr>
          <w:color w:val="0070C0"/>
        </w:rPr>
        <w:t xml:space="preserve">2.3.7-rasmdan </w:t>
      </w:r>
      <w:r>
        <w:t xml:space="preserve">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w:t>
      </w:r>
      <w:r>
        <w:rPr>
          <w:color w:val="0070C0"/>
        </w:rPr>
        <w:t xml:space="preserve">kamaytirib</w:t>
      </w:r>
      <w:r>
        <w:t xml:space="preserve">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w:t>
      </w:r>
      <w:r>
        <w:rPr/>
        <w:t xml:space="preserve">bu xulosa tasdiqlandi. Jumladan, besh yillik</w:t>
      </w:r>
      <w:r>
        <w:rPr/>
        <w:t xml:space="preserve">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ya’ni MHXS 9 bo‘yicha 3-bosqich kreditlari ulushining milliy tasnifdagi muammoli kreditlar ulushiga </w:t>
      </w:r>
      <w:r>
        <w:rPr>
          <w:color w:val="0070C0"/>
        </w:rPr>
        <w:t xml:space="preserve">nisbati,</w:t>
      </w:r>
      <w:r>
        <w:t xml:space="preserve">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r>
      <w:r>
        <w:t xml:space="preserve">Milliy va xalqaro yondashuv o‘rtasidagi tafovut moliyaviy barqarorlik bloklari bo‘yicha </w:t>
      </w:r>
      <w:r>
        <w:rPr/>
        <w:t xml:space="preserve">bir tekis taqsimlanmagan. Xususan, u aktivlar</w:t>
      </w:r>
      <w:r>
        <w:t xml:space="preserve">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 xml:space="preserve">Rasmdan ko‘rinib turibdiki, algoritm sakkiz bosqichdan iborat bo‘lib, uning o‘ziga xos jihati </w:t>
      </w:r>
      <w:r>
        <w:rPr/>
        <w:t xml:space="preserve">ikkinchi bosqichda namoyon bo‘ladi. Bunda agar bankning</w:t>
      </w:r>
      <w:r>
        <w:t xml:space="preserve">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w:t>
      </w:r>
      <w:r>
        <w:rPr>
          <w:color w:val="0070C0"/>
        </w:rPr>
        <w:t xml:space="preserve">kamaytirib</w:t>
      </w:r>
      <w:r>
        <w:t xml:space="preserve">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 xml:space="preserve">Jadvalda keltirilgan chegaralarni belgilashda “me’yoriy talab – ball chegarasi” tamoyili qo‘llandi. Bu tamoyil Rossiya Banki metodikasida ham </w:t>
      </w:r>
      <w:r>
        <w:rPr/>
        <w:t xml:space="preserve">asosiy hisoblanadi. Xususan, unda kapital</w:t>
      </w:r>
      <w:r>
        <w:t xml:space="preserve">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r>
      <w:r>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w:t>
      </w:r>
      <w:r>
        <w:rPr/>
        <w:t xml:space="preserve">tashqi ma’lumot bilan ham tekshirildi. Xususan, Yevropa</w:t>
      </w:r>
      <w:r>
        <w:rPr/>
        <w:t xml:space="preserve">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r>
      <w:r>
        <w:t xml:space="preserve">yo‘qoladi. Shu sababli bu ikki </w:t>
      </w:r>
      <w:r>
        <w:rPr>
          <w:color w:val="0070C0"/>
        </w:rPr>
        <w:t xml:space="preserve">me’yor, 2.3-paragrafda ko‘rsatilganidek,</w:t>
      </w:r>
      <w:r>
        <w:t xml:space="preserve">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w:t>
      </w:r>
      <w:r>
        <w:rPr/>
        <w:t xml:space="preserve">punktlik qadamni ifodalaydi. Bunda 200 foizdan</w:t>
      </w:r>
      <w:r>
        <w:rPr/>
        <w:t xml:space="preserve">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w:t>
      </w:r>
      <w:r>
        <w:rPr/>
        <w:t xml:space="preserve">dinamik tahlilda muhim, chunki pog‘onali</w:t>
      </w:r>
      <w:r>
        <w:t xml:space="preserve"> shkalada kapital monandligining asta-sekin pasayishi chegara kesib o‘tilgunga qadar umuman sezilmaydi, uzluksiz </w:t>
      </w:r>
      <w:r>
        <w:lastRenderedPageBreak/>
      </w:r>
      <w:r>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w:t>
      </w:r>
      <w:r>
        <w:rPr>
          <w:i/>
          <w:iCs/>
          <w:color w:val="0070C0"/>
        </w:rPr>
        <w:t xml:space="preserve">2.3.2–2</w:t>
      </w:r>
      <w:r>
        <w:rPr>
          <w:i/>
          <w:iCs/>
        </w:rPr>
        <w:t xml:space="preserve">.3.5-jadvallar;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w:t>
      </w:r>
      <w:r>
        <w:rPr/>
        <w:t xml:space="preserve">banklar tartibi vaznlarga bog‘liq. Xususan, taklif etilgan</w:t>
      </w:r>
      <w:r>
        <w:rPr/>
        <w:t xml:space="preserve">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w:t>
      </w:r>
      <w:r>
        <w:rPr>
          <w:color w:val="0070C0"/>
        </w:rPr>
        <w:t xml:space="preserve">chegaralari,</w:t>
      </w:r>
      <w:r>
        <w:t xml:space="preserve">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w:t>
      </w:r>
      <w:r>
        <w:rPr>
          <w:color w:val="0070C0"/>
        </w:rPr>
        <w:t xml:space="preserve">hamda</w:t>
      </w:r>
      <w:r>
        <w:t xml:space="preserve">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w:t>
            </w:r>
            <w:r>
              <w:rPr>
                <w:rFonts w:ascii="Times New Roman" w:hAnsi="Times New Roman" w:eastAsia="Times New Roman" w:cs="Times New Roman"/>
                <w:color w:val="0070C0"/>
                <w:sz w:val="24"/>
                <w:szCs w:val="24"/>
              </w:rPr>
              <w:t xml:space="preserve">chetlanishining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w:t>
      </w:r>
      <w:r>
        <w:rPr/>
        <w:t xml:space="preserve">yaqin yoki undan yuqori vazn bergan. Xususan, entropiya</w:t>
      </w:r>
      <w:r>
        <w:t xml:space="preserve">,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r>
      <w:r>
        <w:t xml:space="preserve">Vaznlar tanlovi indeks natijalariga qanchalik ta’sir qilishini aniqlash uchun beshta bankning integral indeksi har bir usul vaznlari bo‘yicha </w:t>
      </w:r>
      <w:r>
        <w:rPr>
          <w:color w:val="0070C0"/>
        </w:rPr>
        <w:t xml:space="preserve">qayta hisoblandi (3.2.3-jadval). Bunda “Aloqabank” ATB tanlanmadan tashqari tekshiruv uchun qo‘shildi, jadvalning quyi qatorlarida esa har bir usul bo‘yicha 2021–2025-yillardagi 25 ta kuzatuvdan sinfi tayanch vaznlardagi bilan mos kelganlari soni, banklar tartibining korrelyatsiyasi va muammo hodisalarini bashorat qilish kuchi keltirilgan. Sinflarning mos kelishi vaznlarga eng sezgir ko‘rsatkich hisoblanadi, chunki tarqoqlikka asoslangan usullar sinf chegarasiga yaqin banklarning bahosini ko‘proq o‘zgartiradi.</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rPr>
          <w:color w:val="0070C0"/>
        </w:rPr>
        <w:t xml:space="preserve">Jadvaldan ko‘rinib</w:t>
      </w:r>
      <w:r>
        <w:t xml:space="preserve">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w:t>
      </w:r>
      <w:r>
        <w:t xml:space="preserve"> Sinflar bo‘yicha farqlar asosan sinflar chegarasiga yaqin bo‘lgan banklarda yuzaga keladi</w:t>
      </w:r>
      <w:r>
        <w:rPr/>
        <w:t xml:space="preserve">. Masalan, “Mikrokreditbank”</w:t>
      </w:r>
      <w:r>
        <w:t xml:space="preserve"> ATB entropiya usulida 1,92 ball bilan III sinfda qoladi, ammo uning ichida quyiroqqa tushadi.</w:t>
      </w:r>
      <w:r>
        <w:rPr/>
        <w:t xml:space="preserve"> Tanlanmadan tashqari “Aloqabank” ATB da </w:t>
      </w:r>
      <w:r>
        <w:rPr/>
        <w:t xml:space="preserve">esa manzara boshqacha. Jumladan, tayanch vaznlarda</w:t>
      </w:r>
      <w:r>
        <w:rPr/>
        <w:t xml:space="preserve">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rPr/>
        <w:t xml:space="preserve">. Bunda bloklar vaznlari Dirixle</w:t>
      </w:r>
      <w:r>
        <w:t xml:space="preserv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spacing w:after="0" w:line="360" w:lineRule="auto"/>
        <w:ind w:firstLine="709"/>
        <w:jc w:val="both"/>
      </w:pPr>
      <w:r>
        <w:rPr>
          <w:color w:val="0070C0"/>
        </w:rPr>
        <w:t xml:space="preserve">3.2.1-rasmdan </w:t>
      </w:r>
      <w:r>
        <w:t xml:space="preserve">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w:t>
      </w:r>
      <w:r>
        <w:rPr/>
        <w:t xml:space="preserve">bu holatda juda yuqori. Xususan, tartib</w:t>
      </w:r>
      <w:r>
        <w:t xml:space="preserve">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w:t>
      </w:r>
      <w:r>
        <w:rPr/>
        <w:t xml:space="preserve">mumkinligini anglatmaydi, chunki vaznlar</w:t>
      </w:r>
      <w:r>
        <w:t xml:space="preserve">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 xml:space="preserve">sinflar chegaralari tahlil davri </w:t>
      </w:r>
      <w:r>
        <w:rPr/>
        <w:t xml:space="preserve">ma’lumotlarida aniq farqlanadi. Xususan, I sinfdagi</w:t>
      </w:r>
      <w:r>
        <w:t xml:space="preserve">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w:t>
      </w:r>
      <w:r>
        <w:rPr>
          <w:color w:val="0070C0"/>
        </w:rPr>
        <w:t xml:space="preserve">tasdig‘ini</w:t>
      </w:r>
      <w:r>
        <w:rPr/>
        <w:t xml:space="preserve">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spacing w:after="0" w:line="360" w:lineRule="auto"/>
        <w:ind w:firstLine="709"/>
        <w:jc w:val="both"/>
      </w:pPr>
      <w:r>
        <w:rPr>
          <w:color w:val="0070C0"/>
        </w:rPr>
        <w:t xml:space="preserve">3.2.2-rasmdan </w:t>
      </w:r>
      <w:r>
        <w:t xml:space="preserve">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w:t>
      </w:r>
      <w:r>
        <w:rPr/>
        <w:t xml:space="preserve">kapitallashtirish hisobiga yuz bergan. Jumladan, 2022–2025-yillarda</w:t>
      </w:r>
      <w:r>
        <w:t xml:space="preserve">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7"/>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w:t>
      </w:r>
      <w:r>
        <w:rPr>
          <w:color w:val="0070C0"/>
        </w:rPr>
        <w:t xml:space="preserve">0,30</w:t>
      </w:r>
      <w:r>
        <w:rPr/>
        <w:t xml:space="preserve">) deyarli teng, bashorat kuchiga asoslangan logit </w:t>
      </w:r>
      <w:r>
        <w:rPr/>
        <w:lastRenderedPageBreak/>
      </w:r>
      <w:r>
        <w:rPr/>
        <w:t>usulida esa bu blok yagona statistik ahamiyatli blok bo‘ldi.</w:t>
      </w:r>
      <w:r>
        <w:t xml:space="preserve"> Ikkinchidan, vaznlar tanlovi banklar tartibini </w:t>
      </w:r>
      <w:r>
        <w:rPr/>
        <w:t xml:space="preserve">deyarli o‘zgartirmaydi. Xususan, tartib</w:t>
      </w:r>
      <w:r>
        <w:rPr/>
        <w:t xml:space="preserve">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xml:space="preserve">. O‘zbekistonda esa bank barqarorligi omillarini bank darajasidagi panel ma’lumotlar asosida, ayniqsa integral ko‘rsatkich orqali baholashga bag‘ishlangan tadqiqotlar </w:t>
      </w:r>
      <w:r>
        <w:rPr/>
        <w:t xml:space="preserve">deyarli mavjud emas. Mavjud ishlarda esa ko‘rsatkichlar</w:t>
      </w:r>
      <w:r>
        <w:t xml:space="preserve">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spacing w:after="0" w:line="360" w:lineRule="auto"/>
        <w:ind w:firstLine="709"/>
        <w:jc w:val="both"/>
      </w:pPr>
      <w:r>
        <w:rPr>
          <w:color w:val="0070C0"/>
        </w:rPr>
        <w:t xml:space="preserve">3.3.1-jadvalda </w:t>
      </w:r>
      <w:r>
        <w:t xml:space="preserve">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w:t>
      </w:r>
      <w:r>
        <w:rPr/>
        <w:t xml:space="preserve">tadqiqotiga asoslanadi. Ushbu mualliflar kreditlarning</w:t>
      </w:r>
      <w:r>
        <w:t xml:space="preserve"> g‘ayrioddiy tez o‘sishi keyingi uch yilda kredit zaxiralarining oshishi va kapitallashuvning yomonlashuviga olib kelishini </w:t>
      </w:r>
      <w:r>
        <w:lastRenderedPageBreak/>
      </w:r>
      <w:r>
        <w:t>ko‘rsatgan</w:t>
      </w:r>
      <w:r>
        <w:rPr>
          <w:rStyle w:val="aff8"/>
        </w:rPr>
        <w:footnoteReference w:id="443"/>
      </w:r>
      <w:r>
        <w:t xml:space="preserve">. Uchinchi gipoteza A. Demirgüç-Kunt va H. Huizinga </w:t>
      </w:r>
      <w:r>
        <w:rPr/>
        <w:t xml:space="preserve">xulosasiga tayanadi. Unga ko‘ra, depozit bo‘lmagan</w:t>
      </w:r>
      <w:r>
        <w:t xml:space="preserve">, ya’ni ulgurji moliyalashtirishga ko‘proq tayanadigan banklar riskliroq bo‘ladi</w:t>
      </w:r>
      <w:r>
        <w:rPr>
          <w:rStyle w:val="aff8"/>
        </w:rPr>
        <w:footnoteReference w:id="444"/>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rPr/>
        <w:t xml:space="preserve">. Bu ko‘rsatkich aktivlar rentabelligi</w:t>
      </w:r>
      <w:r>
        <w:t xml:space="preserve">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w:t>
      </w:r>
      <w:r>
        <w:rPr/>
        <w:t xml:space="preserve">4 ball bilan baholangan, chunki tanlanmadagi</w:t>
      </w:r>
      <w:r>
        <w:t xml:space="preserve">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w:t>
      </w:r>
      <w:r>
        <w:rPr>
          <w:color w:val="0070C0"/>
        </w:rPr>
        <w:t xml:space="preserve">yilni zarar</w:t>
      </w:r>
      <w:r>
        <w:rPr/>
        <w:t xml:space="preserve">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w:t>
      </w:r>
      <w:r>
        <w:rPr/>
        <w:t xml:space="preserve">yomonlashuvi bilan izohlanadi. Xususan, ularda</w:t>
      </w:r>
      <w:r>
        <w:t xml:space="preserve">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w:t>
      </w:r>
      <w:r>
        <w:rPr/>
        <w:t xml:space="preserve">moliyalashtirish modelidagi tafovutdir. Jumladan, davlat</w:t>
      </w:r>
      <w:r>
        <w:t xml:space="preserve">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w:t>
      </w:r>
      <w:r>
        <w:rPr/>
        <w:t xml:space="preserve">barqarorroq ko‘rinadi. Xususan, 2025-yilda</w:t>
      </w:r>
      <w:r>
        <w:t xml:space="preserve">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r>
      <w:r>
        <w:t>T. Anderson va C. Hsiao usuli bo‘yicha birinchi farqlarda, indeksning ikki chorak oldingi qiymatini instrument sifatida qo‘llab baholandi</w:t>
      </w:r>
      <w:r>
        <w:rPr>
          <w:rStyle w:val="aff8"/>
        </w:rPr>
        <w:footnoteReference w:id="466"/>
      </w:r>
      <w:r>
        <w:rPr>
          <w:rStyle w:val="aff8"/>
        </w:rPr>
        <w:footnoteReference w:id="467"/>
      </w:r>
      <w:r>
        <w:t xml:space="preserve">. Omillar o‘rtasidagi multikollinearlik dispersiya inflyatsiyasi koeffitsiyenti </w:t>
      </w:r>
      <w:r>
        <w:rPr/>
        <w:t xml:space="preserve">(VIF) orqali tekshirildi. Natijalarga ko‘ra, uning eng yuqori</w:t>
      </w:r>
      <w:r>
        <w:t xml:space="preserve">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xml:space="preserve">. Ikkinchidan, sof foiz marjasi integral indeksga </w:t>
      </w:r>
      <w:r>
        <w:rPr/>
        <w:t xml:space="preserve">musbat ta’sir ko‘rsatadi. Xususan, marjaning</w:t>
      </w:r>
      <w:r>
        <w:t xml:space="preserve"> 1 foiz punktga oshishi qayd etilgan effektli modelga ko‘ra indeksni 0,009 ballga, dinamik modelga ko‘ra 0,022 ballga oshiradi. Bu </w:t>
      </w:r>
      <w:r>
        <w:rPr/>
        <w:t xml:space="preserve">to‘rtinchi gipotezani tasdiqlaydi, ya’ni asosiy</w:t>
      </w:r>
      <w:r>
        <w:t xml:space="preserve">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 xml:space="preserve">Dinamik model integral indeksning sezilarli </w:t>
      </w:r>
      <w:r>
        <w:rPr/>
        <w:t xml:space="preserve">inersiyaga ega ekanini ko‘rsatadi. Xususan, oldingi</w:t>
      </w:r>
      <w:r>
        <w:t xml:space="preserve">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w:t>
      </w:r>
      <w:r>
        <w:rPr/>
        <w:t xml:space="preserve">ahamiyatli pasaytiradi. Boshqacha aytganda, kreditlarning yillik</w:t>
      </w:r>
      <w:r>
        <w:t xml:space="preserve">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w:t>
      </w:r>
      <w:r>
        <w:rPr/>
        <w:t xml:space="preserve">ta’siri ham barqaror emas, chunki u faqat</w:t>
      </w:r>
      <w:r>
        <w:t xml:space="preserve">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w:t>
      </w:r>
      <w:r>
        <w:rPr>
          <w:color w:val="0070C0"/>
        </w:rPr>
        <w:t xml:space="preserve">o‘sishining</w:t>
      </w:r>
      <w:r>
        <w:rPr/>
        <w:t xml:space="preserve">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w:t>
      </w:r>
      <w:r>
        <w:rPr/>
        <w:t xml:space="preserve">aniqlangan holatni tasdiqlaydi, ya’ni Z-score</w:t>
      </w:r>
      <w:r>
        <w:t xml:space="preserv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w:t>
      </w:r>
      <w:r>
        <w:rPr>
          <w:color w:val="0070C0"/>
        </w:rPr>
        <w:t xml:space="preserve">baholanadi</w:t>
      </w:r>
      <w:r>
        <w:rPr/>
        <w:t xml:space="preserve">.</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w:t>
      </w:r>
      <w:r>
        <w:rPr/>
        <w:t xml:space="preserve">bilan to‘liq izohlanadi. Ma’lumki, milliy tasnif</w:t>
      </w:r>
      <w:r>
        <w:t xml:space="preserve">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 xml:space="preserve">Ikkinchi bobda aniqlangan muammolar – aktivlar sifatining milliy hisobotda </w:t>
      </w:r>
      <w:r>
        <w:rPr>
          <w:color w:val="0070C0"/>
        </w:rPr>
        <w:t xml:space="preserve">kamaytirib</w:t>
      </w:r>
      <w:r>
        <w:t xml:space="preserve">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w:t>
      </w:r>
      <w:r>
        <w:rPr>
          <w:color w:val="0070C0"/>
        </w:rPr>
        <w:t xml:space="preserve">va guruhlab tahlil tizimlari, risklarni kompleks baholash tizimlari hamda</w:t>
      </w:r>
      <w:r>
        <w:t xml:space="preserve">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xml:space="preserve">. II bob tahlili O‘zbekistonda xuddi shunday muammo </w:t>
      </w:r>
      <w:r>
        <w:rPr/>
        <w:t xml:space="preserve">mavjudligini ko‘rsatdi. Xususan, “Mikrokreditbank” ATB ning</w:t>
      </w:r>
      <w:r>
        <w:t xml:space="preserve">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spacing w:after="0" w:line="360" w:lineRule="auto"/>
        <w:ind w:firstLine="709"/>
        <w:jc w:val="both"/>
      </w:pPr>
      <w:r>
        <w:rPr>
          <w:color w:val="0070C0"/>
        </w:rPr>
        <w:t xml:space="preserve">4.1.1-jadvaldan </w:t>
      </w:r>
      <w:r>
        <w:t xml:space="preserve">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r>
      <w:r>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w:t>
      </w:r>
      <w:r>
        <w:rPr>
          <w:color w:val="0070C0"/>
        </w:rPr>
        <w:t xml:space="preserve">yo‘qotishi,</w:t>
      </w:r>
      <w:r>
        <w:t xml:space="preserve">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r>
      <w:r>
        <w:t xml:space="preserve">davrda xususiy banklar ham faoliyatni kengaytirish maqsadida kapitalini oshirgan. Hisob-kitoblar 3.3-paragrafda shakllantirilgan 25 ta bank paneli </w:t>
      </w:r>
      <w:r>
        <w:rPr>
          <w:color w:val="0070C0"/>
        </w:rPr>
        <w:t xml:space="preserve">va integral indeksning shu panel uchun milliy hisobot ma’lumotlari asosida hisoblanadigan 8 ko‘rsatkichli choraklik varianti (3.2-paragrafda kiritilgan MBII-8) bo‘yicha</w:t>
      </w:r>
      <w:r>
        <w:t xml:space="preserve">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w:t>
      </w:r>
      <w:r>
        <w:rPr>
          <w:color w:val="0070C0"/>
        </w:rPr>
        <w:t xml:space="preserve">banki”), xususiylashtirilgan “Ipoteka-bank” ATB da va kichik xususiy “Garant bank”</w:t>
      </w:r>
      <w:r>
        <w:t xml:space="preserve">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r>
      <w:r>
        <w:t xml:space="preserve">aniqlanadi. To‘rt chorak muddat nazorat organi va bank rahbariyatiga tuzatish choralarini ko‘rish uchun yetarli vaqtni ta’minlaydi. Tahlil davri </w:t>
      </w:r>
      <w:r>
        <w:rPr/>
        <w:t xml:space="preserve">2021–2025-yillarni qamraydi. Bunda muammo hodisalari</w:t>
      </w:r>
      <w:r>
        <w:t xml:space="preserve">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w:t>
      </w:r>
      <w:r>
        <w:rPr>
          <w:color w:val="0070C0"/>
        </w:rPr>
        <w:t xml:space="preserve">foizi,</w:t>
      </w:r>
      <w:r>
        <w:t xml:space="preserve"> muammo hodisasidan oldingi davrga to‘g‘ri keladi. Ko‘rsatkichlarning bashorat kuchi ROC egri chizig‘i ostidagi maydon (AUC) bilan o‘lchandi</w:t>
      </w:r>
      <w:r>
        <w:rPr>
          <w:rStyle w:val="aff8"/>
        </w:rPr>
        <w:footnoteReference w:id="491"/>
      </w:r>
      <w:r>
        <w:t xml:space="preserve">. Bu ko‘rsatkich tasodifiy tanlangan muammoli bankning ko‘rsatkichi tasodifiy tanlangan sog‘lom bankning ko‘rsatkichidan yomonroq bo‘lish </w:t>
      </w:r>
      <w:r>
        <w:rPr/>
        <w:t xml:space="preserve">ehtimolini bildiradi. Bunda 0,5 qiymat</w:t>
      </w:r>
      <w:r>
        <w:t xml:space="preserve">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r>
      <w:r>
        <w:t xml:space="preserve">Jadvaldan ko‘rinib turibdiki, integral indeks muammo hodisalarini </w:t>
      </w:r>
      <w:r>
        <w:rPr/>
        <w:t xml:space="preserve">yaxshi bashorat qiladi. Xususan, uning AUC</w:t>
      </w:r>
      <w:r>
        <w:t xml:space="preserve"> qiymati 0,864 ni tashkil etib, ishonch oralig‘ining quyi chegarasi </w:t>
      </w:r>
      <w:r>
        <w:rPr>
          <w:color w:val="0070C0"/>
        </w:rPr>
        <w:t xml:space="preserve">(0,76) ham qoniqarli daraja hisoblangan 0,7</w:t>
      </w:r>
      <w:r>
        <w:t xml:space="preserve">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w:t>
      </w:r>
      <w:r>
        <w:rPr>
          <w:color w:val="0070C0"/>
        </w:rPr>
        <w:t xml:space="preserve">manbaini</w:t>
      </w:r>
      <w:r>
        <w:t xml:space="preserve"> bloklar bo‘yicha ko‘rsatish va bir vaqtning o‘zida daromadlilik va likvidlik holatini hisobga olishdadir. Ko‘rsatkichlarning bashorat kuchidagi farq 4.1.1-rasmda yaqqol ko‘rinadi.</w:t>
      </w:r>
    </w:p>
    <w:p w:rsidR="005603EC" w:rsidRDefault="00AB61AC">
      <w:pPr>
        <w:pStyle w:val="af"/>
        <w:spacing w:after="0" w:line="360" w:lineRule="auto"/>
        <w:ind w:firstLine="709"/>
        <w:jc w:val="both"/>
      </w:pPr>
      <w:r>
        <w:rPr>
          <w:color w:val="0070C0"/>
        </w:rPr>
        <w:t xml:space="preserve">4.1.1-rasmdan </w:t>
      </w:r>
      <w:r>
        <w:t xml:space="preserve">ko‘rinib turibdiki, integral indeks va muammoli kreditlar ulushining ROC egri chiziqlari tasodifiy bashorat chizig‘idan ancha yuqorida joylashgan. Masalan, noto‘g‘ri signallar ulushi 10 foiz bo‘lganda integral indeks muammo hodisalarining </w:t>
      </w:r>
      <w:r>
        <w:rPr>
          <w:color w:val="0070C0"/>
        </w:rPr>
        <w:t xml:space="preserve">73 foizini</w:t>
      </w:r>
      <w:r>
        <w:t xml:space="preserve"> oldindan aniqlaydi. Z-score ning egri chizig‘i esa tasodifiy bashorat chizig‘i atrofida va ayrim qismlarda undan pastda joylashgan. Bu holatni 3.3-paragrafda aniqlangan </w:t>
      </w:r>
      <w:r>
        <w:rPr/>
        <w:t xml:space="preserve">omil izohlaydi. Gap shundaki, Z-score</w:t>
      </w:r>
      <w:r>
        <w:t xml:space="preserv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342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6"/>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xml:space="preserve">. Taqqoslash maqsadida Z-score asosidagi, indeks bloklari asosidagi va davlat </w:t>
      </w:r>
      <w:r>
        <w:rPr>
          <w:color w:val="0070C0"/>
        </w:rPr>
        <w:t xml:space="preserve">banklari uchun fiktiv o‘zgaruvchi kiritilgan</w:t>
      </w:r>
      <w:r>
        <w:t xml:space="preserve">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w:t>
      </w:r>
      <w:r>
        <w:rPr>
          <w:color w:val="0070C0"/>
        </w:rPr>
        <w:t xml:space="preserve">u kiritilgan barcha modellarda (1-, 3- va 5-modellar)</w:t>
      </w:r>
      <w:r>
        <w:t xml:space="preserve">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w:t>
      </w:r>
      <w:r>
        <w:rPr/>
        <w:t xml:space="preserve">qiziqarli natija beradi. Unga ko‘ra, integral indeks</w:t>
      </w:r>
      <w:r>
        <w:t xml:space="preserve"> bir xil bo‘lganda davlat banklarida muammo hodisasi ehtimoli pastroq (koeffitsiyent </w:t>
      </w:r>
      <w:r>
        <w:lastRenderedPageBreak/>
      </w:r>
      <w:r>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spacing w:after="0" w:line="360" w:lineRule="auto"/>
        <w:ind w:firstLine="709"/>
        <w:jc w:val="both"/>
      </w:pPr>
      <w:r>
        <w:rPr>
          <w:color w:val="0070C0"/>
        </w:rPr>
        <w:t xml:space="preserve">4.1.2-rasmdan </w:t>
      </w:r>
      <w:r>
        <w:t xml:space="preserve">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w:t>
      </w:r>
      <w:r>
        <w:rPr>
          <w:color w:val="0070C0"/>
        </w:rPr>
        <w:t xml:space="preserve">kamida har</w:t>
      </w:r>
      <w:r>
        <w:t xml:space="preserve">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0"/>
      </w:r>
      <w:r>
        <w:rPr/>
        <w:t xml:space="preserve">. Bunda har bir chegara uchun ikki turdagi xato</w:t>
      </w:r>
      <w:r>
        <w:t xml:space="preserve"> hisoblandi. I tur xato muammo hodisasidan oldin signal berilmagan holatlar ulushini, II tur xato esa </w:t>
      </w:r>
      <w:r>
        <w:lastRenderedPageBreak/>
      </w:r>
      <w:r>
        <w:t xml:space="preserve">muammo yuz bermagan holatda berilgan noto‘g‘ri signallar ulushini bildiradi (</w:t>
      </w:r>
      <w:r>
        <w:rPr>
          <w:color w:val="0070C0"/>
        </w:rPr>
        <w:t xml:space="preserve">4.1.5-jadval, to‘liq jadval 6-ilovada keltirilgan</w:t>
      </w:r>
      <w:r>
        <w:t xml:space="preserve">).</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1"/>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w:t>
      </w:r>
      <w:r>
        <w:rPr/>
        <w:t xml:space="preserve">2,85 ballni tashkil etadi. Bunda muammo</w:t>
      </w:r>
      <w:r>
        <w:t xml:space="preserve"> hodisalarining 69 foizi oldindan aniqlanadi, sog‘lom kuzatuvlarning faqat 8,2 foizida noto‘g‘ri signal beriladi, shovqin/signal nisbati esa 0,12 ga teng. </w:t>
      </w:r>
      <w:r>
        <w:rPr>
          <w:color w:val="0070C0"/>
        </w:rPr>
        <w:t xml:space="preserve">Jadvaldagi chegaralar ichida 2,75 ballik chegarada shovqin/signal nisbati eng past (0,09), ya’ni signal eng ishonchli bo‘ladi (undan past chegaralarda bu nisbat yanada kamayadi, biroq I tur xato 38 foizdan oshadi – 6-ilova)</w:t>
      </w:r>
      <w:r>
        <w:t xml:space="preserve">.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w:t>
      </w:r>
      <w:r>
        <w:rPr/>
        <w:t xml:space="preserve">maqsadga muvofiq. Jumladan, 3,25 ballik chegara</w:t>
      </w:r>
      <w:r>
        <w:t xml:space="preserve">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w:t>
      </w:r>
      <w:r>
        <w:rPr/>
        <w:t xml:space="preserve">sinov o‘tkazildi. Bunda logit model</w:t>
      </w:r>
      <w:r>
        <w:t xml:space="preserve"> faqat 2021-yil IV choragidan 2022-yil IV choragigacha bo‘lgan 113 ta kuzatuv asosida baholandi va 2023–2024-yillardagi 195 ta kuzatuvga qo‘llandi. Sinov davrida 18 ta kuzatuv muammo hodisasidan oldingi davrga to‘g‘ri </w:t>
      </w:r>
      <w:r>
        <w:lastRenderedPageBreak/>
      </w:r>
      <w:r>
        <w:t xml:space="preserve">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w:t>
      </w:r>
      <w:r>
        <w:rPr>
          <w:color w:val="0070C0"/>
        </w:rPr>
        <w:t xml:space="preserve">o‘qitish davri (2021-yil IV choragi – 2022-yil IV choragi)</w:t>
      </w:r>
      <w:r>
        <w:t xml:space="preserve">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 xml:space="preserve">Natijalarning barqarorligi qo‘shimcha ravishda uch yo‘nalishda tekshirildi. Birinchidan, bir bankka tegishli kuzatuvlar o‘zaro bog‘liq </w:t>
      </w:r>
      <w:r>
        <w:rPr>
          <w:color w:val="0070C0"/>
        </w:rPr>
        <w:t xml:space="preserve">bo‘lgani va</w:t>
      </w:r>
      <w:r>
        <w:rPr/>
        <w:t xml:space="preserve">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xml:space="preserve">. Bunda integral indeks AUC qiymatining 95 foizlik ishonch oralig‘i 0,65–0,96 ni tashkil </w:t>
      </w:r>
      <w:r>
        <w:rPr>
          <w:color w:val="0070C0"/>
        </w:rPr>
        <w:t xml:space="preserve">etib,</w:t>
      </w:r>
      <w:r>
        <w:rPr/>
        <w:t xml:space="preserve"> kengaydi, biroq quyi chegarasi tasodifiy bashorat darajasidan (0,5) yuqori qoldi. Z-score bilan umumiy kuzatuvlarda integral indeksning ustunligi klasterlangan </w:t>
      </w:r>
      <w:r>
        <w:rPr/>
        <w:t xml:space="preserve">bootstrapda ham tasdiqlandi, chunki AUC farqining</w:t>
      </w:r>
      <w:r>
        <w:rPr/>
        <w:t xml:space="preserve"> ishonch oralig‘i 0,19–0,98 ni tashkil etib, noldan katta. Muammoli kreditlar ulushi bilan farq esa −0,10 dan +0,07 gacha oraliqda bo‘lib, statistik ahamiyatsiz. Ikkinchidan, muammo hodisasining </w:t>
      </w:r>
      <w:r>
        <w:rPr/>
        <w:t xml:space="preserve">muqobil ta’riflari qo‘llandi. Xususan, chorak zararining</w:t>
      </w:r>
      <w:r>
        <w:rPr/>
        <w:t xml:space="preserve">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r>
      <w:r>
        <w:rPr/>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 xml:space="preserve">Integral indeksning erta ogohlantirish signalini qanday berganini tadqiqotning asosiy </w:t>
      </w:r>
      <w:r>
        <w:rPr>
          <w:color w:val="0070C0"/>
        </w:rPr>
        <w:t xml:space="preserve">obyektlaridan</w:t>
      </w:r>
      <w:r>
        <w:t xml:space="preserve"> bo‘lgan “Mikrokreditbank” ATB va “O‘zsanoatqurilishbank” ATB misolida ko‘rib chiqish mumkin. Dastlab “Mikrokreditbank” ATB ning integral indeksi dinamikasini ko‘rib chiqamiz (</w:t>
      </w:r>
      <w:r>
        <w:rPr>
          <w:color w:val="0070C0"/>
        </w:rPr>
        <w:t xml:space="preserve">4.1.3-rasm; barcha banklar bo‘yicha choraklik indeks qiymatlari 4-ilovada keltirilgan</w:t>
      </w:r>
      <w:r>
        <w:t xml:space="preserve">).</w:t>
      </w:r>
    </w:p>
    <w:p w:rsidR="005603EC" w:rsidRDefault="00AB61AC">
      <w:pPr>
        <w:pStyle w:val="af"/>
        <w:spacing w:after="0" w:line="360" w:lineRule="auto"/>
        <w:ind w:firstLine="709"/>
        <w:jc w:val="both"/>
      </w:pPr>
      <w:r>
        <w:rPr>
          <w:color w:val="0070C0"/>
        </w:rPr>
        <w:t xml:space="preserve">4.1.3-rasmdan </w:t>
      </w:r>
      <w:r>
        <w:t xml:space="preserve">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w:t>
      </w:r>
      <w:r>
        <w:rPr>
          <w:color w:val="0070C0"/>
        </w:rPr>
        <w:t xml:space="preserve">(MBII-13) esa butun davr mobaynida 2,18–2,47 ball bilan qizil zonada, ya’ni milliy indeksdan 0,4–0,6 ball pastda bo‘lgan (bir xil tarkibdagi MBII-13 bo‘yicha ham farq 0,43–0,66 ballni tashkil etadi, 3.1.3-rasm)</w:t>
      </w:r>
      <w:r>
        <w:t xml:space="preserve">.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w:t>
      </w:r>
      <w:r>
        <w:rPr>
          <w:color w:val="0070C0"/>
        </w:rPr>
        <w:t xml:space="preserve">2024-yil I choragigacha chegara atrofida tebranib, kuchli signalni faqat zarardan ikki chorak oldin</w:t>
      </w:r>
      <w:r>
        <w:t xml:space="preserve"> bergan. Xuddi shunday manzara 2024-yilda kapitalining 48 foizini yo‘qotgan “Biznesni rivojlantirish banki” </w:t>
      </w:r>
      <w:r>
        <w:rPr/>
        <w:t xml:space="preserve">ATB da ham kuzatilgan. Chunonchi, uning indeksi</w:t>
      </w:r>
      <w:r>
        <w:t xml:space="preserve"> 2023-yil </w:t>
      </w:r>
      <w:r>
        <w:rPr>
          <w:color w:val="0070C0"/>
        </w:rPr>
        <w:t xml:space="preserve">II choragidan boshlab qizil zonada bo‘lib, 2023-yil IV choragida 2,44 ballgacha va 2024-yil I choragida 2,20 ballgacha pasaygan, ya’ni har ikki zarardan kamida uch chorak oldin signal bergan</w:t>
      </w:r>
      <w:r>
        <w:t xml:space="preserve">. Shunga o‘xshash signal “Garant bank” ATB da (2024-yil II–III choraklarida 2,55–2,57 ball), “Ipoteka-bank” ATB da (2024-yil III choragida 2,50 ball) va “Xalq banki” ATB da (2022-yilda 2,35–2,51 ball) ham kuzatilgan. Integral indeks </w:t>
      </w:r>
      <w:r>
        <w:rPr>
          <w:color w:val="0070C0"/>
        </w:rPr>
        <w:t xml:space="preserve">2022-yilda yashil zonada bo‘lgan xususiy banklardagi (“Anor bank”, “Invest Finance bank”, “Tibisi bank”) hodisalarni oldindan aniqlamagan, ulardan eng yirigi “Tibisi bank” ATB ning zararlaridir (kapitalning 12–15 foizi). O‘sha paytda, ya’ni bank faoliyatining dastlabki bosqichida, yuqori daromadlilik va kam muammoli kreditlar hisobiga uning indeksi 3,83 ballni tashkil etgan, zarar esa yangi bank xarajatlari va kredit portfelining jadal kengayishi bilan bog‘liq bo‘lishi mumkin (2022-yilda bank kreditlari qariyb 4,4 barobar oshgan)</w:t>
      </w:r>
      <w:r>
        <w:t xml:space="preserve">.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w:t>
      </w:r>
      <w:r>
        <w:rPr>
          <w:color w:val="0070C0"/>
        </w:rPr>
        <w:t xml:space="preserve">(MBII-8) va 3.2-paragrafda MHXS hisobotlari asosida hisoblangan yillik indeks (MBII-13)</w:t>
      </w:r>
      <w:r>
        <w:t xml:space="preserve"> sifatida taqqoslandi (4.1.4-rasm).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rPr>
          <w:color w:val="0070C0"/>
        </w:rPr>
        <w:t xml:space="preserve">4.1.4-rasmdan ko‘rinib</w:t>
      </w:r>
      <w:r>
        <w:t xml:space="preserve"> turibdiki, milliy hisobot ma’lumotlari asosidagi indeks 2021–2025-yillarda 3,17–3,61 ball oralig‘ida bo‘lib, bank asosan yashil </w:t>
      </w:r>
      <w:r>
        <w:rPr>
          <w:color w:val="0070C0"/>
        </w:rPr>
        <w:t xml:space="preserve">zonada joylashgan, 2022-yil IV choragidan 2024-yil II choragigacha bo‘lgan davrda esa indeks yashil va sariq zonalar chegarasi atrofida (3,17–3,36 ball) tebrangan</w:t>
      </w:r>
      <w:r>
        <w:t xml:space="preserve">.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w:t>
      </w:r>
      <w:r>
        <w:rPr>
          <w:color w:val="0070C0"/>
        </w:rPr>
        <w:t xml:space="preserve">0,45–0,80 ballni tashkil etgan. Bu farqning bir qismi indekslar tarkibidagi farq bilan bog‘liq, chunki milliy hisobot bo‘yicha MBII-8, MHXS bo‘yicha esa MBII-13 qo‘llangan. Bir xil tarkibdagi MBII-13 bo‘yicha farq 0,23–0,46 ballni, jumladan 2025-yilda 0,46 ballni (3,27 va 2,81) tashkil etadi (3.1.3-rasm). Farqning</w:t>
      </w:r>
      <w:r>
        <w:rPr/>
        <w:t xml:space="preserve"> asosiy sababi 2.3-paragrafda aniqlangan </w:t>
      </w:r>
      <w:r>
        <w:rPr/>
        <w:t xml:space="preserve">holat bilan izohlanadi, ya’ni 2025-yil yakunida</w:t>
      </w:r>
      <w:r>
        <w:t xml:space="preserve">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spacing w:after="0" w:line="360" w:lineRule="auto"/>
        <w:ind w:firstLine="709"/>
        <w:jc w:val="both"/>
      </w:pPr>
      <w:r>
        <w:rPr>
          <w:color w:val="0070C0"/>
        </w:rPr>
        <w:t xml:space="preserve">4.1.6-jadvaldan </w:t>
      </w:r>
      <w:r>
        <w:t xml:space="preserve">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w:t>
      </w:r>
      <w:r>
        <w:rPr/>
        <w:t xml:space="preserve">sinflari bilan muvofiqlashtirilgan. Xususan, yashil zona</w:t>
      </w:r>
      <w:r>
        <w:lastRenderedPageBreak/>
      </w:r>
      <w:r>
        <w:t xml:space="preserve"> I sinfga, sariq </w:t>
      </w:r>
      <w:r>
        <w:rPr>
          <w:color w:val="0070C0"/>
        </w:rPr>
        <w:t xml:space="preserve">zona II sinfning yuqori qismiga (2,75–3,25 ball), qizil zona esa II sinfning quyi qismi (2,50–2,75 ball)</w:t>
      </w:r>
      <w:r>
        <w:t xml:space="preserve"> hamda III–IV sinflarga to‘g‘ri keladi. Shu bilan birga, tizim faqat indeks qiymatiga </w:t>
      </w:r>
      <w:r>
        <w:rPr/>
        <w:t xml:space="preserve">tayanmasligi kerak. Shu bois sariq yoki</w:t>
      </w:r>
      <w:r>
        <w:t xml:space="preserve">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w:t>
      </w:r>
      <w:r>
        <w:rPr>
          <w:color w:val="0070C0"/>
        </w:rPr>
        <w:t xml:space="preserve">ma’lumotlar asosidagi MBII-8 ga tayanadi, Markaziy bank esa banklarning prudensial hisobotlari asosida uni kapital monandligi, likvidlik, valyuta riski ko‘rsatkichlari va MHXS 9 bo‘yicha kreditlar bosqichlari bilan to‘ldirib, to‘liq MBII-13 ni qo‘llashi</w:t>
      </w:r>
      <w:r>
        <w:t xml:space="preserve"> mumkin.</w:t>
      </w:r>
    </w:p>
    <w:p w:rsidR="005603EC" w:rsidRDefault="00AB61AC">
      <w:pPr>
        <w:pStyle w:val="af"/>
        <w:spacing w:after="0" w:line="360" w:lineRule="auto"/>
        <w:ind w:firstLine="709"/>
        <w:jc w:val="both"/>
      </w:pPr>
      <w:r>
        <w:t xml:space="preserve">Shunday qilib, tahlil natijalari 3.1-paragrafda taklif etilgan integral indeksning </w:t>
      </w:r>
      <w:r>
        <w:rPr>
          <w:color w:val="0070C0"/>
        </w:rPr>
        <w:t xml:space="preserve">(ochiq choraklik ma’lumotlar asosidagi MBII-8 varianti) tijorat</w:t>
      </w:r>
      <w:r>
        <w:t xml:space="preserve"> banklarida moliyaviy muammolarni bir yil oldin yuqori aniqlik bilan </w:t>
      </w:r>
      <w:r>
        <w:rPr/>
        <w:t xml:space="preserve">bashorat qilishini ko‘rsatdi. Xususan, uning AUC</w:t>
      </w:r>
      <w:r>
        <w:t xml:space="preserve">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w:t>
      </w:r>
      <w:r>
        <w:rPr>
          <w:color w:val="0070C0"/>
        </w:rPr>
        <w:t xml:space="preserve">manbaiga</w:t>
      </w:r>
      <w:r>
        <w:t xml:space="preserve">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xml:space="preserve">. Bazel qo‘mitasining stress-test tamoyillari ham ssenariylar </w:t>
      </w:r>
      <w:r>
        <w:rPr>
          <w:color w:val="0070C0"/>
        </w:rPr>
        <w:t xml:space="preserve">yetarlicha </w:t>
      </w:r>
      <w:r>
        <w:rPr>
          <w:color w:val="0070C0"/>
        </w:rPr>
        <w:t xml:space="preserve">jiddiy bo‘lishi</w:t>
      </w:r>
      <w:r>
        <w:rPr>
          <w:color w:val="0070C0"/>
        </w:rPr>
        <w:t xml:space="preserve">, biroq ehtimoldan yiroq bo‘lmasligi hamda modellar va ularning</w:t>
      </w:r>
      <w:r>
        <w:t xml:space="preserve"> natijalari muntazam tekshirilishi lozimligini talab qiladi</w:t>
      </w:r>
      <w:r>
        <w:rPr>
          <w:rStyle w:val="aff8"/>
        </w:rPr>
        <w:footnoteReference w:id="510"/>
      </w:r>
      <w:r>
        <w:t xml:space="preserve">. O‘zbekistonda esa bu yo‘nalishdagi ilmiy ishlar alohida ko‘rsatkichlarni prognoz qilish </w:t>
      </w:r>
      <w:r>
        <w:rPr/>
        <w:t xml:space="preserve">bilan cheklangan. Masalan, B.T. Berdiyarov</w:t>
      </w:r>
      <w:r>
        <w:t xml:space="preserve">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w:t>
      </w:r>
      <w:r>
        <w:rPr>
          <w:color w:val="0070C0"/>
        </w:rPr>
        <w:t xml:space="preserve">inflyatsiya,</w:t>
      </w:r>
      <w:r>
        <w:t xml:space="preserve"> alohida modellashtirilmadi, chunki </w:t>
      </w:r>
      <w:r>
        <w:rPr>
          <w:color w:val="0070C0"/>
        </w:rPr>
        <w:t xml:space="preserve">asosiy stavka va inflyatsiya YaIM o‘sishi bilan kuchli bog‘langan (korrelyatsiya koeffitsiyenti mos ravishda −0,76 va −0,68), 3.3-paragrafda esa asosiy stavkaning ta’siri faqat 5–10 foiz darajada, so‘m kursiniki faqat Pooled modelda ahamiyatli, inflyatsiyaniki esa ahamiyatsiz</w:t>
      </w:r>
      <w:r>
        <w:rPr/>
        <w:t xml:space="preserve">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xml:space="preserve">. Bu kreditlar bo‘yicha to‘lovlarni kechiktirish choralari tugaganidan keyin yashirin muammolar yuzaga chiqqanini ko‘rsatadi. YaIM o‘sishining turli laglari bilan baholangan modellar ichida eng yaxshi natijani to‘rt chorak </w:t>
      </w:r>
      <w:r>
        <w:rPr/>
        <w:t xml:space="preserve">lagli model bergan. Xususan, uning Akaike</w:t>
      </w:r>
      <w:r>
        <w:t xml:space="preserve"> axborot mezoni eng past (33,3), YaIM koeffitsiyenti esa 1 foiz darajada ahamiyatli. Lagsiz modelda esa YaIM koeffitsiyenti ahamiyatsiz va hatto musbat. </w:t>
      </w:r>
      <w:r>
        <w:rPr>
          <w:color w:val="0070C0"/>
        </w:rPr>
        <w:t xml:space="preserve">Muammoli kreditlar ulushi va to‘rt chorak oldingi YaIM o‘sishi o‘rtasidagi bog‘liqlik 4.2.1-rasmda keltirilgan.</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3240000"/>
            <wp:effectExtent l="0" t="0" r="0" b="0"/>
            <wp:docPr id="9701" name="4.2.1-rasm"/>
            <wp:cNvGraphicFramePr/>
            <a:graphic>
              <a:graphicData uri="http://schemas.openxmlformats.org/drawingml/2006/chart">
                <c:chart r:id="rId34"/>
              </a:graphicData>
            </a:graphic>
          </wp:inline>
        </w:drawing>
      </w:r>
    </w:p>
    <w:p w:rsidR="005603EC" w:rsidRDefault="00AB61AC">
      <w:pPr>
        <w:pStyle w:val="af"/>
        <w:spacing w:line="240" w:lineRule="auto"/>
        <w:jc w:val="both"/>
      </w:pPr>
      <w:r>
        <w:rPr>
          <w:color w:val="0070C0"/>
          <w:sz w:val="24"/>
        </w:rPr>
        <w:t xml:space="preserve">Izoh: har bir nuqta – bir chorak; regressiya chizig‘i y = 5,14 − 0,172x (R² = 0,28, n = 20); oldingi chorak darajasi hisobga olingan baho (−0,151) 4.2.2-jadvalda.</w:t>
      </w:r>
    </w:p>
    <w:p w:rsidR="005603EC" w:rsidRDefault="00AB61AC">
      <w:pPr>
        <w:pStyle w:val="af"/>
        <w:spacing w:before="120" w:after="240" w:line="240" w:lineRule="auto"/>
        <w:jc w:val="center"/>
      </w:pPr>
      <w:r>
        <w:rPr>
          <w:b/>
          <w:color w:val="0070C0"/>
        </w:rPr>
        <w:t xml:space="preserve">4.2.1-rasm. Muammoli kreditlar ulushi va to‘rt chorak oldingi YaIM o‘sish sur’ati o‘rtasidagi bog‘liqlik, 2021–2025-yillar</w:t>
      </w:r>
      <w:r>
        <w:rPr>
          <w:rStyle w:val="aff8"/>
          <w:color w:val="0070C0"/>
        </w:rPr>
        <w:footnoteReference w:id="514"/>
      </w:r>
    </w:p>
    <w:p w:rsidR="005603EC" w:rsidRDefault="00AB61AC">
      <w:pPr>
        <w:pStyle w:val="af"/>
        <w:spacing w:after="0" w:line="360" w:lineRule="auto"/>
        <w:ind w:firstLine="709"/>
        <w:jc w:val="both"/>
      </w:pPr>
      <w:r>
        <w:rPr>
          <w:color w:val="0070C0"/>
        </w:rPr>
        <w:t xml:space="preserve">Rasmdan ko‘rinib turibdiki, nuqtalar manfiy qiyalikka ega regressiya chizig‘i atrofida joylashgan, ya’ni YaIM o‘sishi sekinlashgan davrdan to‘rt chorak o‘tib muammoli kreditlar ulushi oshadi. Ikki ko‘rsatkich o‘rtasidagi korrelyatsiya koeffitsiyenti −0,53 ga teng bo‘lib, YaIM o‘sishining 1 foiz punktga sekinlashuvi muammoli kreditlar ulushini o‘rtacha 0,17 foiz punktga oshiradi. Eng yuqori qiymatlar 2020-yildagi pandemiya shokidan keyingi 2021-yil choraklariga to‘g‘ri keladi. Shu bilan birga, nuqtalarning chiziqdan sezilarli og‘ishi muammoli kreditlar darajasiga YaIM o‘sishidan tashqari boshqa omillar ham ta’sir qilishini ko‘rsatadi, shu sababli tizim darajasidagi modelga muammoli kreditlar ulushining oldingi chorakdagi qiymati ham kiritildi.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2022-y. I</w:t>
            </w:r>
            <w:r>
              <w:rPr>
                <w:rFonts w:ascii="Times New Roman" w:hAnsi="Times New Roman" w:eastAsia="Times New Roman" w:cs="Times New Roman"/>
                <w:sz w:val="24"/>
                <w:szCs w:val="24"/>
              </w:rPr>
              <w:t xml:space="preserve">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qavs ichida standart xatolar (1-modelda – Newey–West, 2- va 3-modellarda – bank bo‘yicha klasterlangan); ***, **, * – koeffitsiyent mos ravishda 1, 5 va 10 foiz darajada statistik </w:t>
      </w:r>
      <w:r>
        <w:rPr>
          <w:color w:val="0070C0"/>
          <w:sz w:val="24"/>
        </w:rPr>
        <w:t xml:space="preserve">ahamiyatli. 3-modelda choraklik ROA oldingi chorak ma’lumotini talab qilgani sababli kuzatuvlar 2022-yil I choragidan boshlanadi.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w:t>
      </w:r>
      <w:r>
        <w:rPr/>
        <w:t xml:space="preserve">bir xil natija bergan. Jumladan, tizim darajasidagi</w:t>
      </w:r>
      <w:r>
        <w:t xml:space="preserve">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xml:space="preserve">. Muammoli kreditlar ulushi sezilarli inersiyaga ega (0,49–0,68), shu sababli shokning ta’siri bir necha chorak </w:t>
      </w:r>
      <w:r>
        <w:rPr/>
        <w:t xml:space="preserve">davomida saqlanadi. Natijada YaIM o‘sishining</w:t>
      </w:r>
      <w:r>
        <w:t xml:space="preserve"> 1 foiz punktga barqaror pasayishi uzoq muddatda muammoli kreditlar ulushini 0,30–0,48 foiz punktga oshiradi. Uchinchi model kredit riskining daromadlilikka </w:t>
      </w:r>
      <w:r>
        <w:rPr/>
        <w:t xml:space="preserve">ta’sirini baholaydi. Unga ko‘ra, muammoli kreditlar</w:t>
      </w:r>
      <w:r>
        <w:t xml:space="preserve">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6"/>
      </w:r>
      <w:r>
        <w:rPr>
          <w:rStyle w:val="aff8"/>
        </w:rPr>
        <w:footnoteReference w:id="517"/>
      </w:r>
      <w:r>
        <w:t>. Buning sababi 2.3-paragrafda aniqlangan holat bo‘lib, milliy tasnif qayta tuzilgan va muddati uzaytirilgan kreditlarni muammoli deb tan olmaydi, natijada kredit riskining bir qismi milliy ko‘rsatkichda aks etmaydi.</w:t>
      </w:r>
      <w:r>
        <w:rPr>
          <w:color w:val="0070C0"/>
        </w:rPr>
        <w:t xml:space="preserve"> Kredit riski va daromadlilik o‘rtasidagi bog‘liqlik bank darajasida 4.2.2-rasmda keltirilgan.</w:t>
      </w:r>
    </w:p>
    <w:p w:rsidR="005603EC" w:rsidRDefault="00AB61AC">
      <w:pPr>
        <w:pStyle w:val="af"/>
        <w:spacing w:after="0" w:line="360" w:lineRule="auto"/>
        <w:ind w:firstLine="709"/>
        <w:jc w:val="both"/>
      </w:pPr>
      <w:r>
        <w:rPr>
          <w:color w:val="0070C0"/>
        </w:rPr>
        <w:t xml:space="preserve">4.2.2-rasmdan </w:t>
      </w:r>
      <w:r>
        <w:rPr>
          <w:color w:val="0070C0"/>
        </w:rPr>
        <w:t xml:space="preserve">ko‘rinib turibdiki, nuqtalar keng sochilgan bo‘lsa-da, muammoli kreditlar ulushi yuqori bo‘lgan kuzatuvlarda aktivlar rentabelligi past (korrelyatsiya koeffitsiyenti −0,46). Xususan, muammoli kreditlar ulushi 6 foizdan yuqori bo‘lgan 46 ta kuzatuvda aktivlar rentabelligi o‘rtacha −0,05 foizni, 3 foizdan past bo‘lgan 210 ta kuzatuvda esa 3,78 foizni tashkil etgan. Davlat ulushi mavjud banklarning nuqtalari asosan rasmning o‘ng-pastki qismida joylashgan, ya’ni ularda muammoli kreditlar ulushi o‘rtacha 4,59 foiz, aktivlar rentabelligi esa 0,81 foiz bo‘lgan, boshqa banklarda bu ko‘rsatkichlar mos ravishda 2,83 va 3,76 foizni tashkil etgan. Barcha kuzatuvlar bo‘yicha regressiya chizig‘ining qiyaligi (−0,49) 3-modeldagi bahodan (−0,20) yuqori, chunki u banklar o‘rtasidagi doimiy farqlarni ham o‘z ichiga oladi. Shu sababli prognozda har bir bankning o‘ziga xos xususiyatlari hisobga olingan 3-model bahosi qo‘llandi.</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3240000"/>
            <wp:effectExtent l="0" t="0" r="0" b="0"/>
            <wp:docPr id="9702" name="4.2.2-rasm"/>
            <wp:cNvGraphicFramePr/>
            <a:graphic>
              <a:graphicData uri="http://schemas.openxmlformats.org/drawingml/2006/chart">
                <c:chart r:id="rId52"/>
              </a:graphicData>
            </a:graphic>
          </wp:inline>
        </w:drawing>
      </w:r>
    </w:p>
    <w:p w:rsidR="005603EC" w:rsidRDefault="00AB61AC">
      <w:pPr>
        <w:pStyle w:val="af"/>
        <w:spacing w:line="240" w:lineRule="auto"/>
        <w:jc w:val="both"/>
      </w:pPr>
      <w:r>
        <w:rPr>
          <w:color w:val="0070C0"/>
          <w:sz w:val="24"/>
        </w:rPr>
        <w:t xml:space="preserve">Izoh: har bir nuqta – bir bankning bir choragi; ko‘rsatkichlar 1 va 99 foizlik chegaralarda vinzorlangan; regressiya chizig‘i barcha kuzatuvlar bo‘yicha y = 4,35 − 0,49x (R² = 0,21); bank effektlari hisobga olingan baho (−0,201) 4.2.2-jadvalda.</w:t>
      </w:r>
    </w:p>
    <w:p w:rsidR="005603EC" w:rsidRDefault="00AB61AC">
      <w:pPr>
        <w:pStyle w:val="af"/>
        <w:spacing w:before="120" w:after="240" w:line="240" w:lineRule="auto"/>
        <w:jc w:val="center"/>
      </w:pPr>
      <w:r>
        <w:rPr>
          <w:b/>
          <w:color w:val="0070C0"/>
        </w:rPr>
        <w:t xml:space="preserve">4.2.2-rasm. Tanlangan 25 ta bankda muammoli kreditlar ulushi va aktivlar rentabelligi o‘rtasidagi bog‘liqlik, 2022–2025-yillar</w:t>
      </w:r>
      <w:r>
        <w:rPr>
          <w:rStyle w:val="aff8"/>
          <w:color w:val="0070C0"/>
        </w:rPr>
        <w:footnoteReference w:id="518"/>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r>
      <w:r>
        <w:t xml:space="preserve">esa bankning zaxiralar bilan qoplanish darajasini hisobga olgan holda hisoblandi. To‘rtinchidan, qolgan ko‘rsatkichlar 2025-yil oxiridagi darajada saqlangan holda har bir bank uchun panel integral indeksi </w:t>
      </w:r>
      <w:r>
        <w:rPr>
          <w:color w:val="0070C0"/>
        </w:rPr>
        <w:t xml:space="preserve">(MBII-8) va</w:t>
      </w:r>
      <w:r>
        <w:t xml:space="preserve"> 4.1-paragrafdagi erta ogohlantirish zonasi aniqlandi. Prognoz qilishdan oldin usulning ishonchliligi orqaga tekshiruv orqali </w:t>
      </w:r>
      <w:r>
        <w:rPr/>
        <w:t xml:space="preserve">sinovdan o‘tkazildi. Bunda model ketma-ket</w:t>
      </w:r>
      <w:r>
        <w:t xml:space="preserve">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w:t>
      </w:r>
      <w:r>
        <w:rPr>
          <w:color w:val="0070C0"/>
        </w:rPr>
        <w:t xml:space="preserve">aniqroq emas, chunki 2023 va 2024-yillarda uning xatosi biroz yuqori (0,21 va 0,73 ga nisbatan 0,12 va 0,65), 2025-yilda esa teng bo‘lgan</w:t>
      </w:r>
      <w:r>
        <w:t xml:space="preserve">. Bank darajasida ham 2025-yil uchun prognoz qilingan integral indeks bo‘yicha erta ogohlantirish zonasi 25 ta bankdan 19 tasida to‘g‘ri aniqlangan, indeksning o‘rtacha xatosi esa 0,21 ballni tashkil </w:t>
      </w:r>
      <w:r>
        <w:rPr>
          <w:color w:val="0070C0"/>
        </w:rPr>
        <w:t xml:space="preserve">etgan, biroq o‘zgarishsiz holat prognozi ham xuddi shunday natija beradi (19 ta bank, 0,21 ball)</w:t>
      </w:r>
      <w:r>
        <w:t xml:space="preserve">.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20"/>
      </w:r>
      <w:r>
        <w:t xml:space="preserve">. Bank tizimida muammoli kreditlar ulushining ssenariylar bo‘yicha prognozi </w:t>
      </w:r>
      <w:r>
        <w:rPr>
          <w:color w:val="0070C0"/>
        </w:rPr>
        <w:t xml:space="preserve">4.2.3-rasm</w:t>
      </w:r>
      <w:r>
        <w:t xml:space="preserve">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color w:val="0070C0"/>
        </w:rPr>
        <w:t xml:space="preserve">4.2.3-rasm</w:t>
      </w:r>
      <w:r>
        <w:rPr>
          <w:b/>
        </w:rPr>
        <w:t xml:space="preserve">. Bank tizimida muammoli kreditlar ulushining haqiqiy dinamikasi (2021–2025-yillar) va ssenariylar bo‘yicha prognozi (2026–2028-yillar), %</w:t>
      </w:r>
      <w:r>
        <w:rPr>
          <w:rStyle w:val="aff8"/>
        </w:rPr>
        <w:footnoteReference w:id="521"/>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w:t>
      </w:r>
      <w:r>
        <w:rPr>
          <w:color w:val="0070C0"/>
        </w:rPr>
        <w:t xml:space="preserve">mos ravishda 2023–2024-yillardagi va 2022-yildagi</w:t>
      </w:r>
      <w:r>
        <w:t xml:space="preserve"> darajaga to‘g‘ri keladi. </w:t>
      </w:r>
      <w:r>
        <w:lastRenderedPageBreak/>
      </w:r>
      <w:r>
        <w:t xml:space="preserve">2028-yilda iqtisodiy o‘sish tiklanishi bilan muammoli kreditlar ulushi 3,7 foizgacha pasaya boshlaydi. </w:t>
      </w:r>
      <w:r>
        <w:rPr>
          <w:color w:val="0070C0"/>
        </w:rPr>
        <w:t xml:space="preserve">Tizim darajasidagi prognoz har bir tijorat bankiga qo‘llanilganda ssenariylarning ta’siri banklar kesimida turlicha namoyon bo‘ladi. Ikkinchi bobda batafsil tahlil qilingan uch bank bo‘yicha natijalar 4.2.4-rasmda keltirilgan.</w:t>
      </w:r>
    </w:p>
    <w:p w:rsidR="005603EC" w:rsidRDefault="00AB61AC">
      <w:pPr>
        <w:pStyle w:val="af"/>
        <w:keepNext/>
        <w:spacing w:before="0" w:after="0" w:line="240" w:lineRule="auto"/>
        <w:jc w:val="center"/>
      </w:pPr>
      <w:r>
        <w:rPr>
          <w:b/>
          <w:color w:val="0070C0"/>
          <w:sz w:val="24"/>
        </w:rPr>
        <w:t xml:space="preserve">a) “O‘zsanoatqurilishbank” ATB</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1800000"/>
            <wp:effectExtent l="0" t="0" r="0" b="0"/>
            <wp:docPr id="9801" name="4.2.4-rasm a"/>
            <wp:cNvGraphicFramePr/>
            <a:graphic>
              <a:graphicData uri="http://schemas.openxmlformats.org/drawingml/2006/chart">
                <c:chart r:id="rId53"/>
              </a:graphicData>
            </a:graphic>
          </wp:inline>
        </w:drawing>
      </w:r>
    </w:p>
    <w:p w:rsidR="005603EC" w:rsidRDefault="00AB61AC">
      <w:pPr>
        <w:pStyle w:val="af"/>
        <w:keepNext/>
        <w:spacing w:before="0" w:after="0" w:line="240" w:lineRule="auto"/>
        <w:jc w:val="center"/>
      </w:pPr>
      <w:r>
        <w:rPr>
          <w:b/>
          <w:color w:val="0070C0"/>
          <w:sz w:val="24"/>
        </w:rPr>
        <w:t xml:space="preserve">b) “Mikrokreditbank” ATB</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1800000"/>
            <wp:effectExtent l="0" t="0" r="0" b="0"/>
            <wp:docPr id="9802" name="4.2.4-rasm b"/>
            <wp:cNvGraphicFramePr/>
            <a:graphic>
              <a:graphicData uri="http://schemas.openxmlformats.org/drawingml/2006/chart">
                <c:chart r:id="rId54"/>
              </a:graphicData>
            </a:graphic>
          </wp:inline>
        </w:drawing>
      </w:r>
    </w:p>
    <w:p w:rsidR="005603EC" w:rsidRDefault="00AB61AC">
      <w:pPr>
        <w:pStyle w:val="af"/>
        <w:keepNext/>
        <w:spacing w:before="0" w:after="0" w:line="240" w:lineRule="auto"/>
        <w:jc w:val="center"/>
      </w:pPr>
      <w:r>
        <w:rPr>
          <w:b/>
          <w:color w:val="0070C0"/>
          <w:sz w:val="24"/>
        </w:rPr>
        <w:t xml:space="preserve">v) “Aloqabank” ATB</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376000"/>
            <wp:effectExtent l="0" t="0" r="0" b="0"/>
            <wp:docPr id="9803" name="4.2.4-rasm v"/>
            <wp:cNvGraphicFramePr/>
            <a:graphic>
              <a:graphicData uri="http://schemas.openxmlformats.org/drawingml/2006/chart">
                <c:chart r:id="rId55"/>
              </a:graphicData>
            </a:graphic>
          </wp:inline>
        </w:drawing>
      </w:r>
    </w:p>
    <w:p w:rsidR="005603EC" w:rsidRDefault="00AB61AC">
      <w:pPr>
        <w:pStyle w:val="af"/>
        <w:spacing w:line="240" w:lineRule="auto"/>
        <w:jc w:val="both"/>
      </w:pPr>
      <w:r>
        <w:rPr>
          <w:color w:val="0070C0"/>
          <w:sz w:val="24"/>
        </w:rPr>
        <w:t xml:space="preserve">Izoh: haqiqiy qiymatlar – choraklik, milliy hisobot; prognoz – tizim modeli (4.2.2-jadval, 1-model) bo‘yicha og‘ishning bankning 2025-yil IV choragidagi muammoli kreditlar ulushiga proporsional taqsimlanishi.</w:t>
      </w:r>
    </w:p>
    <w:p w:rsidR="005603EC" w:rsidRDefault="00AB61AC">
      <w:pPr>
        <w:pStyle w:val="af"/>
        <w:spacing w:before="120" w:after="240" w:line="240" w:lineRule="auto"/>
        <w:jc w:val="center"/>
      </w:pPr>
      <w:r>
        <w:rPr>
          <w:b/>
          <w:color w:val="0070C0"/>
        </w:rPr>
        <w:t xml:space="preserve">4.2.4-rasm. Tanlangan tijorat banklarida muammoli kreditlar ulushining haqiqiy dinamikasi (2021–2025-yillar) va ssenariylar bo‘yicha prognozi (2026–2028-yillar), %</w:t>
      </w:r>
      <w:r>
        <w:rPr>
          <w:rStyle w:val="aff8"/>
          <w:color w:val="0070C0"/>
        </w:rPr>
        <w:footnoteReference w:id="522"/>
      </w:r>
    </w:p>
    <w:p w:rsidR="005603EC" w:rsidRDefault="00AB61AC">
      <w:pPr>
        <w:pStyle w:val="af"/>
        <w:spacing w:after="0" w:line="360" w:lineRule="auto"/>
        <w:ind w:firstLine="709"/>
        <w:jc w:val="both"/>
      </w:pPr>
      <w:r>
        <w:rPr>
          <w:color w:val="0070C0"/>
        </w:rPr>
        <w:t xml:space="preserve">Rasmdan ko‘rinib turibdiki, “O‘zsanoatqurilishbank” va “Aloqabank” ATBlarda muammoli kreditlar ulushi 2025-yil oxirida deyarli bir xil (2,53 va 2,54 foiz) bo‘lib, keskin salbiy ssenariyda 2027-yil oxirida 3,99–4,00 foizgacha oshadi, ya’ni 5 foizlik erta ogohlantirish chegarasidan past qoladi. “Mikrokreditbank” ATB da esa ulush 2025-yilning o‘zida 4,41 foizni tashkil etib, salbiy ssenariyda 5,74 foizga, keskin salbiy ssenariyda 6,95 foizga yetadi va chegaradan sezilarli oshadi. Asosiy va ijobiy ssenariylarda esa uch bankning birortasida ham ulush 5 foizdan oshmaydi. Demak, bir xil makroiqtisodiy shok kredit portfeli sifati past bo‘lgan bankda ancha kuchli ta’sir ko‘rsatadi.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 aktivlar ulushi tanlangan 25 ta bank jami aktivlariga nisbatan (2025-yil oxirida ular bank tizimi aktivlarining 96,9 foizini tashkil etgan);</w:t>
      </w:r>
      <w:r>
        <w:rPr>
          <w:sz w:val="24"/>
        </w:rPr>
        <w:t xml:space="preserve">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w:t>
      </w:r>
      <w:r>
        <w:rPr/>
        <w:t xml:space="preserve">deyarli o‘zgarmaydi, ya’ni integral indeks</w:t>
      </w:r>
      <w:r>
        <w:t xml:space="preserve"> medianasi 3,39–3,42 ball darajasida saqlanadi, birorta ham bank qizil zonaga tushmaydi. Salbiy ssenariyda 2027-yilda ikki bank qizil zonaga tushib, ular </w:t>
      </w:r>
      <w:r>
        <w:rPr>
          <w:color w:val="0070C0"/>
        </w:rPr>
        <w:t xml:space="preserve">tanlangan banklar</w:t>
      </w:r>
      <w:r>
        <w:t xml:space="preserve"> aktivlarining 5,9 foizini tashkil etadi. Keskin salbiy ssenariyda esa vaziyat </w:t>
      </w:r>
      <w:r>
        <w:rPr/>
        <w:t xml:space="preserve">sezilarli yomonlashadi. Bunda aktivlar rentabelligi</w:t>
      </w:r>
      <w:r>
        <w:t xml:space="preserve"> 1,69 foizdan 1,35 foizgacha pasayadi, integral indeks medianasi 3,18 ballgacha tushadi, qizil zonadagi banklar soni to‘rttaga yetib, ularning </w:t>
      </w:r>
      <w:r>
        <w:rPr>
          <w:color w:val="0070C0"/>
        </w:rPr>
        <w:t xml:space="preserve">tanlangan banklar aktivlaridagi ulushi 24,3 foizni tashkil etadi, sariq va qizil zonadagi banklarning</w:t>
      </w:r>
      <w:r>
        <w:t xml:space="preserve"> ulushi esa 45,9 foizga yetadi. Eng muhim natija shundaki, ikkala salbiy ssenariyda ham qizil zonaga faqat davlat banklari tushadi: keskin salbiy ssenariyda bular “Agrobank”, “Asaka bank”, “Mikrokreditbank” va “Turonbank” </w:t>
      </w:r>
      <w:r>
        <w:rPr>
          <w:color w:val="0070C0"/>
        </w:rPr>
        <w:t xml:space="preserve">ATBlaridir (banklar kesimidagi natijalar 7-ilovada keltirilgan)</w:t>
      </w:r>
      <w:r>
        <w:t xml:space="preserve">. Davlat banklarida integral indeks medianasi keskin salbiy ssenariyda 3,15 dan 2,81 ballgacha, ya’ni sariq zonaning quyi </w:t>
      </w:r>
      <w:r>
        <w:rPr>
          <w:color w:val="0070C0"/>
        </w:rPr>
        <w:t xml:space="preserve">chegarasiga yaqin darajagacha</w:t>
      </w:r>
      <w:r>
        <w:t xml:space="preserve"> pasayadi, </w:t>
      </w:r>
      <w:r>
        <w:rPr>
          <w:color w:val="0070C0"/>
        </w:rPr>
        <w:t xml:space="preserve">boshqa</w:t>
      </w:r>
      <w:r>
        <w:t xml:space="preserve"> banklarda esa 3,61 dan 3,50 ballgacha, ya’ni yashil zonada qoladi. Bu</w:t>
      </w:r>
      <w:r>
        <w:rPr/>
        <w:t xml:space="preserve"> holat</w:t>
      </w:r>
      <w:r>
        <w:t xml:space="preserve"> 3.3-paragrafda </w:t>
      </w:r>
      <w:r>
        <w:lastRenderedPageBreak/>
      </w:r>
      <w:r>
        <w:t xml:space="preserve">aniqlangan </w:t>
      </w:r>
      <w:r>
        <w:rPr/>
        <w:t xml:space="preserve">omillar bilan izohlanadi. Xususan, davlat banklarida</w:t>
      </w:r>
      <w:r>
        <w:t xml:space="preserve"> daromadlilik past (aktivlar bo‘yicha tortilgan ROA 1,0 foiz), shu sababli muammoli kreditlarning </w:t>
      </w:r>
      <w:r>
        <w:rPr/>
        <w:t>nisbatan kichik oshishi ham ularning daromadliligini sezilarli pasaytiradi (ROA 1,0 foizdan 0,6 foizgacha)</w:t>
      </w:r>
      <w:r>
        <w:t xml:space="preserve">, </w:t>
      </w:r>
      <w:r>
        <w:rPr>
          <w:color w:val="0070C0"/>
        </w:rPr>
        <w:t xml:space="preserve">boshqa</w:t>
      </w:r>
      <w:r>
        <w:t xml:space="preserve"> banklarda esa yuqori foiz marjasi zarar uchun bufer vazifasini bajaradi.</w:t>
      </w:r>
    </w:p>
    <w:p w:rsidR="005603EC" w:rsidRDefault="00AB61AC">
      <w:pPr>
        <w:pStyle w:val="af"/>
        <w:spacing w:after="0" w:line="360" w:lineRule="auto"/>
        <w:ind w:firstLine="709"/>
        <w:jc w:val="both"/>
      </w:pPr>
      <w:r>
        <w:rPr>
          <w:color w:val="0070C0"/>
        </w:rPr>
        <w:t xml:space="preserve">Prognoz natijalari tanlangan usulga bog‘liq emasligini tekshirish uchun muammoli kreditlar ulushi har bir bank uchun bevosita 4.2.2-jadvaldagi 2-model (25 ta bank paneli) asosida ham prognoz qilindi. Bu modelda YaIM o‘sishining ta’siri o‘sha chorakning o‘zida namoyon bo‘ladi va barcha banklarda bir xil foiz punktga teng bo‘ladi, asosiy usulda esa tizim bo‘yicha og‘ish to‘rt chorakdan keyin namoyon bo‘lib, banklarga ularning ulushiga proporsional taqsimlanadi. Natijalar 4.2.5-jadvalda keltirilgan.</w:t>
      </w:r>
    </w:p>
    <w:p w:rsidR="005603EC" w:rsidRDefault="00AB61AC">
      <w:pPr>
        <w:pStyle w:val="af"/>
        <w:spacing w:after="0" w:line="360" w:lineRule="auto"/>
        <w:ind w:firstLine="709"/>
        <w:jc w:val="both"/>
      </w:pPr>
      <w:r>
        <w:rPr>
          <w:color w:val="0070C0"/>
        </w:rPr>
        <w:t xml:space="preserve">4.2.5-jadvaldan </w:t>
      </w:r>
      <w:r>
        <w:rPr>
          <w:color w:val="0070C0"/>
        </w:rPr>
        <w:t xml:space="preserve">ko‘rinib turibdiki, ikki usul bir xil asosiy natija beradi. Keskin salbiy ssenariyda qizil zonaga ikkala usulda ham aynan bir xil to‘rt bank – “Agrobank”, “Asaka bank”, “Mikrokreditbank” va “Turonbank” ATBlar tushadi, ularning aktivlari ulushi esa 24,3 foizni tashkil etadi. Salbiy ssenariyda ham ikkala usulda “Mikrokreditbank” va “Turonbank” ATBlar qizil zonaga tushadi. Usullar o‘rtasidagi farq asosan vaqtda namoyon bo‘ladi. Bank modelida shok o‘sha yilning o‘zida (2026-yil), asosiy usulda esa bir yildan keyin (2027-yil) eng yuqori ta’sir ko‘rsatadi. Demak, erta ogohlantirish zonalari bo‘yicha xulosalar prognoz usuliga bog‘liq emas, ya’ni barqaror hisoblanadi.</w:t>
      </w:r>
    </w:p>
    <w:p w:rsidR="005603EC" w:rsidRDefault="00AB61AC">
      <w:pPr>
        <w:pStyle w:val="af"/>
        <w:keepNext/>
        <w:spacing w:before="120" w:after="0" w:line="360" w:lineRule="auto"/>
        <w:jc w:val="right"/>
      </w:pPr>
      <w:r>
        <w:rPr>
          <w:i/>
          <w:color w:val="0070C0"/>
        </w:rPr>
        <w:t xml:space="preserve">4.2.5-jadval</w:t>
      </w:r>
    </w:p>
    <w:p w:rsidR="005603EC" w:rsidRDefault="00AB61AC">
      <w:pPr>
        <w:pStyle w:val="af"/>
        <w:keepNext/>
        <w:spacing w:line="240" w:lineRule="auto"/>
        <w:jc w:val="center"/>
      </w:pPr>
      <w:r>
        <w:rPr>
          <w:b/>
          <w:bCs/>
          <w:color w:val="0070C0"/>
        </w:rPr>
        <w:t xml:space="preserve">Bank darajasidagi prognozning ikki usul bo‘yicha natijalari: salbiy va keskin salbiy ssenariylar</w:t>
      </w:r>
      <w:r>
        <w:rPr>
          <w:rStyle w:val="aff8"/>
          <w:color w:val="0070C0"/>
        </w:rPr>
        <w:footnoteReference w:id="5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700"/>
        <w:gridCol w:w="2200"/>
        <w:gridCol w:w="2000"/>
        <w:gridCol w:w="2400"/>
      </w:tblGrid>
      <w:tr>
        <w:trPr>
          <w:tblHeader/>
        </w:trPr>
        <w:tc>
          <w:tcPr>
            <w:tcW w:type="dxa" w:w="3642"/>
            <w:vAlign w:val="center"/>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Ssenariy, yil</w:t>
            </w:r>
          </w:p>
        </w:tc>
        <w:tc>
          <w:tcPr>
            <w:tcW w:type="dxa" w:w="3642"/>
            <w:vAlign w:val="center"/>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Muammoli kreditlar ulushi, %</w:t>
            </w:r>
          </w:p>
        </w:tc>
        <w:tc>
          <w:tcPr>
            <w:tcW w:type="dxa" w:w="3642"/>
            <w:vAlign w:val="center"/>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Qizil zonadagi banklar soni</w:t>
            </w:r>
          </w:p>
        </w:tc>
        <w:tc>
          <w:tcPr>
            <w:tcW w:type="dxa" w:w="3642"/>
            <w:vAlign w:val="center"/>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Qizil zonadagi banklar aktivlari ulushi, %</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Salbiy, 2026</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2,98 / 4,15</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0 / 2</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0,0 / 5,9</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Salbiy, 2027</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3,82 / 4,03</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 / 2</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5,9 / 5,9</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Salbiy, 2028</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3,60 / 3,48</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 / 0</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2,4 / 0,0</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Keskin salbiy, 2026</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2,98 / 5,24</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0 / 4</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0,0 / 24,3</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Keskin salbiy, 2027</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4,63 / 4,27</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 / 3</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24,3 / 17,4</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Keskin salbiy, 2028</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3,65 / 3,53</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 / 0</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5,9 / 0,0</w:t>
            </w:r>
          </w:p>
        </w:tc>
      </w:tr>
      <w:tr>
        <w:tc>
          <w:tcPr>
            <w:tcW w:type="dxa" w:w="3642"/>
          </w:tcPr>
          <w:p>
            <w:pPr>
              <w:jc w:val="both"/>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Eng yuqori ulush (keskin salbiy), %</w:t>
            </w:r>
          </w:p>
        </w:tc>
        <w:tc>
          <w:tcPr>
            <w:tcW w:type="dxa" w:w="10926"/>
            <w:gridSpan w:val="3"/>
          </w:tcPr>
          <w:p>
            <w:pPr>
              <w:jc w:val="both"/>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“O‘zsanoatqurilishbank”: 3,99 / 4,83; “Mikrokreditbank”: 6,95 / 6,71; “Aloqabank”: 4,00 / 4,84</w:t>
            </w:r>
          </w:p>
        </w:tc>
      </w:tr>
    </w:tbl>
    <w:p w:rsidR="005603EC" w:rsidRDefault="00AB61AC">
      <w:pPr>
        <w:pStyle w:val="af"/>
        <w:spacing w:line="240" w:lineRule="auto"/>
        <w:jc w:val="both"/>
      </w:pPr>
      <w:r>
        <w:rPr>
          <w:color w:val="0070C0"/>
          <w:sz w:val="24"/>
        </w:rPr>
        <w:t xml:space="preserve">Izoh: har bir katakda – asosiy usul / bank modeli bo‘yicha natija; asosiy usul – tizim modeli bo‘yicha og‘ishning banklarga proporsional taqsimlanishi (4.2.4-jadval), bank modeli – 4.2.2-jadvaldagi 2-model; muammoli kreditlar ulushi – 25 ta bank bo‘yicha aktivlar bilan tortilgan o‘rtacha; asosiy va ijobiy ssenariylarda ikkala usulda ham qizil zonada bank yo‘q.</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w:t>
      </w:r>
      <w:r>
        <w:rPr>
          <w:color w:val="0070C0"/>
        </w:rPr>
        <w:t xml:space="preserve">4.2.5-rasm</w:t>
      </w:r>
      <w:r>
        <w:t xml:space="preserve">da ko‘rsatilgan.</w:t>
      </w:r>
    </w:p>
    <w:p w:rsidR="005603EC" w:rsidRDefault="00AB61AC">
      <w:pPr>
        <w:pStyle w:val="af"/>
        <w:spacing w:after="0" w:line="360" w:lineRule="auto"/>
        <w:ind w:firstLine="709"/>
        <w:jc w:val="both"/>
      </w:pPr>
      <w:r>
        <w:rPr>
          <w:color w:val="0070C0"/>
        </w:rPr>
        <w:t xml:space="preserve">4.2.5-rasmdan </w:t>
      </w:r>
      <w:r>
        <w:t xml:space="preserve">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w:t>
      </w:r>
      <w:r>
        <w:rPr>
          <w:color w:val="0070C0"/>
        </w:rPr>
        <w:t xml:space="preserve">tanlangan banklar</w:t>
      </w:r>
      <w:r>
        <w:t xml:space="preserve"> aktivlaridagi ulushi 2025-yildagi 33,8 foizdan keskin salbiy ssenariyda 45,9 foizgacha oshadi, ya’ni bank tizimi aktivlarining deyarli yarmi kuchaytirilgan nazorat talab qiladigan banklarga to‘g‘ri keladi. Ssenariylarning davlat banklari va boshqa banklarga ta’siri </w:t>
      </w:r>
      <w:r>
        <w:rPr>
          <w:color w:val="0070C0"/>
        </w:rPr>
        <w:t xml:space="preserve">4.2.6-jadval</w:t>
      </w:r>
      <w:r>
        <w:t xml:space="preserve">da solishtirilgan.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color w:val="0070C0"/>
        </w:rPr>
        <w:t xml:space="preserve">4.2.5-rasm</w:t>
      </w:r>
      <w:r>
        <w:rPr>
          <w:b/>
        </w:rPr>
        <w:t xml:space="preserve">. Tanlangan 25 ta bankning </w:t>
      </w:r>
      <w:r>
        <w:rPr>
          <w:b/>
          <w:color w:val="0070C0"/>
        </w:rPr>
        <w:t xml:space="preserve">erta ogohlantirish zonalari bo‘yicha taqsimlanishi: 2025-yil (haqiqiy) va 2027-yil oxiri (ssenariylar bo‘yicha prognoz)</w:t>
      </w:r>
      <w:r>
        <w:rPr>
          <w:b/>
        </w:rPr>
        <w:t xml:space="preserve">, banklar soni</w:t>
      </w:r>
      <w:r>
        <w:rPr>
          <w:rStyle w:val="aff8"/>
        </w:rPr>
        <w:footnoteReference w:id="525"/>
      </w:r>
    </w:p>
    <w:p w:rsidR="005603EC" w:rsidRDefault="00AB61AC">
      <w:pPr>
        <w:pStyle w:val="af"/>
        <w:keepNext/>
        <w:spacing w:before="120" w:after="0" w:line="360" w:lineRule="auto"/>
        <w:jc w:val="right"/>
      </w:pPr>
      <w:r>
        <w:rPr>
          <w:i/>
        </w:rPr>
        <w:lastRenderedPageBreak/>
      </w:r>
      <w:r>
        <w:rPr>
          <w:i/>
          <w:color w:val="0070C0"/>
        </w:rPr>
        <w:t xml:space="preserve">4.2.6-jadval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20" w:firstRow="1" w:lastRow="0" w:firstColumn="0" w:lastColumn="0" w:noHBand="0" w:noVBand="0"/>
      </w:tblPr>
      <w:tblGrid>
        <w:gridCol w:w="3118"/>
        <w:gridCol w:w="1644"/>
        <w:gridCol w:w="1077"/>
        <w:gridCol w:w="879"/>
        <w:gridCol w:w="879"/>
        <w:gridCol w:w="879"/>
        <w:gridCol w:w="8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18"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644"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077"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879"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879"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879"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879"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311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w:t>
      </w:r>
      <w:r>
        <w:rPr>
          <w:sz w:val="24"/>
        </w:rPr>
        <w:t xml:space="preserve">.</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 xml:space="preserve">Milliy hisobot asosidagi prognoz kredit riskini </w:t>
      </w:r>
      <w:r>
        <w:rPr>
          <w:color w:val="0070C0"/>
        </w:rPr>
        <w:t xml:space="preserve">kamaytirib</w:t>
      </w:r>
      <w:r>
        <w:t xml:space="preserve"> ko‘rsatishini hisobga olgan holda, </w:t>
      </w:r>
      <w:r>
        <w:rPr>
          <w:color w:val="0070C0"/>
        </w:rPr>
        <w:t xml:space="preserve">tadqiqot obyektlari bo‘lgan uch</w:t>
      </w:r>
      <w:r>
        <w:t xml:space="preserve"> bank uchun prognoz milliy va MHXS hisobotlari asosida alohida amalga oshirildi. MHXS varianti uchun muammoli kreditlar ulushining o‘zgarishi 2.3-paragrafda taklif etilgan yashirin kredit riski </w:t>
      </w:r>
      <w:r>
        <w:rPr/>
        <w:t xml:space="preserve">koeffitsiyentiga ko‘paytirildi. Bu koeffitsiyent</w:t>
      </w:r>
      <w:r>
        <w:t xml:space="preserve"> 2025-yilda “O‘zsanoatqurilishbank” ATB uchun 2,96 ni, “Mikrokreditbank” ATB uchun 2,80 </w:t>
      </w:r>
      <w:r>
        <w:rPr>
          <w:color w:val="0070C0"/>
        </w:rPr>
        <w:t xml:space="preserve">ni, “Aloqabank” ATB uchun 2,83 ni tashkil etgan. Dastlabki ikki bank bo‘yicha natijalar </w:t>
      </w:r>
      <w:r>
        <w:rPr>
          <w:color w:val="0070C0"/>
        </w:rPr>
        <w:t xml:space="preserve">4.2.7-jadval</w:t>
      </w:r>
      <w:r>
        <w:rPr>
          <w:color w:val="0070C0"/>
        </w:rPr>
        <w:t xml:space="preserve">da keltirilgan</w:t>
      </w:r>
      <w:r>
        <w:t xml:space="preserve">.</w:t>
      </w:r>
    </w:p>
    <w:p w:rsidR="005603EC" w:rsidRDefault="00AB61AC">
      <w:pPr>
        <w:pStyle w:val="af"/>
        <w:keepNext/>
        <w:spacing w:before="120" w:after="0" w:line="360" w:lineRule="auto"/>
        <w:jc w:val="right"/>
      </w:pPr>
      <w:r>
        <w:rPr>
          <w:i/>
        </w:rPr>
        <w:lastRenderedPageBreak/>
      </w:r>
      <w:r>
        <w:rPr>
          <w:i/>
          <w:color w:val="0070C0"/>
        </w:rPr>
        <w:t xml:space="preserve">4.2.7-jadval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2,84 (sariq; </w:t>
            </w:r>
            <w:r>
              <w:rPr>
                <w:rFonts w:ascii="Times New Roman" w:hAnsi="Times New Roman" w:eastAsia="Times New Roman" w:cs="Times New Roman"/>
                <w:color w:val="0070C0"/>
                <w:sz w:val="24"/>
                <w:szCs w:val="24"/>
              </w:rPr>
              <w:t xml:space="preserve">4,7</w:t>
            </w:r>
            <w:r>
              <w:rPr>
                <w:rFonts w:ascii="Times New Roman" w:hAnsi="Times New Roman" w:eastAsia="Times New Roman" w:cs="Times New Roman"/>
                <w:sz w:val="24"/>
                <w:szCs w:val="24"/>
              </w:rPr>
              <w:t xml:space="preserve">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2,58 (qizil; </w:t>
            </w:r>
            <w:r>
              <w:rPr>
                <w:rFonts w:ascii="Times New Roman" w:hAnsi="Times New Roman" w:eastAsia="Times New Roman" w:cs="Times New Roman"/>
                <w:color w:val="0070C0"/>
                <w:sz w:val="24"/>
                <w:szCs w:val="24"/>
              </w:rPr>
              <w:t xml:space="preserve">6,9</w:t>
            </w:r>
            <w:r>
              <w:rPr>
                <w:rFonts w:ascii="Times New Roman" w:hAnsi="Times New Roman" w:eastAsia="Times New Roman" w:cs="Times New Roman"/>
                <w:sz w:val="24"/>
                <w:szCs w:val="24"/>
              </w:rPr>
              <w:t xml:space="preserve">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w:t>
      </w:r>
      <w:r>
        <w:rPr>
          <w:color w:val="0070C0"/>
        </w:rPr>
        <w:t xml:space="preserve">ko‘ra,</w:t>
      </w:r>
      <w:r>
        <w:t xml:space="preserve">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w:t>
      </w:r>
      <w:r>
        <w:rPr>
          <w:color w:val="0070C0"/>
        </w:rPr>
        <w:t xml:space="preserve">yetadi. Xuddi shu usulda hisoblangan “Aloqabank” ATB bo‘yicha natijalar ham shunga o‘xshash. Milliy hisobot bo‘yicha bank 2027-yilda ijobiy ssenariyda yashil zonada (3,27 ball), qolgan ssenariylarda sariq zonada (3,04–3,24 ball) bo‘lsa, MHXS bo‘yicha asosiy ssenariyda sariq va qizil zonalar chegarasida (2,75 ball) joylashib, salbiy ssenariylarda qizil zonaga (2,58–2,66 ball) tushadi, 3-bosqich kreditlari ulushi esa 7,2 foizdan 11,3 foizgacha oshadi.</w:t>
      </w:r>
      <w:r>
        <w:t xml:space="preserve"> </w:t>
      </w:r>
      <w:r>
        <w:rPr>
          <w:color w:val="0070C0"/>
        </w:rPr>
        <w:t xml:space="preserve">Dastlabki ikki bank bo‘yicha bu</w:t>
      </w:r>
      <w:r>
        <w:t xml:space="preserve"> farqlar </w:t>
      </w:r>
      <w:r>
        <w:rPr>
          <w:color w:val="0070C0"/>
        </w:rPr>
        <w:t xml:space="preserve">4.2.6-rasm</w:t>
      </w:r>
      <w:r>
        <w:t xml:space="preserve">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color w:val="0070C0"/>
        </w:rPr>
        <w:t xml:space="preserve">4.2.6-rasm</w:t>
      </w:r>
      <w:r>
        <w:rPr>
          <w:b/>
        </w:rPr>
        <w:t xml:space="preserve">. “O‘zsanoatqurilishbank” ATB va “Mikrokreditbank” ATB integral indeksining ssenariylar bo‘yicha 2027-yilga prognozi: milliy va MHXS hisobotlari asosida, ball</w:t>
      </w:r>
      <w:r>
        <w:rPr>
          <w:rStyle w:val="aff8"/>
        </w:rPr>
        <w:footnoteReference w:id="528"/>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 xml:space="preserve">farq </w:t>
      </w:r>
      <w:r>
        <w:rPr>
          <w:color w:val="0070C0"/>
        </w:rPr>
        <w:t xml:space="preserve">0,80–0</w:t>
      </w:r>
      <w:r>
        <w:rPr/>
        <w:t xml:space="preserve">,90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w:t>
      </w:r>
      <w:r>
        <w:rPr/>
        <w:t xml:space="preserve">oshirib ko‘rsatadi. </w:t>
      </w:r>
      <w:r>
        <w:rPr>
          <w:color w:val="0070C0"/>
        </w:rPr>
        <w:t xml:space="preserve">Xususan</w:t>
      </w:r>
      <w:r>
        <w:rPr/>
        <w:t xml:space="preserve">, “O‘zsanoatqurilishbank” ATB misolida</w:t>
      </w:r>
      <w:r>
        <w:t xml:space="preserve">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w:t>
      </w:r>
      <w:r>
        <w:rPr>
          <w:color w:val="0070C0"/>
        </w:rPr>
        <w:t xml:space="preserve">qarorlar,</w:t>
      </w:r>
      <w:r>
        <w:t xml:space="preserve">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w:t>
      </w:r>
      <w:r>
        <w:rPr>
          <w:color w:val="0070C0"/>
        </w:rPr>
        <w:t xml:space="preserve">tanlangan banklar</w:t>
      </w:r>
      <w:r>
        <w:t xml:space="preserve"> aktivlaridagi ulushi 24,3 foizga yetadi. Milliy hisobot ma’lumotlari asosidagi prognoz bu riskni </w:t>
      </w:r>
      <w:r>
        <w:rPr>
          <w:color w:val="0070C0"/>
        </w:rPr>
        <w:t xml:space="preserve">kamaytirib</w:t>
      </w:r>
      <w:r>
        <w:t xml:space="preserve"> ko‘rsatadi, MHXS ma’lumotlari asosida esa </w:t>
      </w:r>
      <w:r>
        <w:rPr>
          <w:color w:val="0070C0"/>
        </w:rPr>
        <w:t xml:space="preserve">tadqiqot obyektlari bo‘lgan “O‘zsanoatqurilishbank” va “Aloqabank” ATBlari</w:t>
      </w:r>
      <w:r>
        <w:t xml:space="preserve">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w:t>
      </w:r>
      <w:r>
        <w:rPr>
          <w:color w:val="0070C0"/>
        </w:rPr>
        <w:t xml:space="preserve">banklarining,</w:t>
      </w:r>
      <w:r>
        <w:t xml:space="preserve"> kapital monandligi minimal talabdan pastga tushadi</w:t>
      </w:r>
      <w:r>
        <w:rPr>
          <w:rStyle w:val="aff8"/>
        </w:rPr>
        <w:footnoteReference w:id="529"/>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30"/>
      </w:r>
      <w:r>
        <w:t xml:space="preserve">. Salbiy ssenariyda tizim kapital monandligi 9,9 foizgacha pasayib, kapital yetishmovchiligi 48 trln so‘mni (YaIMning 2,2 foizi) tashkil etadi, boshlang‘ich kapital </w:t>
      </w:r>
      <w:r>
        <w:rPr>
          <w:color w:val="0070C0"/>
        </w:rPr>
        <w:t xml:space="preserve">monandligi to‘liq aks ettirilmagan muammoli kreditlarga tuzatilib, subordinar qarzlar chegirilganda</w:t>
      </w:r>
      <w:r>
        <w:t xml:space="preserve"> esa monandlik 7,7 foizgacha pasayib, yetishmovchilik 79 trln so‘mga (YaIMning 3,6 foizi) yetadi</w:t>
      </w:r>
      <w:r>
        <w:rPr>
          <w:rStyle w:val="aff8"/>
        </w:rPr>
        <w:footnoteReference w:id="531"/>
      </w:r>
      <w:r>
        <w:t xml:space="preserve">. Hatto asosiy ssenariyda ham to‘qqizta davlat bankidan beshtasi, jumladan ikkita tizimli ahamiyatga molik </w:t>
      </w:r>
      <w:r>
        <w:rPr>
          <w:color w:val="0070C0"/>
        </w:rPr>
        <w:t xml:space="preserve">bank,</w:t>
      </w:r>
      <w:r>
        <w:t xml:space="preserve"> minimal talabdan pastga tushadi</w:t>
      </w:r>
      <w:r>
        <w:rPr>
          <w:rStyle w:val="aff8"/>
        </w:rPr>
        <w:footnoteReference w:id="532"/>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w:t>
      </w:r>
      <w:r>
        <w:rPr>
          <w:color w:val="0070C0"/>
        </w:rPr>
        <w:t xml:space="preserve">35 ta chora sakkiz yo‘nalish bo‘yicha guruhlangan bo‘lib, ularning asosiylari qonunchilikni takomillashtirish, prudensial talablarni kuchaytirish, korporativ boshqaruv, risklarni boshqarish va litsenziyalash talablarini takomillashtirish, Markaziy bankning nazorat jarayonlarini takomillashtirish, banklarni sanatsiya qilish, tugatish va omonatlarni sug‘urtalash tizimini rivojlantirish hamda moliyaviy barqarorlikni ta’minlash choralarini kuchaytirishdan iborat</w:t>
      </w:r>
      <w:r>
        <w:lastRenderedPageBreak/>
      </w:r>
      <w:r>
        <w:rPr>
          <w:rStyle w:val="aff8"/>
        </w:rPr>
        <w:footnoteReference w:id="533"/>
      </w:r>
      <w:r>
        <w:t xml:space="preserve">. Moliyaviy barqarorlikni baholash nuqtai nazaridan ulardan eng muhimlari quyidagilardir: aktivlarni tasniflash va </w:t>
      </w:r>
      <w:r>
        <w:rPr>
          <w:color w:val="0070C0"/>
        </w:rPr>
        <w:t xml:space="preserve">zaxiralarni</w:t>
      </w:r>
      <w:r>
        <w:t xml:space="preserve"> shakllantirish talablarini Bazel standartlari va MHXS 9 asosida qayta ko‘rib chiqish, jumladan muammoli kreditlar ta’rifini 3-bosqich aktivlarini to‘liq qamraydigan qilib kengaytirish va qayta tuzilgan aktivlar ta’rifini </w:t>
      </w:r>
      <w:r>
        <w:rPr>
          <w:color w:val="0070C0"/>
        </w:rPr>
        <w:t xml:space="preserve">Bazel standartidagi “forborne exposures” ta’rifiga</w:t>
      </w:r>
      <w:r>
        <w:t xml:space="preserve">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4"/>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color w:val="0070C0"/>
                <w:sz w:val="24"/>
                <w:szCs w:val="24"/>
              </w:rPr>
              <w:t xml:space="preserve">uch bankda 1,65–4,90; SQB da 2025-yilda</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3.2-§: ochiq ma’lumotlarda </w:t>
            </w:r>
            <w:r>
              <w:rPr>
                <w:rFonts w:ascii="Times New Roman" w:hAnsi="Times New Roman" w:eastAsia="Times New Roman" w:cs="Times New Roman"/>
                <w:color w:val="0070C0"/>
                <w:sz w:val="24"/>
                <w:szCs w:val="24"/>
              </w:rPr>
              <w:t xml:space="preserve">milliy tasnif va MHXS 9 bosqichlari kesishmasi faqat ayrim banklarda oshkor qilinadi, bank kesimidagi prudensial ko‘rsatkichlar esa</w:t>
            </w:r>
            <w:r>
              <w:rPr>
                <w:rFonts w:ascii="Times New Roman" w:hAnsi="Times New Roman" w:eastAsia="Times New Roman" w:cs="Times New Roman"/>
                <w:sz w:val="24"/>
                <w:szCs w:val="24"/>
              </w:rPr>
              <w:t xml:space="preserve">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 indeksning bashorat kuchi AUC = 0,86; qizil </w:t>
            </w:r>
            <w:r>
              <w:rPr>
                <w:rFonts w:ascii="Times New Roman" w:hAnsi="Times New Roman" w:eastAsia="Times New Roman" w:cs="Times New Roman"/>
                <w:color w:val="0070C0"/>
                <w:sz w:val="24"/>
                <w:szCs w:val="24"/>
              </w:rPr>
              <w:t xml:space="preserve">zonadagi kuzatuvlarda muammo hodisalari ulushi</w:t>
            </w:r>
            <w:r>
              <w:rPr>
                <w:rFonts w:ascii="Times New Roman" w:hAnsi="Times New Roman" w:eastAsia="Times New Roman" w:cs="Times New Roman"/>
                <w:sz w:val="24"/>
                <w:szCs w:val="24"/>
              </w:rPr>
              <w:t xml:space="preserve">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FSAP: stress-test ma’lumotlarini qoidalardagi bo‘shliqlarga tuzatish (1-tavsiya); “yo‘l xaritasi”, 7, </w:t>
            </w:r>
            <w:r>
              <w:rPr>
                <w:rFonts w:ascii="Times New Roman" w:hAnsi="Times New Roman" w:eastAsia="Times New Roman" w:cs="Times New Roman"/>
                <w:color w:val="0070C0"/>
                <w:sz w:val="24"/>
                <w:szCs w:val="24"/>
              </w:rPr>
              <w:t xml:space="preserve">12, 31-choralar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4.2-§: salbiy ssenariylarda qizil zonaga faqat davlat banklari tushadi; SQB </w:t>
            </w:r>
            <w:r>
              <w:rPr>
                <w:rFonts w:ascii="Times New Roman" w:hAnsi="Times New Roman" w:eastAsia="Times New Roman" w:cs="Times New Roman"/>
                <w:color w:val="0070C0"/>
                <w:sz w:val="24"/>
                <w:szCs w:val="24"/>
              </w:rPr>
              <w:t xml:space="preserve">keskin salbiy ssenariyda milliy</w:t>
            </w:r>
            <w:r>
              <w:rPr>
                <w:rFonts w:ascii="Times New Roman" w:hAnsi="Times New Roman" w:eastAsia="Times New Roman" w:cs="Times New Roman"/>
                <w:sz w:val="24"/>
                <w:szCs w:val="24"/>
              </w:rPr>
              <w:t xml:space="preserve">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 MKB ning davlat ko‘magisiz bahosi 1,72 ball; 3.3-§: davlat banklarining indeksi </w:t>
            </w:r>
            <w:r>
              <w:rPr>
                <w:rFonts w:ascii="Times New Roman" w:hAnsi="Times New Roman" w:eastAsia="Times New Roman" w:cs="Times New Roman"/>
                <w:color w:val="0070C0"/>
                <w:sz w:val="24"/>
                <w:szCs w:val="24"/>
              </w:rPr>
              <w:t xml:space="preserve">boshqa banklarnikidan 0</w:t>
            </w:r>
            <w:r>
              <w:rPr>
                <w:rFonts w:ascii="Times New Roman" w:hAnsi="Times New Roman" w:eastAsia="Times New Roman" w:cs="Times New Roman"/>
                <w:sz w:val="24"/>
                <w:szCs w:val="24"/>
              </w:rPr>
              <w:t xml:space="preserve">,69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r>
      <w:r>
        <w:t xml:space="preserve">qilishi mumkin. Shu bilan birga, ayrim takliflar, xususan, integral indeks, milliy va MHXS hisobotlari asosidagi indekslar farqini o‘lchash, davlat ko‘magisiz baho va kreditlar o‘sishini bank darajasida </w:t>
      </w:r>
      <w:r>
        <w:rPr>
          <w:color w:val="0070C0"/>
        </w:rPr>
        <w:t xml:space="preserve">kuzatish,</w:t>
      </w:r>
      <w:r>
        <w:t xml:space="preserve">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6"/>
      </w:r>
      <w:r>
        <w:t xml:space="preserve">. Integral indeks bu jarayonga yagona, takrorlanuvchan va empirik tekshirilgan miqdoriy asos beradi. Uni Markaziy bankka taqdim etiladigan prudensial hisobotlar asosida har chorakda hisoblash mumkin, bunda </w:t>
      </w:r>
      <w:r>
        <w:rPr>
          <w:color w:val="0070C0"/>
        </w:rPr>
        <w:t xml:space="preserve">3.3–4.2-paragraflarda</w:t>
      </w:r>
      <w:r>
        <w:t xml:space="preserve">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w:t>
      </w:r>
      <w:r>
        <w:rPr/>
        <w:t xml:space="preserve">tendensiyaga ham mos keladi. Xususan, AQShda</w:t>
      </w:r>
      <w:r>
        <w:rPr/>
        <w:t xml:space="preserve">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7"/>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8"/>
      </w:r>
      <w:r>
        <w:t xml:space="preserve">. 4.1-paragrafda taklif etilgan uch zonali tizim bu </w:t>
      </w:r>
      <w:r>
        <w:rPr/>
        <w:t xml:space="preserve">bo‘shliqni to‘ldiradi, chunki uning chegaralari</w:t>
      </w:r>
      <w:r>
        <w:lastRenderedPageBreak/>
      </w:r>
      <w:r>
        <w:t xml:space="preserve">, ya’ni 2,75 va 3,25 ball, 2021–2025-yillardagi ma’lumotlar asosida tekshirilgan va tahlil davrida qizil zonadagi </w:t>
      </w:r>
      <w:r>
        <w:rPr>
          <w:color w:val="0070C0"/>
        </w:rPr>
        <w:t xml:space="preserve">kuzatuvlarning yarmidan keyin</w:t>
      </w:r>
      <w:r>
        <w:t xml:space="preserve">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9"/>
      </w:r>
      <w:r>
        <w:t xml:space="preserve">. Yevropa bank boshqarmasining nazorat tekshiruvi va baholash jarayoni (SREP) bo‘yicha yo‘riqnomasida esa bankning biznes-modeli, boshqaruvi, kapital va likvidlik risklari 1–4 ballik shkalada baholanib, yakuniy ball asosida nazorat choralari, jumladan erta aralashuv </w:t>
      </w:r>
      <w:r>
        <w:rPr>
          <w:color w:val="0070C0"/>
        </w:rPr>
        <w:t xml:space="preserve">choralari,</w:t>
      </w:r>
      <w:r>
        <w:t xml:space="preserve"> belgilanadi</w:t>
      </w:r>
      <w:r>
        <w:rPr>
          <w:rStyle w:val="aff8"/>
        </w:rPr>
        <w:footnoteReference w:id="540"/>
      </w:r>
      <w:r>
        <w:t xml:space="preserve">. Taklif etilayotgan tizim bu ikki </w:t>
      </w:r>
      <w:r>
        <w:rPr/>
        <w:t xml:space="preserve">yondashuvni birlashtiradi, ya’ni SREP kabi</w:t>
      </w:r>
      <w:r>
        <w:t xml:space="preserve"> bir nechta blok bo‘yicha integral ballga tayanadi, AQSh tizimi kabi esa har bir zonaga aniq choralarni bog‘laydi. Uning afzalligi shundaki, zonalar chegaralari faqat kapital ko‘rsatkichiga emas, balki aktivlar sifati, likvidlik va daromadlilikka ham asoslanadi, 4.1-paragrafda esa aynan </w:t>
      </w:r>
      <w:r>
        <w:rPr>
          <w:color w:val="0070C0"/>
        </w:rPr>
        <w:t xml:space="preserve">kapitalning aktivlarga nisbati</w:t>
      </w:r>
      <w:r>
        <w:t xml:space="preserve">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41"/>
      </w:r>
      <w: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w:t>
      </w:r>
      <w:r>
        <w:rPr>
          <w:color w:val="0070C0"/>
        </w:rPr>
        <w:t xml:space="preserve">hamda “Aloqabank” ATB misolida</w:t>
      </w:r>
      <w:r>
        <w:t xml:space="preserve">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3,5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 xml:space="preserve">Jadvaldan ko‘rinib turibdiki, MHXS ma’lumotlariga o‘tish beshta bankdan uchtasining erta ogohlantirish zonasini yomon </w:t>
      </w:r>
      <w:r>
        <w:rPr/>
        <w:t xml:space="preserve">tomonga o‘zgartiradi. Xususan, “O‘zsanoatqurilishbank”</w:t>
      </w:r>
      <w:r>
        <w:t xml:space="preserve"> ATB va “Ipoteka-bank” ATB yashil zonadan sariq zonaga, “Mikrokreditbank” ATB esa sariq zonadan qizil zonaga o‘tadi.</w:t>
      </w:r>
      <w:r>
        <w:rPr/>
        <w:t xml:space="preserve"> Oltinchi bank – “Aloqabank” ATB da ham xuddi shunday </w:t>
      </w:r>
      <w:r>
        <w:rPr/>
        <w:t xml:space="preserve">holat kuzatiladi, chunki u milliy</w:t>
      </w:r>
      <w:r>
        <w:rPr/>
        <w:t xml:space="preserve"> hisobot bo‘yicha yashil zonada (3,26 ball), MHXS bo‘yicha esa sariq zonada (2,78 ball) joylashadi, ya’ni oltita bankdan to‘rttasining zonasi yomonlashadi.</w:t>
      </w:r>
      <w:r>
        <w:t xml:space="preserve"> Yashirin kredit riski koeffitsiyenti banklar o‘rtasida </w:t>
      </w:r>
      <w:r>
        <w:rPr/>
        <w:t xml:space="preserve">keskin farq qiladi. Masalan, “Xalq banki”</w:t>
      </w:r>
      <w:r>
        <w:t xml:space="preserve">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w:t>
      </w:r>
      <w:r>
        <w:rPr/>
        <w:t xml:space="preserve">milliy indeksdan biroz yuqori, chunki 3-bosqich</w:t>
      </w:r>
      <w:r>
        <w:t xml:space="preserve"> kreditlari ulushi yuqori bo‘lsa-da, 2-bosqich kreditlari ulushi nisbatan past (11,0 foiz), MHXS bo‘yicha kapital rentabelligi 16,3 foizni tashkil etib, milliy hisobotdagi 9,6 foizdan yuqori, </w:t>
      </w:r>
      <w:r>
        <w:rPr>
          <w:color w:val="0070C0"/>
        </w:rPr>
        <w:t xml:space="preserve">8 ko‘rsatkichli panel indeksida mavjud bo‘lmagan valyuta riski bloki esa yuqori ball (3,96) olgan. Demak, MHXS ma’lumotlariga va to‘liq indeksga o‘tish faqat aktivlar sifatini emas, balki boshqa bloklarni ham</w:t>
      </w:r>
      <w:r>
        <w:t xml:space="preserve"> o‘zgartiradi va uning ta’siri har bir bank uchun alohida baholanishi lozim.</w:t>
      </w:r>
      <w:r>
        <w:rPr/>
        <w:t xml:space="preserve"> Ta’kidlash lozimki, jadvaldagi </w:t>
      </w:r>
      <w:r>
        <w:rPr>
          <w:color w:val="0070C0"/>
        </w:rPr>
        <w:t xml:space="preserve">“MBII-8:</w:t>
      </w:r>
      <w:r>
        <w:rPr/>
        <w:t xml:space="preserve"> milliy hisobot” ustunida 4.1-paragrafdagi 8 ko‘rsatkichli choraklik panel indeksi keltirilgan</w:t>
      </w:r>
      <w:r>
        <w:rPr/>
        <w:t xml:space="preserve">. </w:t>
      </w:r>
      <w:r>
        <w:rPr>
          <w:color w:val="0070C0"/>
        </w:rPr>
        <w:t xml:space="preserve">13 ko‘rsatkichli to‘liq indeks (MBII-13)</w:t>
      </w:r>
      <w:r>
        <w:rPr/>
        <w:t xml:space="preserve"> bo‘yicha milliy hisobot asosidagi qiymatlar 3.1.5-jadvalda berilgan (“O‘zsanoatqurilishbank” ATB – 3,27, “Mikrokreditbank” ATB – 3,13</w:t>
      </w:r>
      <w:r>
        <w:rPr/>
        <w:t xml:space="preserve">, “Aloqabank” ATB – 3,248</w:t>
      </w:r>
      <w:r>
        <w:rPr/>
        <w:t xml:space="preserve">) va ular </w:t>
      </w:r>
      <w:r>
        <w:rPr>
          <w:color w:val="0070C0"/>
        </w:rPr>
        <w:t xml:space="preserve">“O‘zsanoatqurilishbank” ATB hamda “Mikrokreditbank” ATB bo‘yicha zonalar o‘zgarishi to‘g‘risidagi xulosani o‘zgartirmaydi. “Aloqabank” ATB ning MBII-13 bo‘yicha milliy indeksi esa yashil zona chegarasidan 0,002 ball past bo‘lgani sababli bank ikkala variantda ham sariq zonada qoladi, biroq MHXS ma’lumotlariga o‘tishda indeks 0,47 ballga pasayib, qizil zona chegarasiga yaqinlashadi</w:t>
      </w:r>
      <w:r>
        <w:rPr/>
        <w:t xml:space="preserve">.</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43"/>
      </w:r>
      <w:r>
        <w:t xml:space="preserve">. Dissertatsiya davomida bu muammo </w:t>
      </w:r>
      <w:r>
        <w:rPr/>
        <w:t xml:space="preserve">amaliy jihatdan tasdiqlandi. Xususan, ochiq</w:t>
      </w:r>
      <w:r>
        <w:t xml:space="preserve"> ma’lumotlarda bank kesimidagi kapital monandligi koeffitsiyentlari, likvidlik </w:t>
      </w:r>
      <w:r>
        <w:lastRenderedPageBreak/>
      </w:r>
      <w:r>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4"/>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 xml:space="preserve">Beshinchi taklif stress-test amaliyotini takomillashtirishga qaratilgan. 4.2-paragrafda ko‘rsatilganidek, milliy hisobot ma’lumotlari asosidagi stress-test bankning bardoshliligini sezilarli </w:t>
      </w:r>
      <w:r>
        <w:rPr/>
        <w:t xml:space="preserve">oshirib ko‘rsatadi. Masalan, “O‘zsanoatqurilishbank” ATB keskin</w:t>
      </w:r>
      <w:r>
        <w:t xml:space="preserve"> salbiy ssenariyda milliy hisobot bo‘yicha yashil zonada qolsa, MHXS bo‘yicha qizil zonaga tushadi. FSAP ham kapital to‘liq aks ettirilmagan muammoli kreditlarga tuzatilganda stress natijalari ancha yomonlashishini ko‘rsatgan</w:t>
      </w:r>
      <w:r>
        <w:rPr>
          <w:rStyle w:val="aff8"/>
        </w:rPr>
        <w:footnoteReference w:id="545"/>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6"/>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7"/>
      </w:r>
      <w:r>
        <w:t xml:space="preserve">. Bunda bank integral indeks bloklari bo‘yicha ichki maqsadli darajalar va </w:t>
      </w:r>
      <w:r>
        <w:lastRenderedPageBreak/>
      </w:r>
      <w:r>
        <w:t xml:space="preserve">limitlar belgilashi, ularni har chorakda monitoring qilishi va indeks sariq zonaga yaqinlashganda tuzatish choralarini ko‘rishi mumkin. Tahlil natijalariga ko‘ra, banklarning, ayniqsa davlat </w:t>
      </w:r>
      <w:r>
        <w:rPr>
          <w:color w:val="0070C0"/>
        </w:rPr>
        <w:t xml:space="preserve">banklarining,</w:t>
      </w:r>
      <w:r>
        <w:t xml:space="preserve">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9"/>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50"/>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r>
      <w:r>
        <w:t xml:space="preserve">darajasiga keltiriladi. Ikkinchi bosqichda besh blok bo‘yicha integral </w:t>
      </w:r>
      <w:r>
        <w:rPr>
          <w:color w:val="0070C0"/>
        </w:rPr>
        <w:t xml:space="preserve">indeks va MHXS hamda milliy indekslar farqi (ΔMBII)</w:t>
      </w:r>
      <w:r>
        <w:t xml:space="preserve">,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spacing w:after="0" w:line="360" w:lineRule="auto"/>
        <w:ind w:firstLine="709"/>
        <w:jc w:val="both"/>
      </w:pPr>
      <w:r>
        <w:rPr>
          <w:color w:val="0070C0"/>
        </w:rPr>
        <w:t xml:space="preserve">4.3.4-jadvaldan </w:t>
      </w:r>
      <w:r>
        <w:t xml:space="preserve">ko‘rinib turibdiki, takliflar “yo‘l xaritasi”ni almashtirmaydi, balki uning choralarini amaliy metodika bilan ta’minlaydi. Birinchi bosqichda </w:t>
      </w:r>
      <w:r>
        <w:rPr>
          <w:color w:val="0070C0"/>
        </w:rPr>
        <w:t xml:space="preserve">indeksni hisoblash uchun qo‘shimcha normativ hujjatlar talab qilinmaydi, chunki u Markaziy bankda mavjud prudensial hisobotlar asosida hisoblanishi mumkin, kesishma jadvali esa “yo‘l xaritasi” doirasida ishlab chiqilayotgan oshkor qilish talablariga kiritiladi</w:t>
      </w:r>
      <w:r>
        <w:lastRenderedPageBreak/>
      </w:r>
      <w:r>
        <w:t xml:space="preserve">.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7, 9, 12, </w:t>
            </w:r>
            <w:r>
              <w:rPr>
                <w:rFonts w:ascii="Times New Roman" w:hAnsi="Times New Roman" w:eastAsia="Times New Roman" w:cs="Times New Roman"/>
                <w:color w:val="0070C0"/>
                <w:sz w:val="24"/>
                <w:szCs w:val="24"/>
              </w:rPr>
              <w:t xml:space="preserve">17, 31-choralar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 </w:t>
            </w:r>
            <w:r>
              <w:rPr>
                <w:rFonts w:ascii="Times New Roman" w:hAnsi="Times New Roman" w:eastAsia="Times New Roman" w:cs="Times New Roman"/>
                <w:color w:val="0070C0"/>
                <w:sz w:val="24"/>
                <w:szCs w:val="24"/>
              </w:rPr>
              <w:t xml:space="preserve">19, 31, 35-choralar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 xml:space="preserve">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w:t>
      </w:r>
      <w:r>
        <w:rPr>
          <w:color w:val="0070C0"/>
        </w:rPr>
        <w:t xml:space="preserve">da (48 foiz)</w:t>
      </w:r>
      <w:r>
        <w:t xml:space="preserve"> yuz bergan.</w:t>
      </w:r>
    </w:p>
    <w:p w:rsidR="005603EC" w:rsidRDefault="00AB61AC">
      <w:pPr>
        <w:numPr>
          <w:ilvl w:val="0"/>
          <w:numId w:val="13"/>
        </w:numPr>
        <w:spacing w:after="0" w:line="360" w:lineRule="auto"/>
        <w:ind w:firstLine="709"/>
        <w:jc w:val="both"/>
      </w:pPr>
      <w:r>
        <w:t xml:space="preserve">Taklif etilgan integral indeks muammo hodisalarini to‘rt chorak oldin yuqori aniqlik bilan </w:t>
      </w:r>
      <w:r>
        <w:rPr/>
        <w:t xml:space="preserve">bashorat qiladi. Xususan, uning ROC</w:t>
      </w:r>
      <w:r>
        <w:t xml:space="preserve">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w:t>
      </w:r>
      <w:r>
        <w:rPr>
          <w:color w:val="0070C0"/>
        </w:rPr>
        <w:t xml:space="preserve">2025-yilda milliy</w:t>
      </w:r>
      <w:r>
        <w:t xml:space="preserve">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r>
      <w:r>
        <w:t xml:space="preserve">2022-yillardagi iqtisodiy o‘sish pasayishi asosida tuzildi. YaIM o‘sishining kredit riskiga ta’siri taxminan to‘rt chorakdan keyin namoyon bo‘lishi aniqlandi, ikki mustaqil model esa deyarli bir xil sezgirlik </w:t>
      </w:r>
      <w:r>
        <w:rPr/>
        <w:t xml:space="preserve">koeffitsiyentini berdi. Natijalarga ko‘ra, YaIM o‘sish</w:t>
      </w:r>
      <w:r>
        <w:t xml:space="preserve">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 xml:space="preserve">Asosiy va ijobiy ssenariylarda bank tizimi barqaror qoladi, keskin salbiy ssenariyda esa 2027-yilda muammoli kreditlar ulushi 2,9 foizdan 4,6 foizgacha oshadi, to‘rtta bank qizil zonaga tushib, ularning </w:t>
      </w:r>
      <w:r>
        <w:rPr>
          <w:color w:val="0070C0"/>
        </w:rPr>
        <w:t xml:space="preserve">tanlangan banklar</w:t>
      </w:r>
      <w:r>
        <w:t xml:space="preserve"> aktivlaridagi ulushi 24,3 foizni tashkil etadi. Qizil zonaga tushadigan banklarning barchasi davlat banklari hisoblanadi. Milliy hisobot ma’lumotlari asosidagi stress-test bankning shokka bardoshliligini </w:t>
      </w:r>
      <w:r>
        <w:rPr/>
        <w:t xml:space="preserve">oshirib ko‘rsatadi. Masalan, “O‘zsanoatqurilishbank” ATB keskin</w:t>
      </w:r>
      <w:r>
        <w:t xml:space="preserve"> salbiy ssenariyda milliy hisobot bo‘yicha yashil zonada qolsa, MHXS bo‘yicha qizil zonaga tushadi.</w:t>
      </w:r>
    </w:p>
    <w:p w:rsidR="005603EC" w:rsidRDefault="00AB61AC">
      <w:pPr>
        <w:numPr>
          <w:ilvl w:val="0"/>
          <w:numId w:val="13"/>
        </w:numPr>
        <w:spacing w:after="0" w:line="360" w:lineRule="auto"/>
        <w:ind w:firstLine="709"/>
        <w:jc w:val="both"/>
      </w:pPr>
      <w:r>
        <w:t xml:space="preserve">Xalqaro valyuta jamg‘armasi va Jahon bankining moliya sektorini baholash dasturi (FSAP) natijalari dissertatsiyada aniqlangan </w:t>
      </w:r>
      <w:r>
        <w:rPr/>
        <w:t xml:space="preserve">muammolarni tasdiqladi. Xususan, tizim darajasida</w:t>
      </w:r>
      <w:r>
        <w:t xml:space="preserve">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w:t>
      </w:r>
      <w:r>
        <w:rPr>
          <w:color w:val="0070C0"/>
        </w:rPr>
        <w:t xml:space="preserve">kamaytirib</w:t>
      </w:r>
      <w:r>
        <w:t xml:space="preserve">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w:t>
      </w:r>
      <w:r>
        <w:rPr/>
        <w:t xml:space="preserve">bo‘lib qolmoqda, chunki rasmiy muammoli</w:t>
      </w:r>
      <w:r>
        <w:t xml:space="preserve">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w:t>
      </w:r>
      <w:r>
        <w:rPr/>
        <w:t xml:space="preserve">empirik jihatdan tekshirildi. Xususan, aktivlar sifati</w:t>
      </w:r>
      <w:r>
        <w:rPr/>
        <w:t xml:space="preserve">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w:t>
      </w:r>
      <w:r>
        <w:rPr/>
        <w:t xml:space="preserve">bashorat qiladi. Xususan, uning bashorat kuchi</w:t>
      </w:r>
      <w:r>
        <w:t xml:space="preserve">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 xml:space="preserve">2020 va 2022-yillarda kuzatilgan iqtisodiy shoklar asosida tuzilgan 2026–2028-yillarga shartli ssenariy prognozi asosiy va ijobiy ssenariylarda bank tizimi barqaror qolishini, keskin salbiy ssenariyda esa 2027-yilda muammoli kreditlar ulushi 2,9 foizdan 4,6 foizgacha oshib, </w:t>
      </w:r>
      <w:r>
        <w:rPr>
          <w:color w:val="0070C0"/>
        </w:rPr>
        <w:t xml:space="preserve">tanlangan banklar</w:t>
      </w:r>
      <w:r>
        <w:t xml:space="preserve">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 xml:space="preserve">Tijorat banklariga: integral indeks bloklarini kapital yetarliligini ichki baholash jarayoniga va risk-appetit tizimiga kiritish, likvidlik bloki bo‘yicha, xususan, kreditlarning depozitlarga nisbati </w:t>
      </w:r>
      <w:r>
        <w:rPr>
          <w:color w:val="0070C0"/>
        </w:rPr>
        <w:t xml:space="preserve">bo‘yicha,</w:t>
      </w:r>
      <w:r>
        <w:t xml:space="preserve">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rPr>
          <w:color w:val="0070C0"/>
        </w:rPr>
        <w:t xml:space="preserve">57. National Financial Regulatory Administration (2023-yil maygacha – China Banking and Insurance Regulatory Commission). Supervisory Statistics of the Banking and Insurance Sectors (Major regulatory indicators of the banking and insurance sectors): 2021–2025-yillar IV choraklari,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 xml:space="preserve">172. </w:t>
      </w:r>
      <w:r>
        <w:rPr>
          <w:color w:val="0070C0"/>
        </w:rPr>
        <w:t xml:space="preserve">O‘zbekiston Respublikasi Markaziy banki. Moliyaviy barqarorlik sharhi: 2023-yil. – Toshkent,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Chegara (</w:t>
            </w: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w:t>
      </w:r>
      <w:r>
        <w:rPr>
          <w:color w:val="0070C0"/>
        </w:rPr>
        <w:t xml:space="preserve">Tadqiqotlar jarayonida muallif tomonidan tuzilgan.</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rPr>
          <w:color w:val="0070C0"/>
        </w:rPr>
        <w:t xml:space="preserve">Tadqiqotlar jarayonida muallif tomonidan tuzilgan.</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w:t>
      </w:r>
      <w:r>
        <w:rPr>
          <w:color w:val="0070C0"/>
        </w:rPr>
        <w:t xml:space="preserve">Tadqiqotlar jarayonida muallif tomonidan tuzilgan.</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w:t>
      </w:r>
      <w:r>
        <w:rPr>
          <w:color w:val="0070C0"/>
        </w:rPr>
        <w:t xml:space="preserve">Tadqiqotlar jarayonida muallif tomonidan tuzilgan.</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w:t>
      </w:r>
      <w:r>
        <w:rPr>
          <w:color w:val="0070C0"/>
        </w:rPr>
        <w:t xml:space="preserve">Tadqiqotlar jarayonida muallif tomonidan tuzilgan.</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w:t>
      </w:r>
      <w:r>
        <w:rPr>
          <w:color w:val="0070C0"/>
        </w:rPr>
        <w:t xml:space="preserve">Tadqiqotlar jarayonida muallif tomonidan tuzilgan.</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t xml:space="preserve"> </w:t>
      </w:r>
      <w:r>
        <w:rPr>
          <w:color w:val="0070C0"/>
        </w:rPr>
        <w:t xml:space="preserve">Tadqiqotlar jarayonida muallif tomonidan tuzilgan.</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w:t>
      </w:r>
      <w:r>
        <w:rPr>
          <w:color w:val="0070C0"/>
        </w:rPr>
        <w:t xml:space="preserve">Tadqiqotlar jarayonida muallif tomonidan tuzilgan.</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Tadqiqot natijasida muallif tomonidan ishlab chiqildi.</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w:t>
      </w:r>
      <w:r>
        <w:rPr>
          <w:color w:val="0070C0"/>
        </w:rPr>
        <w:t xml:space="preserve">Tadqiqotlar jarayonida muallif tomonidan tuzilgan.</w:t>
      </w:r>
    </w:p>
  </w:footnote>
  <w:footnote w:id="172">
    <w:p w:rsidR="00AB61AC" w:rsidRDefault="00AB61AC">
      <w:pPr>
        <w:pStyle w:val="aff9"/>
      </w:pPr>
      <w:r>
        <w:rPr>
          <w:rStyle w:val="aff8"/>
        </w:rPr>
        <w:footnoteRef/>
      </w:r>
      <w:r>
        <w:t xml:space="preserve"> </w:t>
      </w:r>
      <w:r>
        <w:rPr>
          <w:color w:val="0070C0"/>
        </w:rPr>
        <w:t xml:space="preserve">Tadqiqotlar jarayonida muallif tomonidan tuzilgan.</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w:t>
      </w:r>
      <w:r>
        <w:rPr>
          <w:color w:val="0070C0"/>
        </w:rPr>
        <w:t xml:space="preserve">Tadqiqotlar jarayonida muallif tomonidan tuzilgan.</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color w:val="0070C0"/>
        </w:rPr>
        <w:t xml:space="preserve">Tadqiqotlar jarayonida muallif tomonidan tuzilgan.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6–8, 12–14-tadbirlar</w:t>
      </w:r>
      <w:r>
        <w:t xml:space="preserve">;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w:t>
      </w:r>
      <w:r>
        <w:rPr>
          <w:color w:val="0070C0"/>
        </w:rPr>
        <w:t xml:space="preserve">Tadqiqotlar jarayonida muallif tomonidan tuzilgan.</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color w:val="0070C0"/>
        </w:rPr>
        <w:t xml:space="preserve">Tadqiqotlar jarayonida muallif tomonidan tuzilgan.</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w:t>
      </w:r>
      <w:r>
        <w:rPr>
          <w:color w:val="0070C0"/>
        </w:rPr>
        <w:t xml:space="preserve">O‘zbekiston Respublikasi Markaziy banki. Moliyaviy barqarorlik sharhi: 2025-yil. – Toshkent, 2026.</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w:t>
      </w:r>
      <w:r>
        <w:rPr>
          <w:color w:val="0070C0"/>
        </w:rPr>
        <w:t xml:space="preserve">O‘zbekiston Respublikasi Markaziy banki. Moliyaviy barqarorlik sharhi: 2025-yil. – Toshkent, 2026.</w:t>
      </w:r>
    </w:p>
  </w:footnote>
  <w:footnote w:id="263">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0070C0"/>
        </w:rPr>
        <w:t xml:space="preserve">Tadqiqotlar jarayonida muallif tomonidan tuzilgan.</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color w:val="0070C0"/>
        </w:rPr>
        <w:t xml:space="preserve">Tadqiqotlar jarayonida muallif tomonidan tuzilgan.</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3-tadbir</w:t>
      </w:r>
      <w:r>
        <w:t xml:space="preserve">.</w:t>
      </w:r>
    </w:p>
  </w:footnote>
  <w:footnote w:id="272">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5, 19-tadbirlar</w:t>
      </w:r>
      <w:r>
        <w:t xml:space="preserve">.</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 16-tadbirlar</w:t>
      </w:r>
      <w:r>
        <w:t xml:space="preserve">.</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27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31-tadbir</w:t>
      </w:r>
      <w:r>
        <w:t xml:space="preserve">.</w:t>
      </w:r>
    </w:p>
  </w:footnote>
  <w:footnote w:id="278">
    <w:p w:rsidR="00AB61AC" w:rsidRPr="00E65E68" w:rsidRDefault="00AB61AC">
      <w:pPr>
        <w:pStyle w:val="aff9"/>
        <w:rPr>
          <w:lang w:val="ru-RU"/>
        </w:rPr>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2–4, 7, 9-tadbirlar</w:t>
      </w:r>
      <w:r w:rsidRPr="00E65E68">
        <w:rPr>
          <w:lang w:val="ru-RU"/>
        </w:rPr>
        <w:t xml:space="preserve">.</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w:t>
      </w:r>
      <w:r>
        <w:rPr>
          <w:color w:val="0070C0"/>
        </w:rPr>
        <w:t xml:space="preserve">Tadqiqotlar jarayonida muallif tomonidan tuzilgan.</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95">
    <w:p w:rsidR="00AB61AC" w:rsidRDefault="00AB61AC">
      <w:pPr>
        <w:pStyle w:val="aff9"/>
      </w:pPr>
      <w:r>
        <w:rPr>
          <w:rStyle w:val="aff8"/>
        </w:rPr>
        <w:footnoteRef/>
      </w:r>
      <w:r>
        <w:t xml:space="preserve"> </w:t>
      </w:r>
      <w:r>
        <w:rPr>
          <w:color w:val="0070C0"/>
        </w:rPr>
        <w:t xml:space="preserve">Tadqiqotlar jarayonida muallif tomonidan tuzilgan.</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w:t>
      </w:r>
      <w:r>
        <w:rPr>
          <w:color w:val="0070C0"/>
        </w:rPr>
        <w:t xml:space="preserve">Tadqiqotlar jarayonida muallif tomonidan tuzilgan.</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w:t>
      </w:r>
      <w:r>
        <w:rPr>
          <w:color w:val="0070C0"/>
        </w:rPr>
        <w:t xml:space="preserve">Tadqiqotlar jarayonida muallif tomonidan tuzilgan.</w:t>
      </w:r>
    </w:p>
  </w:footnote>
  <w:footnote w:id="347">
    <w:p w:rsidR="00AB61AC" w:rsidRDefault="00AB61AC">
      <w:pPr>
        <w:pStyle w:val="aff9"/>
      </w:pPr>
      <w:r>
        <w:rPr>
          <w:rStyle w:val="aff8"/>
        </w:rPr>
        <w:footnoteRef/>
      </w:r>
      <w:r>
        <w:t xml:space="preserve"> </w:t>
      </w:r>
      <w:r>
        <w:rPr>
          <w:color w:val="0070C0"/>
        </w:rPr>
        <w:t xml:space="preserve">Tadqiqotlar jarayonida muallif tomonidan tuzilgan.</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Default="00AB61AC">
      <w:pPr>
        <w:pStyle w:val="aff9"/>
      </w:pPr>
      <w:r>
        <w:rPr>
          <w:rStyle w:val="aff8"/>
        </w:rPr>
        <w:footnoteRef/>
      </w:r>
      <w:r>
        <w:t xml:space="preserve"> </w:t>
      </w:r>
      <w:r>
        <w:rPr>
          <w:color w:val="0070C0"/>
        </w:rPr>
        <w:t xml:space="preserve">Tadqiqotlar jarayonida muallif tomonidan tuzilgan.</w:t>
      </w:r>
    </w:p>
  </w:footnote>
  <w:footnote w:id="35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w:t>
      </w:r>
      <w:r>
        <w:rPr>
          <w:color w:val="0070C0"/>
        </w:rPr>
        <w:t xml:space="preserve">Tadqiqotlar jarayonida muallif tomonidan tuzilgan.</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w:t>
      </w:r>
      <w:r>
        <w:rPr>
          <w:color w:val="0070C0"/>
        </w:rPr>
        <w:t xml:space="preserve">Tadqiqotlar jarayonida muallif tomonidan tuzilgan.</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w:t>
      </w:r>
      <w:r>
        <w:rPr>
          <w:color w:val="0070C0"/>
        </w:rPr>
        <w:t xml:space="preserve">Tadqiqotlar jarayonida muallif tomonidan tuzilgan.</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w:t>
      </w:r>
      <w:r>
        <w:rPr>
          <w:color w:val="0070C0"/>
        </w:rPr>
        <w:t xml:space="preserve">Tadqiqotlar jarayonida muallif tomonidan tuzilgan.</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412">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3">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w:t>
      </w:r>
      <w:r>
        <w:rPr>
          <w:color w:val="0070C0"/>
        </w:rPr>
        <w:t xml:space="preserve">Tadqiqotlar jarayonida muallif tomonidan tuzilgan.</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w:t>
      </w:r>
      <w:r>
        <w:rPr>
          <w:color w:val="0070C0"/>
        </w:rPr>
        <w:t xml:space="preserve">Tadqiqotlar jarayonida muallif tomonidan tuzilgan.</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w:t>
      </w:r>
      <w:r>
        <w:rPr>
          <w:color w:val="0070C0"/>
        </w:rPr>
        <w:t xml:space="preserve">Tadqiqotlar jarayonida muallif tomonidan tuzilgan.</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w:t>
      </w:r>
      <w:r>
        <w:rPr>
          <w:color w:val="0070C0"/>
        </w:rPr>
        <w:t xml:space="preserve">Tadqiqotlar jarayonida muallif tomonidan tuzilgan.</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w:t>
      </w:r>
      <w:r>
        <w:rPr>
          <w:color w:val="0070C0"/>
        </w:rPr>
        <w:t xml:space="preserve">Tadqiqotlar jarayonida muallif tomonidan tuzilgan.</w:t>
      </w:r>
    </w:p>
  </w:footnote>
  <w:footnote w:id="434">
    <w:p w:rsidR="00AB61AC" w:rsidRDefault="00AB61AC">
      <w:pPr>
        <w:pStyle w:val="aff9"/>
      </w:pPr>
      <w:r>
        <w:rPr>
          <w:rStyle w:val="aff8"/>
        </w:rPr>
        <w:footnoteRef/>
      </w:r>
      <w:r>
        <w:t xml:space="preserve"> </w:t>
      </w:r>
      <w:r>
        <w:rPr>
          <w:color w:val="0070C0"/>
        </w:rPr>
        <w:t xml:space="preserve">Tadqiqotlar jarayonida muallif tomonidan tuzilgan.</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w:t>
      </w:r>
      <w:r>
        <w:rPr>
          <w:color w:val="0070C0"/>
        </w:rPr>
        <w:t xml:space="preserve">Tadqiqotlar jarayonida muallif tomonidan tuzilgan.</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w:t>
      </w:r>
      <w:r>
        <w:rPr>
          <w:color w:val="0070C0"/>
        </w:rPr>
        <w:t xml:space="preserve">Tadqiqotlar jarayonida muallif tomonidan tuzilgan.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w:t>
      </w:r>
      <w:r>
        <w:rPr>
          <w:color w:val="0070C0"/>
        </w:rPr>
        <w:t xml:space="preserve">Tadqiqotlar jarayonida muallif tomonidan tuzilgan.</w:t>
      </w:r>
    </w:p>
  </w:footnote>
  <w:footnote w:id="490">
    <w:p w:rsidR="00AB61AC" w:rsidRDefault="00AB61AC">
      <w:pPr>
        <w:pStyle w:val="aff9"/>
      </w:pPr>
      <w:r>
        <w:rPr>
          <w:rStyle w:val="aff8"/>
        </w:rPr>
        <w:footnoteRef/>
      </w:r>
      <w:r>
        <w:t xml:space="preserve"> </w:t>
      </w:r>
      <w:r>
        <w:rPr>
          <w:color w:val="0070C0"/>
        </w:rPr>
        <w:t xml:space="preserve">Tadqiqotlar jarayonida muallif tomonidan tuzilgan.</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Tadqiqot natijasida muallif tomonidan 4.1.2-jadvalda ko‘rsatilgan manbalar ma’lumotlari asosida hisoblandi.</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w:t>
      </w:r>
      <w:r>
        <w:rPr>
          <w:color w:val="0070C0"/>
        </w:rPr>
        <w:t xml:space="preserve">O‘zbekiston Respublikasi Markaziy banki statistik byulleteni (2026-yil mart, 1.1-jadval) ma’lumotlari asosida ishlab chiqildi</w:t>
      </w:r>
      <w:r>
        <w:t xml:space="preserve">.</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w:t>
      </w:r>
      <w:r>
        <w:rPr>
          <w:color w:val="0070C0"/>
        </w:rPr>
        <w:t xml:space="preserve">1.1-jadval</w:t>
      </w:r>
      <w:r>
        <w:t xml:space="preserve">. – https://cbu.uz/uz/statistics/buleten/</w:t>
      </w:r>
    </w:p>
  </w:footnote>
  <w:footnote w:id="514">
    <w:p w:rsidR="00AB61AC" w:rsidRDefault="00AB61AC">
      <w:pPr>
        <w:pStyle w:val="aff9"/>
      </w:pPr>
      <w:r>
        <w:rPr>
          <w:rStyle w:val="aff8"/>
        </w:rPr>
        <w:footnoteRef/>
      </w:r>
      <w:r>
        <w:rPr>
          <w:color w:val="0070C0"/>
        </w:rPr>
        <w:t xml:space="preserve"> Tadqiqotlar jarayonida muallif tomonidan tuzilgan.</w:t>
      </w:r>
    </w:p>
  </w:footnote>
  <w:footnote w:id="515">
    <w:p w:rsidR="00AB61AC" w:rsidRDefault="00AB61AC">
      <w:pPr>
        <w:pStyle w:val="aff9"/>
      </w:pPr>
      <w:r>
        <w:rPr>
          <w:rStyle w:val="aff8"/>
        </w:rPr>
        <w:footnoteRef/>
      </w:r>
      <w:r>
        <w:t xml:space="preserve"> </w:t>
      </w:r>
      <w:r>
        <w:rPr>
          <w:color w:val="0070C0"/>
        </w:rPr>
        <w:t xml:space="preserve">Tadqiqotlar jarayonida muallif tomonidan tuzilgan.</w:t>
      </w:r>
    </w:p>
  </w:footnote>
  <w:footnote w:id="51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8">
    <w:p w:rsidR="00AB61AC" w:rsidRDefault="00AB61AC">
      <w:pPr>
        <w:pStyle w:val="aff9"/>
      </w:pPr>
      <w:r>
        <w:rPr>
          <w:rStyle w:val="aff8"/>
        </w:rPr>
        <w:footnoteRef/>
      </w:r>
      <w:r>
        <w:rPr>
          <w:color w:val="0070C0"/>
        </w:rPr>
        <w:t xml:space="preserve"> Tadqiqotlar jarayonida muallif tomonidan tuzilgan.</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Basel Committee on Banking Supervision. Stress testing principles. – Basel: BIS, October 2018.</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rPr>
          <w:color w:val="0070C0"/>
        </w:rPr>
        <w:t xml:space="preserve"> Tadqiqotlar jarayonida muallif tomonidan tuzilgan.</w:t>
      </w:r>
    </w:p>
  </w:footnote>
  <w:footnote w:id="523">
    <w:p w:rsidR="00AB61AC" w:rsidRDefault="00AB61AC">
      <w:pPr>
        <w:pStyle w:val="aff9"/>
      </w:pPr>
      <w:r>
        <w:rPr>
          <w:rStyle w:val="aff8"/>
        </w:rPr>
        <w:footnoteRef/>
      </w:r>
      <w:r>
        <w:t xml:space="preserve"> Tadqiqot natijasida muallif tomonidan 4.2.2-jadvalda ko‘rsatilgan manbalar ma’lumotlari asosida hisoblandi.</w:t>
      </w:r>
    </w:p>
  </w:footnote>
  <w:footnote w:id="524">
    <w:p w:rsidR="00AB61AC" w:rsidRDefault="00AB61AC">
      <w:pPr>
        <w:pStyle w:val="aff9"/>
      </w:pPr>
      <w:r>
        <w:rPr>
          <w:rStyle w:val="aff8"/>
        </w:rPr>
        <w:footnoteRef/>
      </w:r>
      <w:r>
        <w:rPr>
          <w:color w:val="0070C0"/>
        </w:rPr>
        <w:t xml:space="preserve"> Tadqiqotlar jarayonida muallif tomonidan tuzilgan.</w:t>
      </w:r>
    </w:p>
  </w:footnote>
  <w:footnote w:id="525">
    <w:p w:rsidR="00AB61AC" w:rsidRDefault="00AB61AC">
      <w:pPr>
        <w:pStyle w:val="aff9"/>
      </w:pPr>
      <w:r>
        <w:rPr>
          <w:rStyle w:val="aff8"/>
        </w:rPr>
        <w:footnoteRef/>
      </w:r>
      <w:r>
        <w:t xml:space="preserve"> Tadqiqot natijasida muallif tomonidan 4.2.2-jadvalda ko‘rsatilgan manbalar ma’lumotlari asosida hisoblandi.</w:t>
      </w:r>
    </w:p>
  </w:footnote>
  <w:footnote w:id="526">
    <w:p w:rsidR="00AB61AC" w:rsidRDefault="00AB61AC">
      <w:pPr>
        <w:pStyle w:val="aff9"/>
      </w:pPr>
      <w:r>
        <w:rPr>
          <w:rStyle w:val="aff8"/>
        </w:rPr>
        <w:footnoteRef/>
      </w:r>
      <w:r>
        <w:t xml:space="preserve"> Tadqiqot natijasida muallif tomonidan 4.2.2-jadvalda ko‘rsatilgan manbalar ma’lumotlari asosida hisoblandi.</w:t>
      </w:r>
    </w:p>
  </w:footnote>
  <w:footnote w:id="527">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28">
    <w:p w:rsidR="00AB61AC" w:rsidRDefault="00AB61AC">
      <w:pPr>
        <w:pStyle w:val="aff9"/>
      </w:pPr>
      <w:r>
        <w:rPr>
          <w:rStyle w:val="aff8"/>
        </w:rPr>
        <w:footnoteRef/>
      </w:r>
      <w:r>
        <w:t xml:space="preserve"> Tadqiqot natijasida muallif tomonidan </w:t>
      </w:r>
      <w:r>
        <w:rPr>
          <w:color w:val="0070C0"/>
        </w:rPr>
        <w:t xml:space="preserve">4.2.7-jadval</w:t>
      </w:r>
      <w:r>
        <w:t xml:space="preserve"> ma’lumotlari asosida ishlab chiqildi.</w:t>
      </w:r>
    </w:p>
  </w:footnote>
  <w:footnote w:id="5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3">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w:t>
      </w:r>
    </w:p>
  </w:footnote>
  <w:footnote w:id="53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 5, 7, 9, 12, 19-tadbirlar</w:t>
      </w:r>
      <w:r>
        <w:t xml:space="preserve">.</w:t>
      </w:r>
    </w:p>
  </w:footnote>
  <w:footnote w:id="535">
    <w:p w:rsidR="00AB61AC" w:rsidRDefault="00AB61AC">
      <w:pPr>
        <w:pStyle w:val="aff9"/>
      </w:pPr>
      <w:r>
        <w:rPr>
          <w:rStyle w:val="aff8"/>
        </w:rPr>
        <w:footnoteRef/>
      </w:r>
      <w:r>
        <w:t xml:space="preserve"> </w:t>
      </w:r>
      <w:r>
        <w:rPr>
          <w:color w:val="0070C0"/>
        </w:rPr>
        <w:t xml:space="preserve">Tadqiqotlar jarayonida muallif tomonidan tuzilgan.</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7">
    <w:p w:rsidR="00AB61AC" w:rsidRDefault="00AB61AC">
      <w:pPr>
        <w:pStyle w:val="aff9"/>
      </w:pPr>
      <w:r>
        <w:rPr>
          <w:rStyle w:val="aff8"/>
        </w:rPr>
        <w:footnoteRef/>
      </w:r>
      <w:r>
        <w:rPr/>
        <w:t xml:space="preserve"> Sullivan &amp; Cromwell LLP. FFIEC Proposes Revisions to CAMELS Rating System</w:t>
      </w:r>
      <w:r>
        <w:rPr/>
        <w:t xml:space="preserve">. – New York, 20 May 2026. – https://www.sullcrom.com/insights/memo/2026/May/FFIEC-Proposes-Revisions-CAMELS-Rating-System.</w:t>
      </w:r>
    </w:p>
  </w:footnote>
  <w:footnote w:id="538">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539">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40">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42">
    <w:p w:rsidR="00AB61AC" w:rsidRDefault="00AB61AC">
      <w:pPr>
        <w:pStyle w:val="aff9"/>
      </w:pPr>
      <w:r>
        <w:rPr>
          <w:rStyle w:val="aff8"/>
        </w:rPr>
        <w:footnoteRef/>
      </w:r>
      <w:r>
        <w:t xml:space="preserve"> </w:t>
      </w:r>
      <w:r>
        <w:rPr>
          <w:color w:val="0070C0"/>
        </w:rPr>
        <w:t xml:space="preserve">Tadqiqotlar jarayonida muallif tomonidan tuzilgan.</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4">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7-tadbir</w:t>
      </w:r>
      <w:r>
        <w:t xml:space="preserve">.</w:t>
      </w:r>
    </w:p>
  </w:footnote>
  <w:footnote w:id="548">
    <w:p w:rsidR="00AB61AC" w:rsidRDefault="00AB61AC">
      <w:pPr>
        <w:pStyle w:val="aff9"/>
      </w:pPr>
      <w:r>
        <w:rPr>
          <w:rStyle w:val="aff8"/>
        </w:rPr>
        <w:footnoteRef/>
      </w:r>
      <w:r>
        <w:t xml:space="preserve"> </w:t>
      </w:r>
      <w:r>
        <w:rPr>
          <w:color w:val="0070C0"/>
        </w:rPr>
        <w:t xml:space="preserve">Tadqiqotlar jarayonida muallif tomonidan tuzilgan.</w:t>
      </w:r>
    </w:p>
  </w:footnote>
  <w:footnote w:id="54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50">
    <w:p w:rsidR="00AB61AC" w:rsidRDefault="00AB61AC">
      <w:pPr>
        <w:pStyle w:val="aff9"/>
      </w:pPr>
      <w:r>
        <w:rPr>
          <w:rStyle w:val="aff8"/>
        </w:rPr>
        <w:footnoteRef/>
      </w:r>
      <w:r>
        <w:t xml:space="preserve"> Tadqiqot natijasida muallif tomonidan ishlab chiqildi.</w:t>
      </w:r>
    </w:p>
  </w:footnote>
  <w:footnote w:id="551">
    <w:p w:rsidR="00AB61AC" w:rsidRDefault="00AB61AC">
      <w:pPr>
        <w:pStyle w:val="aff9"/>
      </w:pPr>
      <w:r>
        <w:rPr>
          <w:rStyle w:val="aff8"/>
        </w:rPr>
        <w:footnoteRef/>
      </w:r>
      <w:r>
        <w:t xml:space="preserve"> </w:t>
      </w:r>
      <w:r>
        <w:rPr>
          <w:color w:val="0070C0"/>
        </w:rPr>
        <w:t xml:space="preserve">Tadqiqotlar jarayonida muallif tomonidan tuzilgan.</w:t>
      </w:r>
    </w:p>
  </w:footnote>
  <w:footnote w:id="552">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 Id="rId34" Type="http://schemas.openxmlformats.org/officeDocument/2006/relationships/chart" Target="charts/chart311.xml"/><Relationship Id="rId52" Type="http://schemas.openxmlformats.org/officeDocument/2006/relationships/chart" Target="charts/chart312.xml"/><Relationship Id="rId53" Type="http://schemas.openxmlformats.org/officeDocument/2006/relationships/chart" Target="charts/chart321.xml"/><Relationship Id="rId54" Type="http://schemas.openxmlformats.org/officeDocument/2006/relationships/chart" Target="charts/chart322.xml"/><Relationship Id="rId55" Type="http://schemas.openxmlformats.org/officeDocument/2006/relationships/chart" Target="charts/chart323.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_rels/chart311.xml.rels><?xml version='1.0' encoding='UTF-8' standalone='yes'?>
<Relationships xmlns="http://schemas.openxmlformats.org/package/2006/relationships"><Relationship Id="rId1" Type="http://schemas.openxmlformats.org/officeDocument/2006/relationships/package" Target="../embeddings/Microsoft_Excel_Worksheet311.xlsx"/></Relationships>
</file>

<file path=word/charts/_rels/chart312.xml.rels><?xml version='1.0' encoding='UTF-8' standalone='yes'?>
<Relationships xmlns="http://schemas.openxmlformats.org/package/2006/relationships"><Relationship Id="rId1" Type="http://schemas.openxmlformats.org/officeDocument/2006/relationships/package" Target="../embeddings/Microsoft_Excel_Worksheet312.xlsx"/></Relationships>
</file>

<file path=word/charts/_rels/chart321.xml.rels><?xml version='1.0' encoding='UTF-8' standalone='yes'?>
<Relationships xmlns="http://schemas.openxmlformats.org/package/2006/relationships"><Relationship Id="rId1" Type="http://schemas.openxmlformats.org/officeDocument/2006/relationships/package" Target="../embeddings/Microsoft_Excel_Worksheet321.xlsx"/></Relationships>
</file>

<file path=word/charts/_rels/chart322.xml.rels><?xml version='1.0' encoding='UTF-8' standalone='yes'?>
<Relationships xmlns="http://schemas.openxmlformats.org/package/2006/relationships"><Relationship Id="rId1" Type="http://schemas.openxmlformats.org/officeDocument/2006/relationships/package" Target="../embeddings/Microsoft_Excel_Worksheet322.xlsx"/></Relationships>
</file>

<file path=word/charts/_rels/chart323.xml.rels><?xml version='1.0' encoding='UTF-8' standalone='yes'?>
<Relationships xmlns="http://schemas.openxmlformats.org/package/2006/relationships"><Relationship Id="rId1" Type="http://schemas.openxmlformats.org/officeDocument/2006/relationships/package" Target="../embeddings/Microsoft_Excel_Worksheet32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
          <c:y val="0.05"/>
          <c:w val="0.86"/>
          <c:h val="0.8"/>
        </c:manualLayout>
      </c:layout>
      <c:lineChart>
        <c:grouping val="standard"/>
        <c:varyColors val="0"/>
        <c:ser>
          <c:idx val="0"/>
          <c:order val="0"/>
          <c:tx>
            <c:strRef>
              <c:f>Sheet1!$B$1</c:f>
              <c:strCache>
                <c:ptCount val="1"/>
                <c:pt idx="0">
                  <c:v>Substandart va muammoli kreditlar</c:v>
                </c:pt>
              </c:strCache>
            </c:strRef>
          </c:tx>
          <c:spPr>
            <a:ln w="28575">
              <a:solidFill>
                <a:srgbClr val="7030A0"/>
              </a:solidFill>
            </a:ln>
          </c:spPr>
          <c:marker>
            <c:symbol val="circle"/>
            <c:size val="5"/>
            <c:spPr>
              <a:solidFill>
                <a:srgbClr val="7030A0"/>
              </a:solidFill>
              <a:ln>
                <a:noFill/>
              </a:ln>
            </c:spPr>
          </c:marker>
          <c:dLbls>
            <c:numFmt formatCode="0.0" sourceLinked="0"/>
            <c:spPr>
              <a:noFill/>
              <a:ln>
                <a:noFill/>
              </a:ln>
            </c:spPr>
            <c:txPr>
              <a:bodyPr/>
              <a:lstStyle/>
              <a:p>
                <a:pPr>
                  <a:defRPr sz="11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(5 %)</c:v>
                </c:pt>
              </c:strCache>
            </c:strRef>
          </c:tx>
          <c:spPr>
            <a:ln w="34925">
              <a:solidFill>
                <a:srgbClr val="FF0000"/>
              </a:solidFill>
            </a:ln>
          </c:spPr>
          <c:marker>
            <c:symbol val="none"/>
          </c:marker>
          <c:dLbls>
            <c:dLbl>
              <c:idx val="2"/>
              <c:tx>
                <c:rich>
                  <a:bodyPr wrap="none"/>
                  <a:lstStyle/>
                  <a:p>
                    <a:pPr>
                      <a:defRPr sz="1100" b="1">
                        <a:solidFill>
                          <a:srgbClr val="FF0000"/>
                        </a:solidFill>
                        <a:latin typeface="Times New Roman"/>
                        <a:cs typeface="Times New Roman"/>
                      </a:defRPr>
                    </a:pPr>
                    <a:r>
                      <a:rPr lang="uz-Latn-UZ" sz="1100" b="1">
                        <a:solidFill>
                          <a:srgbClr val="FF0000"/>
                        </a:solidFill>
                        <a:latin typeface="Times New Roman"/>
                        <a:cs typeface="Times New Roman"/>
                      </a:rPr>
                      <a:t>Erta ogohlantirish chegarasi (5 %)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085"/>
          <c:y val="0.03"/>
          <c:w val="0.895"/>
          <c:h val="0.8"/>
        </c:manualLayout>
      </c:layout>
      <c:scatterChart>
        <c:scatterStyle val="lineMarker"/>
        <c:varyColors val="0"/>
        <c:ser>
          <c:idx val="0"/>
          <c:order val="0"/>
          <c:tx>
            <c:strRef>
              <c:f>Sheet1!$B$1</c:f>
              <c:strCache>
                <c:ptCount val="1"/>
                <c:pt idx="0">
                  <c:v>MBII-8 (AUC = 0,86)</c:v>
                </c:pt>
              </c:strCache>
            </c:strRef>
          </c:tx>
          <c:spPr>
            <a:ln w="28575">
              <a:solidFill>
                <a:srgbClr val="2A78D6"/>
              </a:solidFill>
            </a:ln>
          </c:spPr>
          <c:marker>
            <c:symbol val="none"/>
          </c:marker>
          <c:xVal>
            <c:numRef>
              <c:f>Sheet1!$A$2:$A$33</c:f>
              <c:numCache>
                <c:formatCode>General</c:formatCode>
                <c:ptCount val="32"/>
                <c:pt idx="0">
                  <c:v>0.0</c:v>
                </c:pt>
                <c:pt idx="1">
                  <c:v>0.0</c:v>
                </c:pt>
                <c:pt idx="2">
                  <c:v>0.35</c:v>
                </c:pt>
                <c:pt idx="3">
                  <c:v>0.35</c:v>
                </c:pt>
                <c:pt idx="4">
                  <c:v>0.71</c:v>
                </c:pt>
                <c:pt idx="5">
                  <c:v>0.71</c:v>
                </c:pt>
                <c:pt idx="6">
                  <c:v>1.77</c:v>
                </c:pt>
                <c:pt idx="7">
                  <c:v>1.77</c:v>
                </c:pt>
                <c:pt idx="8">
                  <c:v>3.9</c:v>
                </c:pt>
                <c:pt idx="9">
                  <c:v>3.9</c:v>
                </c:pt>
                <c:pt idx="10">
                  <c:v>5.67</c:v>
                </c:pt>
                <c:pt idx="11">
                  <c:v>5.67</c:v>
                </c:pt>
                <c:pt idx="12">
                  <c:v>7.8</c:v>
                </c:pt>
                <c:pt idx="13">
                  <c:v>7.8</c:v>
                </c:pt>
                <c:pt idx="14">
                  <c:v>8.16</c:v>
                </c:pt>
                <c:pt idx="15">
                  <c:v>8.16</c:v>
                </c:pt>
                <c:pt idx="16">
                  <c:v>16.67</c:v>
                </c:pt>
                <c:pt idx="17">
                  <c:v>16.67</c:v>
                </c:pt>
                <c:pt idx="18">
                  <c:v>21.28</c:v>
                </c:pt>
                <c:pt idx="19">
                  <c:v>21.28</c:v>
                </c:pt>
                <c:pt idx="20">
                  <c:v>24.11</c:v>
                </c:pt>
                <c:pt idx="21">
                  <c:v>24.11</c:v>
                </c:pt>
                <c:pt idx="22">
                  <c:v>52.13</c:v>
                </c:pt>
                <c:pt idx="23">
                  <c:v>52.13</c:v>
                </c:pt>
                <c:pt idx="24">
                  <c:v>63.48</c:v>
                </c:pt>
                <c:pt idx="25">
                  <c:v>63.48</c:v>
                </c:pt>
                <c:pt idx="26">
                  <c:v>69.15</c:v>
                </c:pt>
                <c:pt idx="27">
                  <c:v>69.15</c:v>
                </c:pt>
                <c:pt idx="28">
                  <c:v>72.34</c:v>
                </c:pt>
                <c:pt idx="29">
                  <c:v>72.34</c:v>
                </c:pt>
                <c:pt idx="30">
                  <c:v>100.0</c:v>
                </c:pt>
                <c:pt idx="31">
                  <c:v>100.0</c:v>
                </c:pt>
              </c:numCache>
            </c:numRef>
          </c:xVal>
          <c:yVal>
            <c:numRef>
              <c:f>Sheet1!$B$2:$B$33</c:f>
              <c:numCache>
                <c:formatCode>General</c:formatCode>
                <c:ptCount val="32"/>
                <c:pt idx="0">
                  <c:v>0.0</c:v>
                </c:pt>
                <c:pt idx="1">
                  <c:v>7.69</c:v>
                </c:pt>
                <c:pt idx="2">
                  <c:v>7.69</c:v>
                </c:pt>
                <c:pt idx="3">
                  <c:v>38.46</c:v>
                </c:pt>
                <c:pt idx="4">
                  <c:v>38.46</c:v>
                </c:pt>
                <c:pt idx="5">
                  <c:v>46.15</c:v>
                </c:pt>
                <c:pt idx="6">
                  <c:v>46.15</c:v>
                </c:pt>
                <c:pt idx="7">
                  <c:v>57.69</c:v>
                </c:pt>
                <c:pt idx="8">
                  <c:v>57.69</c:v>
                </c:pt>
                <c:pt idx="9">
                  <c:v>61.54</c:v>
                </c:pt>
                <c:pt idx="10">
                  <c:v>61.54</c:v>
                </c:pt>
                <c:pt idx="11">
                  <c:v>65.38</c:v>
                </c:pt>
                <c:pt idx="12">
                  <c:v>65.38</c:v>
                </c:pt>
                <c:pt idx="13">
                  <c:v>69.23</c:v>
                </c:pt>
                <c:pt idx="14">
                  <c:v>69.23</c:v>
                </c:pt>
                <c:pt idx="15">
                  <c:v>73.08</c:v>
                </c:pt>
                <c:pt idx="16">
                  <c:v>73.08</c:v>
                </c:pt>
                <c:pt idx="17">
                  <c:v>76.92</c:v>
                </c:pt>
                <c:pt idx="18">
                  <c:v>76.92</c:v>
                </c:pt>
                <c:pt idx="19">
                  <c:v>80.77</c:v>
                </c:pt>
                <c:pt idx="20">
                  <c:v>80.77</c:v>
                </c:pt>
                <c:pt idx="21">
                  <c:v>84.62</c:v>
                </c:pt>
                <c:pt idx="22">
                  <c:v>84.62</c:v>
                </c:pt>
                <c:pt idx="23">
                  <c:v>88.46</c:v>
                </c:pt>
                <c:pt idx="24">
                  <c:v>88.46</c:v>
                </c:pt>
                <c:pt idx="25">
                  <c:v>92.31</c:v>
                </c:pt>
                <c:pt idx="26">
                  <c:v>92.31</c:v>
                </c:pt>
                <c:pt idx="27">
                  <c:v>96.15</c:v>
                </c:pt>
                <c:pt idx="28">
                  <c:v>96.15</c:v>
                </c:pt>
                <c:pt idx="29">
                  <c:v>100.0</c:v>
                </c:pt>
                <c:pt idx="30">
                  <c:v>100.0</c:v>
                </c:pt>
                <c:pt idx="31">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Sheet1!$C$2:$C$33</c:f>
              <c:numCache>
                <c:formatCode>General</c:formatCode>
                <c:ptCount val="32"/>
                <c:pt idx="0">
                  <c:v>0.0</c:v>
                </c:pt>
                <c:pt idx="1">
                  <c:v>0.0</c:v>
                </c:pt>
                <c:pt idx="2">
                  <c:v>0.35</c:v>
                </c:pt>
                <c:pt idx="3">
                  <c:v>0.35</c:v>
                </c:pt>
                <c:pt idx="4">
                  <c:v>2.13</c:v>
                </c:pt>
                <c:pt idx="5">
                  <c:v>2.13</c:v>
                </c:pt>
                <c:pt idx="6">
                  <c:v>2.84</c:v>
                </c:pt>
                <c:pt idx="7">
                  <c:v>2.84</c:v>
                </c:pt>
                <c:pt idx="8">
                  <c:v>4.26</c:v>
                </c:pt>
                <c:pt idx="9">
                  <c:v>4.26</c:v>
                </c:pt>
                <c:pt idx="10">
                  <c:v>6.03</c:v>
                </c:pt>
                <c:pt idx="11">
                  <c:v>6.03</c:v>
                </c:pt>
                <c:pt idx="12">
                  <c:v>6.74</c:v>
                </c:pt>
                <c:pt idx="13">
                  <c:v>6.74</c:v>
                </c:pt>
                <c:pt idx="14">
                  <c:v>12.06</c:v>
                </c:pt>
                <c:pt idx="15">
                  <c:v>12.06</c:v>
                </c:pt>
                <c:pt idx="16">
                  <c:v>13.83</c:v>
                </c:pt>
                <c:pt idx="17">
                  <c:v>13.83</c:v>
                </c:pt>
                <c:pt idx="18">
                  <c:v>17.38</c:v>
                </c:pt>
                <c:pt idx="19">
                  <c:v>17.38</c:v>
                </c:pt>
                <c:pt idx="20">
                  <c:v>17.73</c:v>
                </c:pt>
                <c:pt idx="21">
                  <c:v>17.73</c:v>
                </c:pt>
                <c:pt idx="22">
                  <c:v>21.63</c:v>
                </c:pt>
                <c:pt idx="23">
                  <c:v>21.63</c:v>
                </c:pt>
                <c:pt idx="24">
                  <c:v>64.89</c:v>
                </c:pt>
                <c:pt idx="25">
                  <c:v>64.89</c:v>
                </c:pt>
                <c:pt idx="26">
                  <c:v>73.4</c:v>
                </c:pt>
                <c:pt idx="27">
                  <c:v>73.4</c:v>
                </c:pt>
                <c:pt idx="28">
                  <c:v>82.27</c:v>
                </c:pt>
                <c:pt idx="29">
                  <c:v>82.27</c:v>
                </c:pt>
                <c:pt idx="30">
                  <c:v>100.0</c:v>
                </c:pt>
                <c:pt idx="31">
                  <c:v>100.0</c:v>
                </c:pt>
              </c:numCache>
            </c:numRef>
          </c:xVal>
          <c:yVal>
            <c:numRef>
              <c:f>Sheet1!$D$2:$D$33</c:f>
              <c:numCache>
                <c:formatCode>General</c:formatCode>
                <c:ptCount val="32"/>
                <c:pt idx="0">
                  <c:v>0.0</c:v>
                </c:pt>
                <c:pt idx="1">
                  <c:v>7.69</c:v>
                </c:pt>
                <c:pt idx="2">
                  <c:v>7.69</c:v>
                </c:pt>
                <c:pt idx="3">
                  <c:v>34.62</c:v>
                </c:pt>
                <c:pt idx="4">
                  <c:v>34.62</c:v>
                </c:pt>
                <c:pt idx="5">
                  <c:v>38.46</c:v>
                </c:pt>
                <c:pt idx="6">
                  <c:v>38.46</c:v>
                </c:pt>
                <c:pt idx="7">
                  <c:v>42.31</c:v>
                </c:pt>
                <c:pt idx="8">
                  <c:v>42.31</c:v>
                </c:pt>
                <c:pt idx="9">
                  <c:v>50.0</c:v>
                </c:pt>
                <c:pt idx="10">
                  <c:v>50.0</c:v>
                </c:pt>
                <c:pt idx="11">
                  <c:v>61.54</c:v>
                </c:pt>
                <c:pt idx="12">
                  <c:v>61.54</c:v>
                </c:pt>
                <c:pt idx="13">
                  <c:v>65.38</c:v>
                </c:pt>
                <c:pt idx="14">
                  <c:v>65.38</c:v>
                </c:pt>
                <c:pt idx="15">
                  <c:v>69.23</c:v>
                </c:pt>
                <c:pt idx="16">
                  <c:v>69.23</c:v>
                </c:pt>
                <c:pt idx="17">
                  <c:v>76.92</c:v>
                </c:pt>
                <c:pt idx="18">
                  <c:v>76.92</c:v>
                </c:pt>
                <c:pt idx="19">
                  <c:v>80.77</c:v>
                </c:pt>
                <c:pt idx="20">
                  <c:v>80.77</c:v>
                </c:pt>
                <c:pt idx="21">
                  <c:v>84.62</c:v>
                </c:pt>
                <c:pt idx="22">
                  <c:v>84.62</c:v>
                </c:pt>
                <c:pt idx="23">
                  <c:v>88.46</c:v>
                </c:pt>
                <c:pt idx="24">
                  <c:v>88.46</c:v>
                </c:pt>
                <c:pt idx="25">
                  <c:v>92.31</c:v>
                </c:pt>
                <c:pt idx="26">
                  <c:v>92.31</c:v>
                </c:pt>
                <c:pt idx="27">
                  <c:v>96.15</c:v>
                </c:pt>
                <c:pt idx="28">
                  <c:v>96.15</c:v>
                </c:pt>
                <c:pt idx="29">
                  <c:v>100.0</c:v>
                </c:pt>
                <c:pt idx="30">
                  <c:v>100.0</c:v>
                </c:pt>
                <c:pt idx="31">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Sheet1!$E$2:$E$33</c:f>
              <c:numCache>
                <c:formatCode>General</c:formatCode>
                <c:ptCount val="32"/>
                <c:pt idx="0">
                  <c:v>0.0</c:v>
                </c:pt>
                <c:pt idx="1">
                  <c:v>6.63</c:v>
                </c:pt>
                <c:pt idx="2">
                  <c:v>6.63</c:v>
                </c:pt>
                <c:pt idx="3">
                  <c:v>7.14</c:v>
                </c:pt>
                <c:pt idx="4">
                  <c:v>7.14</c:v>
                </c:pt>
                <c:pt idx="5">
                  <c:v>21.94</c:v>
                </c:pt>
                <c:pt idx="6">
                  <c:v>21.94</c:v>
                </c:pt>
                <c:pt idx="7">
                  <c:v>22.45</c:v>
                </c:pt>
                <c:pt idx="8">
                  <c:v>22.45</c:v>
                </c:pt>
                <c:pt idx="9">
                  <c:v>23.98</c:v>
                </c:pt>
                <c:pt idx="10">
                  <c:v>23.98</c:v>
                </c:pt>
                <c:pt idx="11">
                  <c:v>28.57</c:v>
                </c:pt>
                <c:pt idx="12">
                  <c:v>28.57</c:v>
                </c:pt>
                <c:pt idx="13">
                  <c:v>29.59</c:v>
                </c:pt>
                <c:pt idx="14">
                  <c:v>29.59</c:v>
                </c:pt>
                <c:pt idx="15">
                  <c:v>31.12</c:v>
                </c:pt>
                <c:pt idx="16">
                  <c:v>31.12</c:v>
                </c:pt>
                <c:pt idx="17">
                  <c:v>88.27</c:v>
                </c:pt>
                <c:pt idx="18">
                  <c:v>88.27</c:v>
                </c:pt>
                <c:pt idx="19">
                  <c:v>88.78</c:v>
                </c:pt>
                <c:pt idx="20">
                  <c:v>88.78</c:v>
                </c:pt>
                <c:pt idx="21">
                  <c:v>89.8</c:v>
                </c:pt>
                <c:pt idx="22">
                  <c:v>89.8</c:v>
                </c:pt>
                <c:pt idx="23">
                  <c:v>90.31</c:v>
                </c:pt>
                <c:pt idx="24">
                  <c:v>90.31</c:v>
                </c:pt>
                <c:pt idx="25">
                  <c:v>91.33</c:v>
                </c:pt>
                <c:pt idx="26">
                  <c:v>91.33</c:v>
                </c:pt>
                <c:pt idx="27">
                  <c:v>98.47</c:v>
                </c:pt>
                <c:pt idx="28">
                  <c:v>98.47</c:v>
                </c:pt>
                <c:pt idx="29">
                  <c:v>99.49</c:v>
                </c:pt>
                <c:pt idx="30">
                  <c:v>99.49</c:v>
                </c:pt>
                <c:pt idx="31">
                  <c:v>100.0</c:v>
                </c:pt>
              </c:numCache>
            </c:numRef>
          </c:xVal>
          <c:yVal>
            <c:numRef>
              <c:f>Sheet1!$F$2:$F$33</c:f>
              <c:numCache>
                <c:formatCode>General</c:formatCode>
                <c:ptCount val="32"/>
                <c:pt idx="0">
                  <c:v>0.0</c:v>
                </c:pt>
                <c:pt idx="1">
                  <c:v>0.0</c:v>
                </c:pt>
                <c:pt idx="2">
                  <c:v>5.56</c:v>
                </c:pt>
                <c:pt idx="3">
                  <c:v>5.56</c:v>
                </c:pt>
                <c:pt idx="4">
                  <c:v>11.11</c:v>
                </c:pt>
                <c:pt idx="5">
                  <c:v>11.11</c:v>
                </c:pt>
                <c:pt idx="6">
                  <c:v>16.67</c:v>
                </c:pt>
                <c:pt idx="7">
                  <c:v>16.67</c:v>
                </c:pt>
                <c:pt idx="8">
                  <c:v>22.22</c:v>
                </c:pt>
                <c:pt idx="9">
                  <c:v>22.22</c:v>
                </c:pt>
                <c:pt idx="10">
                  <c:v>27.78</c:v>
                </c:pt>
                <c:pt idx="11">
                  <c:v>27.78</c:v>
                </c:pt>
                <c:pt idx="12">
                  <c:v>38.89</c:v>
                </c:pt>
                <c:pt idx="13">
                  <c:v>38.89</c:v>
                </c:pt>
                <c:pt idx="14">
                  <c:v>44.44</c:v>
                </c:pt>
                <c:pt idx="15">
                  <c:v>44.44</c:v>
                </c:pt>
                <c:pt idx="16">
                  <c:v>50.0</c:v>
                </c:pt>
                <c:pt idx="17">
                  <c:v>50.0</c:v>
                </c:pt>
                <c:pt idx="18">
                  <c:v>55.56</c:v>
                </c:pt>
                <c:pt idx="19">
                  <c:v>55.56</c:v>
                </c:pt>
                <c:pt idx="20">
                  <c:v>61.11</c:v>
                </c:pt>
                <c:pt idx="21">
                  <c:v>61.11</c:v>
                </c:pt>
                <c:pt idx="22">
                  <c:v>66.67</c:v>
                </c:pt>
                <c:pt idx="23">
                  <c:v>66.67</c:v>
                </c:pt>
                <c:pt idx="24">
                  <c:v>72.22</c:v>
                </c:pt>
                <c:pt idx="25">
                  <c:v>72.22</c:v>
                </c:pt>
                <c:pt idx="26">
                  <c:v>77.78</c:v>
                </c:pt>
                <c:pt idx="27">
                  <c:v>77.78</c:v>
                </c:pt>
                <c:pt idx="28">
                  <c:v>83.33</c:v>
                </c:pt>
                <c:pt idx="29">
                  <c:v>83.33</c:v>
                </c:pt>
                <c:pt idx="30">
                  <c:v>100.0</c:v>
                </c:pt>
                <c:pt idx="31">
                  <c:v>100.0</c:v>
                </c:pt>
              </c:numCache>
            </c:numRef>
          </c:yVal>
          <c:smooth val="0"/>
        </c:ser>
        <c:ser>
          <c:idx val="3"/>
          <c:order val="3"/>
          <c:tx>
            <c:strRef>
              <c:f>Sheet1!$H$1</c:f>
              <c:strCache>
                <c:ptCount val="1"/>
                <c:pt idx="0">
                  <c:v>Tasodifiy bashorat</c:v>
                </c:pt>
              </c:strCache>
            </c:strRef>
          </c:tx>
          <c:spPr>
            <a:ln w="9525">
              <a:solidFill>
                <a:srgbClr val="808080"/>
              </a:solidFill>
              <a:prstDash val="sysDash"/>
            </a:ln>
          </c:spPr>
          <c:marker>
            <c:symbol val="none"/>
          </c:marker>
          <c:xVal>
            <c:numRef>
              <c:f>Sheet1!$G$2:$G$33</c:f>
              <c:numCache>
                <c:formatCode>General</c:formatCode>
                <c:ptCount val="32"/>
                <c:pt idx="0">
                  <c:v>0</c:v>
                </c:pt>
                <c:pt idx="1">
                  <c:v>100</c:v>
                </c:pt>
                <c:pt idx="2">
                  <c:v>100</c:v>
                </c:pt>
                <c:pt idx="3">
                  <c:v>100</c:v>
                </c:pt>
                <c:pt idx="4">
                  <c:v>100</c:v>
                </c:pt>
                <c:pt idx="5">
                  <c:v>100</c:v>
                </c:pt>
                <c:pt idx="6">
                  <c:v>100</c:v>
                </c:pt>
                <c:pt idx="7">
                  <c:v>100</c:v>
                </c:pt>
                <c:pt idx="8">
                  <c:v>100</c:v>
                </c:pt>
                <c:pt idx="9">
                  <c:v>100</c:v>
                </c:pt>
                <c:pt idx="10">
                  <c:v>100</c:v>
                </c:pt>
                <c:pt idx="11">
                  <c:v>100</c:v>
                </c:pt>
                <c:pt idx="12">
                  <c:v>100</c:v>
                </c:pt>
                <c:pt idx="13">
                  <c:v>100</c:v>
                </c:pt>
                <c:pt idx="14">
                  <c:v>100</c:v>
                </c:pt>
                <c:pt idx="15">
                  <c:v>100</c:v>
                </c:pt>
                <c:pt idx="16">
                  <c:v>100</c:v>
                </c:pt>
                <c:pt idx="17">
                  <c:v>100</c:v>
                </c:pt>
                <c:pt idx="18">
                  <c:v>100</c:v>
                </c:pt>
                <c:pt idx="19">
                  <c:v>100</c:v>
                </c:pt>
                <c:pt idx="20">
                  <c:v>100</c:v>
                </c:pt>
                <c:pt idx="21">
                  <c:v>100</c:v>
                </c:pt>
                <c:pt idx="22">
                  <c:v>100</c:v>
                </c:pt>
                <c:pt idx="23">
                  <c:v>100</c:v>
                </c:pt>
                <c:pt idx="24">
                  <c:v>100</c:v>
                </c:pt>
                <c:pt idx="25">
                  <c:v>100</c:v>
                </c:pt>
                <c:pt idx="26">
                  <c:v>100</c:v>
                </c:pt>
                <c:pt idx="27">
                  <c:v>100</c:v>
                </c:pt>
                <c:pt idx="28">
                  <c:v>100</c:v>
                </c:pt>
                <c:pt idx="29">
                  <c:v>100</c:v>
                </c:pt>
                <c:pt idx="30">
                  <c:v>100</c:v>
                </c:pt>
                <c:pt idx="31">
                  <c:v>100</c:v>
                </c:pt>
              </c:numCache>
            </c:numRef>
          </c:xVal>
          <c:yVal>
            <c:numRef>
              <c:f>Sheet1!$H$2:$H$33</c:f>
              <c:numCache>
                <c:formatCode>General</c:formatCode>
                <c:ptCount val="32"/>
                <c:pt idx="0">
                  <c:v>0</c:v>
                </c:pt>
                <c:pt idx="1">
                  <c:v>100</c:v>
                </c:pt>
                <c:pt idx="2">
                  <c:v>100</c:v>
                </c:pt>
                <c:pt idx="3">
                  <c:v>100</c:v>
                </c:pt>
                <c:pt idx="4">
                  <c:v>100</c:v>
                </c:pt>
                <c:pt idx="5">
                  <c:v>100</c:v>
                </c:pt>
                <c:pt idx="6">
                  <c:v>100</c:v>
                </c:pt>
                <c:pt idx="7">
                  <c:v>100</c:v>
                </c:pt>
                <c:pt idx="8">
                  <c:v>100</c:v>
                </c:pt>
                <c:pt idx="9">
                  <c:v>100</c:v>
                </c:pt>
                <c:pt idx="10">
                  <c:v>100</c:v>
                </c:pt>
                <c:pt idx="11">
                  <c:v>100</c:v>
                </c:pt>
                <c:pt idx="12">
                  <c:v>100</c:v>
                </c:pt>
                <c:pt idx="13">
                  <c:v>100</c:v>
                </c:pt>
                <c:pt idx="14">
                  <c:v>100</c:v>
                </c:pt>
                <c:pt idx="15">
                  <c:v>100</c:v>
                </c:pt>
                <c:pt idx="16">
                  <c:v>100</c:v>
                </c:pt>
                <c:pt idx="17">
                  <c:v>100</c:v>
                </c:pt>
                <c:pt idx="18">
                  <c:v>100</c:v>
                </c:pt>
                <c:pt idx="19">
                  <c:v>100</c:v>
                </c:pt>
                <c:pt idx="20">
                  <c:v>100</c:v>
                </c:pt>
                <c:pt idx="21">
                  <c:v>100</c:v>
                </c:pt>
                <c:pt idx="22">
                  <c:v>100</c:v>
                </c:pt>
                <c:pt idx="23">
                  <c:v>100</c:v>
                </c:pt>
                <c:pt idx="24">
                  <c:v>100</c:v>
                </c:pt>
                <c:pt idx="25">
                  <c:v>100</c:v>
                </c:pt>
                <c:pt idx="26">
                  <c:v>100</c:v>
                </c:pt>
                <c:pt idx="27">
                  <c:v>100</c:v>
                </c:pt>
                <c:pt idx="28">
                  <c:v>100</c:v>
                </c:pt>
                <c:pt idx="29">
                  <c:v>100</c:v>
                </c:pt>
                <c:pt idx="30">
                  <c:v>100</c:v>
                </c:pt>
                <c:pt idx="31">
                  <c:v>100</c:v>
                </c:pt>
              </c:numCache>
            </c:numRef>
          </c:yVal>
          <c:smooth val="0"/>
        </c:ser>
        <c:ser>
          <c:idx val="4"/>
          <c:order val="4"/>
          <c:tx>
            <c:strRef>
              <c:f>Sheet1!$J$1</c:f>
              <c:strCache>
                <c:ptCount val="1"/>
                <c:pt idx="0">
                  <c:v>MBII-8 = 3,25 (monitoring)</c:v>
                </c:pt>
              </c:strCache>
            </c:strRef>
          </c:tx>
          <c:spPr>
            <a:ln>
              <a:noFill/>
            </a:ln>
          </c:spPr>
          <c:marker>
            <c:symbol val="square"/>
            <c:size val="9"/>
            <c:spPr>
              <a:solidFill>
                <a:srgbClr val="7030A0"/>
              </a:solidFill>
              <a:ln w="9525">
                <a:solidFill>
                  <a:srgbClr val="FFFFFF"/>
                </a:solidFill>
              </a:ln>
            </c:spPr>
          </c:marker>
          <c:xVal>
            <c:numRef>
              <c:f>Sheet1!$I$2:$I$2</c:f>
              <c:numCache>
                <c:formatCode>General</c:formatCode>
                <c:ptCount val="1"/>
                <c:pt idx="0">
                  <c:v>30.5</c:v>
                </c:pt>
              </c:numCache>
            </c:numRef>
          </c:xVal>
          <c:yVal>
            <c:numRef>
              <c:f>Sheet1!$J$2:$J$2</c:f>
              <c:numCache>
                <c:formatCode>General</c:formatCode>
                <c:ptCount val="1"/>
                <c:pt idx="0">
                  <c:v>84.62</c:v>
                </c:pt>
              </c:numCache>
            </c:numRef>
          </c:yVal>
          <c:smooth val="0"/>
        </c:ser>
        <c:ser>
          <c:idx val="5"/>
          <c:order val="5"/>
          <c:tx>
            <c:strRef>
              <c:f>Sheet1!$L$1</c:f>
              <c:strCache>
                <c:ptCount val="1"/>
                <c:pt idx="0">
                  <c:v>MBII-8 = 2,85 (optimal)</c:v>
                </c:pt>
              </c:strCache>
            </c:strRef>
          </c:tx>
          <c:spPr>
            <a:ln>
              <a:noFill/>
            </a:ln>
          </c:spPr>
          <c:marker>
            <c:symbol val="triangle"/>
            <c:size val="9"/>
            <c:spPr>
              <a:solidFill>
                <a:srgbClr val="000000"/>
              </a:solidFill>
              <a:ln w="9525">
                <a:solidFill>
                  <a:srgbClr val="FFFFFF"/>
                </a:solidFill>
              </a:ln>
            </c:spPr>
          </c:marker>
          <c:xVal>
            <c:numRef>
              <c:f>Sheet1!$K$2:$K$2</c:f>
              <c:numCache>
                <c:formatCode>General</c:formatCode>
                <c:ptCount val="1"/>
                <c:pt idx="0">
                  <c:v>8.16</c:v>
                </c:pt>
              </c:numCache>
            </c:numRef>
          </c:xVal>
          <c:yVal>
            <c:numRef>
              <c:f>Sheet1!$L$2:$L$2</c:f>
              <c:numCache>
                <c:formatCode>General</c:formatCode>
                <c:ptCount val="1"/>
                <c:pt idx="0">
                  <c:v>69.23</c:v>
                </c:pt>
              </c:numCache>
            </c:numRef>
          </c:yVal>
          <c:smooth val="0"/>
        </c:ser>
        <c:ser>
          <c:idx val="6"/>
          <c:order val="6"/>
          <c:tx>
            <c:strRef>
              <c:f>Sheet1!$N$1</c:f>
              <c:strCache>
                <c:ptCount val="1"/>
                <c:pt idx="0">
                  <c:v>MBII-8 = 2,75 (nazorat choralari)</c:v>
                </c:pt>
              </c:strCache>
            </c:strRef>
          </c:tx>
          <c:spPr>
            <a:ln>
              <a:noFill/>
            </a:ln>
          </c:spPr>
          <c:marker>
            <c:symbol val="diamond"/>
            <c:size val="9"/>
            <c:spPr>
              <a:solidFill>
                <a:srgbClr val="C00000"/>
              </a:solidFill>
              <a:ln w="9525">
                <a:solidFill>
                  <a:srgbClr val="FFFFFF"/>
                </a:solidFill>
              </a:ln>
            </c:spPr>
          </c:marker>
          <c:xVal>
            <c:numRef>
              <c:f>Sheet1!$M$2:$M$2</c:f>
              <c:numCache>
                <c:formatCode>General</c:formatCode>
                <c:ptCount val="1"/>
                <c:pt idx="0">
                  <c:v>6.03</c:v>
                </c:pt>
              </c:numCache>
            </c:numRef>
          </c:xVal>
          <c:yVal>
            <c:numRef>
              <c:f>Sheet1!$N$2:$N$2</c:f>
              <c:numCache>
                <c:formatCode>General</c:formatCode>
                <c:ptCount val="1"/>
                <c:pt idx="0">
                  <c:v>65.38</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r"/>
      <c:layout>
        <c:manualLayout>
          <c:xMode val="edge"/>
          <c:yMode val="edge"/>
          <c:x val="0.5"/>
          <c:y val="0.465"/>
          <c:w val="0.475"/>
          <c:h val="0.37"/>
        </c:manualLayout>
      </c:layout>
      <c:overlay val="1"/>
      <c:spPr>
        <a:solidFill>
          <a:srgbClr val="FFFFFF"/>
        </a:solidFill>
        <a:ln w="6350">
          <a:solidFill>
            <a:srgbClr val="BFBFBF"/>
          </a:solidFill>
        </a:ln>
      </c:spPr>
      <c:txPr>
        <a:bodyPr/>
        <a:lstStyle/>
        <a:p>
          <a:pPr>
            <a:defRPr sz="100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48.8</c:v>
                </c:pt>
                <c:pt idx="6">
                  <c:v>39.3</c:v>
                </c:pt>
                <c:pt idx="7">
                  <c:v>30.5</c:v>
                </c:pt>
                <c:pt idx="8">
                  <c:v>23.0</c:v>
                </c:pt>
                <c:pt idx="9">
                  <c:v>16.9</c:v>
                </c:pt>
                <c:pt idx="10">
                  <c:v>12.1</c:v>
                </c:pt>
                <c:pt idx="11">
                  <c:v>8.6</c:v>
                </c:pt>
                <c:pt idx="12">
                  <c:v>6.0</c:v>
                </c:pt>
                <c:pt idx="13">
                  <c:v>4.2</c:v>
                </c:pt>
                <c:pt idx="14">
                  <c:v>2.9</c:v>
                </c:pt>
                <c:pt idx="15">
                  <c:v>2.0</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dLbl>
            <c:dLbl>
              <c:idx val="3"/>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l"/>
              <c:showLegendKey val="0"/>
              <c:showVal val="1"/>
              <c:showCatName val="0"/>
              <c:showSerName val="0"/>
              <c:showPercent val="0"/>
              <c:showBubbleSize val="0"/>
            </c:dLbl>
            <c:dLbl>
              <c:idx val="4"/>
              <c:delete val="1"/>
            </c:dLbl>
            <c:dLbl>
              <c:idx val="5"/>
              <c:delete val="1"/>
            </c:dLbl>
            <c:dLbl>
              <c:idx val="6"/>
              <c:delete val="1"/>
            </c:dLbl>
            <c:dLbl>
              <c:idx val="7"/>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l"/>
              <c:showLegendKey val="0"/>
              <c:showVal val="1"/>
              <c:showCatName val="0"/>
              <c:showSerName val="0"/>
              <c:showPercent val="0"/>
              <c:showBubbleSize val="0"/>
            </c:dLbl>
            <c:dLbl>
              <c:idx val="8"/>
              <c:delete val="1"/>
            </c:dLbl>
            <c:dLbl>
              <c:idx val="9"/>
              <c:delete val="1"/>
            </c:dLbl>
            <c:dLbl>
              <c:idx val="10"/>
              <c:delete val="1"/>
            </c:dLbl>
            <c:dLbl>
              <c:idx val="11"/>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12"/>
              <c:delete val="1"/>
            </c:dLbl>
            <c:dLbl>
              <c:idx val="13"/>
              <c:delete val="1"/>
            </c:dLbl>
            <c:dLbl>
              <c:idx val="14"/>
              <c:delete val="1"/>
            </c:dLbl>
            <c:dLbl>
              <c:idx val="15"/>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16"/>
              <c:delete val="1"/>
            </c:dLbl>
            <c:dLbl>
              <c:idx val="17"/>
              <c:delete val="1"/>
            </c:dLbl>
            <c:dLbl>
              <c:idx val="18"/>
              <c:delete val="1"/>
            </c:dLbl>
            <c:dLbl>
              <c:idx val="19"/>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6"/>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 (MBII-8)</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 (MBII-13)</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 (MBII-8)</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 (MBII-13)</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2021-yil</c:v>
                </c:pt>
              </c:strCache>
            </c:strRef>
          </c:tx>
          <c:spPr>
            <a:ln>
              <a:noFill/>
            </a:ln>
          </c:spPr>
          <c:marker>
            <c:symbol val="circle"/>
            <c:size val="8"/>
            <c:spPr>
              <a:solidFill>
                <a:srgbClr val="C00000"/>
              </a:solidFill>
              <a:ln>
                <a:noFill/>
              </a:ln>
            </c:spPr>
          </c:marker>
          <c:xVal>
            <c:numRef>
              <c:f>Sheet1!$A$2:$A$5</c:f>
              <c:numCache>
                <c:formatCode>General</c:formatCode>
                <c:ptCount val="4"/>
                <c:pt idx="0">
                  <c:v>4.9</c:v>
                </c:pt>
                <c:pt idx="1">
                  <c:v>0.8</c:v>
                </c:pt>
                <c:pt idx="2">
                  <c:v>0.0</c:v>
                </c:pt>
                <c:pt idx="3">
                  <c:v>1.6</c:v>
                </c:pt>
              </c:numCache>
            </c:numRef>
          </c:xVal>
          <c:yVal>
            <c:numRef>
              <c:f>Sheet1!$B$2:$B$5</c:f>
              <c:numCache>
                <c:formatCode>General</c:formatCode>
                <c:ptCount val="4"/>
                <c:pt idx="0">
                  <c:v>3.54</c:v>
                </c:pt>
                <c:pt idx="1">
                  <c:v>5.51</c:v>
                </c:pt>
                <c:pt idx="2">
                  <c:v>5.74</c:v>
                </c:pt>
                <c:pt idx="3">
                  <c:v>5.2</c:v>
                </c:pt>
              </c:numCache>
            </c:numRef>
          </c:yVal>
          <c:smooth val="0"/>
        </c:ser>
        <c:ser>
          <c:idx val="1"/>
          <c:order val="1"/>
          <c:tx>
            <c:strRef>
              <c:f>Sheet1!$D$1</c:f>
              <c:strCache>
                <c:ptCount val="1"/>
                <c:pt idx="0">
                  <c:v>2022-yil</c:v>
                </c:pt>
              </c:strCache>
            </c:strRef>
          </c:tx>
          <c:spPr>
            <a:ln>
              <a:noFill/>
            </a:ln>
          </c:spPr>
          <c:marker>
            <c:symbol val="circle"/>
            <c:size val="8"/>
            <c:spPr>
              <a:solidFill>
                <a:srgbClr val="EB6834"/>
              </a:solidFill>
              <a:ln>
                <a:noFill/>
              </a:ln>
            </c:spPr>
          </c:marker>
          <c:xVal>
            <c:numRef>
              <c:f>Sheet1!$C$2:$C$5</c:f>
              <c:numCache>
                <c:formatCode>General</c:formatCode>
                <c:ptCount val="4"/>
                <c:pt idx="0">
                  <c:v>4.8</c:v>
                </c:pt>
                <c:pt idx="1">
                  <c:v>8.4</c:v>
                </c:pt>
                <c:pt idx="2">
                  <c:v>8.8</c:v>
                </c:pt>
                <c:pt idx="3">
                  <c:v>8.0</c:v>
                </c:pt>
              </c:numCache>
            </c:numRef>
          </c:xVal>
          <c:yVal>
            <c:numRef>
              <c:f>Sheet1!$D$2:$D$5</c:f>
              <c:numCache>
                <c:formatCode>General</c:formatCode>
                <c:ptCount val="4"/>
                <c:pt idx="0">
                  <c:v>4.95</c:v>
                </c:pt>
                <c:pt idx="1">
                  <c:v>4.89</c:v>
                </c:pt>
                <c:pt idx="2">
                  <c:v>4.72</c:v>
                </c:pt>
                <c:pt idx="3">
                  <c:v>3.59</c:v>
                </c:pt>
              </c:numCache>
            </c:numRef>
          </c:yVal>
          <c:smooth val="0"/>
        </c:ser>
        <c:ser>
          <c:idx val="2"/>
          <c:order val="2"/>
          <c:tx>
            <c:strRef>
              <c:f>Sheet1!$F$1</c:f>
              <c:strCache>
                <c:ptCount val="1"/>
                <c:pt idx="0">
                  <c:v>2023-yil</c:v>
                </c:pt>
              </c:strCache>
            </c:strRef>
          </c:tx>
          <c:spPr>
            <a:ln>
              <a:noFill/>
            </a:ln>
          </c:spPr>
          <c:marker>
            <c:symbol val="circle"/>
            <c:size val="8"/>
            <c:spPr>
              <a:solidFill>
                <a:srgbClr val="BF9000"/>
              </a:solidFill>
              <a:ln>
                <a:noFill/>
              </a:ln>
            </c:spPr>
          </c:marker>
          <c:xVal>
            <c:numRef>
              <c:f>Sheet1!$E$2:$E$5</c:f>
              <c:numCache>
                <c:formatCode>General</c:formatCode>
                <c:ptCount val="4"/>
                <c:pt idx="0">
                  <c:v>5.1</c:v>
                </c:pt>
                <c:pt idx="1">
                  <c:v>4.5</c:v>
                </c:pt>
                <c:pt idx="2">
                  <c:v>5.3</c:v>
                </c:pt>
                <c:pt idx="3">
                  <c:v>6.0</c:v>
                </c:pt>
              </c:numCache>
            </c:numRef>
          </c:xVal>
          <c:yVal>
            <c:numRef>
              <c:f>Sheet1!$F$2:$F$5</c:f>
              <c:numCache>
                <c:formatCode>General</c:formatCode>
                <c:ptCount val="4"/>
                <c:pt idx="0">
                  <c:v>3.51</c:v>
                </c:pt>
                <c:pt idx="1">
                  <c:v>3.38</c:v>
                </c:pt>
                <c:pt idx="2">
                  <c:v>3.73</c:v>
                </c:pt>
                <c:pt idx="3">
                  <c:v>3.53</c:v>
                </c:pt>
              </c:numCache>
            </c:numRef>
          </c:yVal>
          <c:smooth val="0"/>
        </c:ser>
        <c:ser>
          <c:idx val="3"/>
          <c:order val="3"/>
          <c:tx>
            <c:strRef>
              <c:f>Sheet1!$H$1</c:f>
              <c:strCache>
                <c:ptCount val="1"/>
                <c:pt idx="0">
                  <c:v>2024-yil</c:v>
                </c:pt>
              </c:strCache>
            </c:strRef>
          </c:tx>
          <c:spPr>
            <a:ln>
              <a:noFill/>
            </a:ln>
          </c:spPr>
          <c:marker>
            <c:symbol val="circle"/>
            <c:size val="8"/>
            <c:spPr>
              <a:solidFill>
                <a:srgbClr val="70AD47"/>
              </a:solidFill>
              <a:ln>
                <a:noFill/>
              </a:ln>
            </c:spPr>
          </c:marker>
          <c:xVal>
            <c:numRef>
              <c:f>Sheet1!$G$2:$G$5</c:f>
              <c:numCache>
                <c:formatCode>General</c:formatCode>
                <c:ptCount val="4"/>
                <c:pt idx="0">
                  <c:v>6.5</c:v>
                </c:pt>
                <c:pt idx="1">
                  <c:v>7.1</c:v>
                </c:pt>
                <c:pt idx="2">
                  <c:v>6.5</c:v>
                </c:pt>
                <c:pt idx="3">
                  <c:v>6.31</c:v>
                </c:pt>
              </c:numCache>
            </c:numRef>
          </c:xVal>
          <c:yVal>
            <c:numRef>
              <c:f>Sheet1!$H$2:$H$5</c:f>
              <c:numCache>
                <c:formatCode>General</c:formatCode>
                <c:ptCount val="4"/>
                <c:pt idx="0">
                  <c:v>4.52</c:v>
                </c:pt>
                <c:pt idx="1">
                  <c:v>4.05</c:v>
                </c:pt>
                <c:pt idx="2">
                  <c:v>4.18</c:v>
                </c:pt>
                <c:pt idx="3">
                  <c:v>3.97</c:v>
                </c:pt>
              </c:numCache>
            </c:numRef>
          </c:yVal>
          <c:smooth val="0"/>
        </c:ser>
        <c:ser>
          <c:idx val="4"/>
          <c:order val="4"/>
          <c:tx>
            <c:strRef>
              <c:f>Sheet1!$J$1</c:f>
              <c:strCache>
                <c:ptCount val="1"/>
                <c:pt idx="0">
                  <c:v>2025-yil</c:v>
                </c:pt>
              </c:strCache>
            </c:strRef>
          </c:tx>
          <c:spPr>
            <a:ln>
              <a:noFill/>
            </a:ln>
          </c:spPr>
          <c:marker>
            <c:symbol val="circle"/>
            <c:size val="8"/>
            <c:spPr>
              <a:solidFill>
                <a:srgbClr val="2A78D6"/>
              </a:solidFill>
              <a:ln>
                <a:noFill/>
              </a:ln>
            </c:spPr>
          </c:marker>
          <c:xVal>
            <c:numRef>
              <c:f>Sheet1!$I$2:$I$5</c:f>
              <c:numCache>
                <c:formatCode>General</c:formatCode>
                <c:ptCount val="4"/>
                <c:pt idx="0">
                  <c:v>6.6</c:v>
                </c:pt>
                <c:pt idx="1">
                  <c:v>6.7</c:v>
                </c:pt>
                <c:pt idx="2">
                  <c:v>6.6</c:v>
                </c:pt>
                <c:pt idx="3">
                  <c:v>6.7</c:v>
                </c:pt>
              </c:numCache>
            </c:numRef>
          </c:xVal>
          <c:yVal>
            <c:numRef>
              <c:f>Sheet1!$J$2:$J$5</c:f>
              <c:numCache>
                <c:formatCode>General</c:formatCode>
                <c:ptCount val="4"/>
                <c:pt idx="0">
                  <c:v>4.26</c:v>
                </c:pt>
                <c:pt idx="1">
                  <c:v>3.8</c:v>
                </c:pt>
                <c:pt idx="2">
                  <c:v>3.65</c:v>
                </c:pt>
                <c:pt idx="3">
                  <c:v>2.99</c:v>
                </c:pt>
              </c:numCache>
            </c:numRef>
          </c:yVal>
          <c:smooth val="0"/>
        </c:ser>
        <c:ser>
          <c:idx val="5"/>
          <c:order val="5"/>
          <c:tx>
            <c:strRef>
              <c:f>Sheet1!$L$1</c:f>
              <c:strCache>
                <c:ptCount val="1"/>
                <c:pt idx="0">
                  <c:v>Regressiya chizig‘i</c:v>
                </c:pt>
              </c:strCache>
            </c:strRef>
          </c:tx>
          <c:spPr>
            <a:ln w="19050">
              <a:solidFill>
                <a:srgbClr val="000000"/>
              </a:solidFill>
            </a:ln>
          </c:spPr>
          <c:marker>
            <c:symbol val="none"/>
          </c:marker>
          <c:xVal>
            <c:numRef>
              <c:f>Sheet1!$K$2:$K$3</c:f>
              <c:numCache>
                <c:formatCode>General</c:formatCode>
                <c:ptCount val="2"/>
                <c:pt idx="0">
                  <c:v>0.0</c:v>
                </c:pt>
                <c:pt idx="1">
                  <c:v>9.0</c:v>
                </c:pt>
              </c:numCache>
            </c:numRef>
          </c:xVal>
          <c:yVal>
            <c:numRef>
              <c:f>Sheet1!$L$2:$L$3</c:f>
              <c:numCache>
                <c:formatCode>General</c:formatCode>
                <c:ptCount val="2"/>
                <c:pt idx="0">
                  <c:v>5.143</c:v>
                </c:pt>
                <c:pt idx="1">
                  <c:v>3.592</c:v>
                </c:pt>
              </c:numCache>
            </c:numRef>
          </c:yVal>
          <c:smooth val="0"/>
        </c:ser>
        <c:axId val="333"/>
        <c:axId val="444"/>
      </c:scatterChart>
      <c:valAx>
        <c:axId val="333"/>
        <c:scaling>
          <c:orientation val="minMax"/>
          <c:max val="1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YaIM real o‘sish sur’ati (4 chorak oldin),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r"/>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Boshqa banklar (246 ta kuzatuv)</c:v>
                </c:pt>
              </c:strCache>
            </c:strRef>
          </c:tx>
          <c:spPr>
            <a:ln>
              <a:noFill/>
            </a:ln>
          </c:spPr>
          <c:marker>
            <c:symbol val="circle"/>
            <c:size val="5"/>
            <c:spPr>
              <a:solidFill>
                <a:srgbClr val="2A78D6"/>
              </a:solidFill>
              <a:ln>
                <a:noFill/>
              </a:ln>
            </c:spPr>
          </c:marker>
          <c:xVal>
            <c:numRef>
              <c:f>Sheet1!$A$2:$A$247</c:f>
              <c:numCache>
                <c:formatCode>General</c:formatCode>
                <c:ptCount val="246"/>
                <c:pt idx="0">
                  <c:v>1.51</c:v>
                </c:pt>
                <c:pt idx="1">
                  <c:v>2.14</c:v>
                </c:pt>
                <c:pt idx="2">
                  <c:v>2.26</c:v>
                </c:pt>
                <c:pt idx="3">
                  <c:v>2.45</c:v>
                </c:pt>
                <c:pt idx="4">
                  <c:v>3.15</c:v>
                </c:pt>
                <c:pt idx="5">
                  <c:v>1.68</c:v>
                </c:pt>
                <c:pt idx="6">
                  <c:v>1.62</c:v>
                </c:pt>
                <c:pt idx="7">
                  <c:v>2.01</c:v>
                </c:pt>
                <c:pt idx="8">
                  <c:v>2.56</c:v>
                </c:pt>
                <c:pt idx="9">
                  <c:v>2.46</c:v>
                </c:pt>
                <c:pt idx="10">
                  <c:v>2.46</c:v>
                </c:pt>
                <c:pt idx="11">
                  <c:v>2.44</c:v>
                </c:pt>
                <c:pt idx="12">
                  <c:v>2.76</c:v>
                </c:pt>
                <c:pt idx="13">
                  <c:v>3.76</c:v>
                </c:pt>
                <c:pt idx="14">
                  <c:v>4.35</c:v>
                </c:pt>
                <c:pt idx="15">
                  <c:v>4.75</c:v>
                </c:pt>
                <c:pt idx="16">
                  <c:v>6.83</c:v>
                </c:pt>
                <c:pt idx="17">
                  <c:v>6.63</c:v>
                </c:pt>
                <c:pt idx="18">
                  <c:v>3.01</c:v>
                </c:pt>
                <c:pt idx="19">
                  <c:v>1.42</c:v>
                </c:pt>
                <c:pt idx="20">
                  <c:v>2.4</c:v>
                </c:pt>
                <c:pt idx="21">
                  <c:v>3.01</c:v>
                </c:pt>
                <c:pt idx="22">
                  <c:v>2.5</c:v>
                </c:pt>
                <c:pt idx="23">
                  <c:v>1.49</c:v>
                </c:pt>
                <c:pt idx="24">
                  <c:v>1.56</c:v>
                </c:pt>
                <c:pt idx="25">
                  <c:v>2.2</c:v>
                </c:pt>
                <c:pt idx="26">
                  <c:v>2.8</c:v>
                </c:pt>
                <c:pt idx="27">
                  <c:v>2.01</c:v>
                </c:pt>
                <c:pt idx="28">
                  <c:v>1.25</c:v>
                </c:pt>
                <c:pt idx="29">
                  <c:v>0.61</c:v>
                </c:pt>
                <c:pt idx="30">
                  <c:v>0.81</c:v>
                </c:pt>
                <c:pt idx="31">
                  <c:v>1.15</c:v>
                </c:pt>
                <c:pt idx="32">
                  <c:v>0.91</c:v>
                </c:pt>
                <c:pt idx="33">
                  <c:v>1.36</c:v>
                </c:pt>
                <c:pt idx="34">
                  <c:v>0.85</c:v>
                </c:pt>
                <c:pt idx="35">
                  <c:v>1.56</c:v>
                </c:pt>
                <c:pt idx="36">
                  <c:v>1.71</c:v>
                </c:pt>
                <c:pt idx="37">
                  <c:v>0.52</c:v>
                </c:pt>
                <c:pt idx="38">
                  <c:v>0.73</c:v>
                </c:pt>
                <c:pt idx="39">
                  <c:v>0.65</c:v>
                </c:pt>
                <c:pt idx="40">
                  <c:v>0.79</c:v>
                </c:pt>
                <c:pt idx="41">
                  <c:v>0.6</c:v>
                </c:pt>
                <c:pt idx="42">
                  <c:v>0.9</c:v>
                </c:pt>
                <c:pt idx="43">
                  <c:v>1.92</c:v>
                </c:pt>
                <c:pt idx="44">
                  <c:v>2.69</c:v>
                </c:pt>
                <c:pt idx="45">
                  <c:v>3.27</c:v>
                </c:pt>
                <c:pt idx="46">
                  <c:v>4.18</c:v>
                </c:pt>
                <c:pt idx="47">
                  <c:v>3.21</c:v>
                </c:pt>
                <c:pt idx="48">
                  <c:v>7.72</c:v>
                </c:pt>
                <c:pt idx="49">
                  <c:v>7.69</c:v>
                </c:pt>
                <c:pt idx="50">
                  <c:v>9.26</c:v>
                </c:pt>
                <c:pt idx="51">
                  <c:v>17.53</c:v>
                </c:pt>
                <c:pt idx="52">
                  <c:v>4.67</c:v>
                </c:pt>
                <c:pt idx="53">
                  <c:v>8.46</c:v>
                </c:pt>
                <c:pt idx="54">
                  <c:v>14.83</c:v>
                </c:pt>
                <c:pt idx="55">
                  <c:v>14.87</c:v>
                </c:pt>
                <c:pt idx="56">
                  <c:v>14.77</c:v>
                </c:pt>
                <c:pt idx="57">
                  <c:v>17.53</c:v>
                </c:pt>
                <c:pt idx="58">
                  <c:v>16.73</c:v>
                </c:pt>
                <c:pt idx="59">
                  <c:v>9.87</c:v>
                </c:pt>
                <c:pt idx="60">
                  <c:v>4.92</c:v>
                </c:pt>
                <c:pt idx="61">
                  <c:v>0.86</c:v>
                </c:pt>
                <c:pt idx="62">
                  <c:v>0.64</c:v>
                </c:pt>
                <c:pt idx="63">
                  <c:v>0.68</c:v>
                </c:pt>
                <c:pt idx="64">
                  <c:v>0.59</c:v>
                </c:pt>
                <c:pt idx="65">
                  <c:v>0.6</c:v>
                </c:pt>
                <c:pt idx="66">
                  <c:v>0.59</c:v>
                </c:pt>
                <c:pt idx="67">
                  <c:v>0.64</c:v>
                </c:pt>
                <c:pt idx="68">
                  <c:v>0.63</c:v>
                </c:pt>
                <c:pt idx="69">
                  <c:v>1.22</c:v>
                </c:pt>
                <c:pt idx="70">
                  <c:v>1.22</c:v>
                </c:pt>
                <c:pt idx="71">
                  <c:v>1.44</c:v>
                </c:pt>
                <c:pt idx="72">
                  <c:v>1.66</c:v>
                </c:pt>
                <c:pt idx="73">
                  <c:v>1.49</c:v>
                </c:pt>
                <c:pt idx="74">
                  <c:v>1.46</c:v>
                </c:pt>
                <c:pt idx="75">
                  <c:v>1.4</c:v>
                </c:pt>
                <c:pt idx="76">
                  <c:v>0.8</c:v>
                </c:pt>
                <c:pt idx="77">
                  <c:v>1.97</c:v>
                </c:pt>
                <c:pt idx="78">
                  <c:v>1.99</c:v>
                </c:pt>
                <c:pt idx="79">
                  <c:v>1.62</c:v>
                </c:pt>
                <c:pt idx="80">
                  <c:v>0.55</c:v>
                </c:pt>
                <c:pt idx="81">
                  <c:v>0.77</c:v>
                </c:pt>
                <c:pt idx="82">
                  <c:v>1.37</c:v>
                </c:pt>
                <c:pt idx="83">
                  <c:v>1.47</c:v>
                </c:pt>
                <c:pt idx="84">
                  <c:v>1.06</c:v>
                </c:pt>
                <c:pt idx="85">
                  <c:v>2.06</c:v>
                </c:pt>
                <c:pt idx="86">
                  <c:v>1.6</c:v>
                </c:pt>
                <c:pt idx="87">
                  <c:v>1.46</c:v>
                </c:pt>
                <c:pt idx="88">
                  <c:v>1.37</c:v>
                </c:pt>
                <c:pt idx="89">
                  <c:v>1.73</c:v>
                </c:pt>
                <c:pt idx="90">
                  <c:v>2.76</c:v>
                </c:pt>
                <c:pt idx="91">
                  <c:v>2.73</c:v>
                </c:pt>
                <c:pt idx="92">
                  <c:v>2.52</c:v>
                </c:pt>
                <c:pt idx="93">
                  <c:v>3.19</c:v>
                </c:pt>
                <c:pt idx="94">
                  <c:v>3.39</c:v>
                </c:pt>
                <c:pt idx="95">
                  <c:v>3.19</c:v>
                </c:pt>
                <c:pt idx="96">
                  <c:v>1.87</c:v>
                </c:pt>
                <c:pt idx="97">
                  <c:v>2.1</c:v>
                </c:pt>
                <c:pt idx="98">
                  <c:v>2.77</c:v>
                </c:pt>
                <c:pt idx="99">
                  <c:v>2.48</c:v>
                </c:pt>
                <c:pt idx="100">
                  <c:v>2.14</c:v>
                </c:pt>
                <c:pt idx="101">
                  <c:v>0.88</c:v>
                </c:pt>
                <c:pt idx="102">
                  <c:v>1.38</c:v>
                </c:pt>
                <c:pt idx="103">
                  <c:v>1.49</c:v>
                </c:pt>
                <c:pt idx="104">
                  <c:v>1.53</c:v>
                </c:pt>
                <c:pt idx="105">
                  <c:v>1.46</c:v>
                </c:pt>
                <c:pt idx="106">
                  <c:v>1.48</c:v>
                </c:pt>
                <c:pt idx="107">
                  <c:v>1.39</c:v>
                </c:pt>
                <c:pt idx="108">
                  <c:v>1.12</c:v>
                </c:pt>
                <c:pt idx="109">
                  <c:v>7.37</c:v>
                </c:pt>
                <c:pt idx="110">
                  <c:v>4.65</c:v>
                </c:pt>
                <c:pt idx="111">
                  <c:v>7.46</c:v>
                </c:pt>
                <c:pt idx="112">
                  <c:v>7.55</c:v>
                </c:pt>
                <c:pt idx="113">
                  <c:v>12.34</c:v>
                </c:pt>
                <c:pt idx="114">
                  <c:v>10.19</c:v>
                </c:pt>
                <c:pt idx="115">
                  <c:v>10.24</c:v>
                </c:pt>
                <c:pt idx="116">
                  <c:v>6.6</c:v>
                </c:pt>
                <c:pt idx="117">
                  <c:v>6.29</c:v>
                </c:pt>
                <c:pt idx="118">
                  <c:v>3.55</c:v>
                </c:pt>
                <c:pt idx="119">
                  <c:v>0.0</c:v>
                </c:pt>
                <c:pt idx="120">
                  <c:v>0.0</c:v>
                </c:pt>
                <c:pt idx="121">
                  <c:v>0.0</c:v>
                </c:pt>
                <c:pt idx="122">
                  <c:v>0.0</c:v>
                </c:pt>
                <c:pt idx="123">
                  <c:v>0.0</c:v>
                </c:pt>
                <c:pt idx="124">
                  <c:v>0.0</c:v>
                </c:pt>
                <c:pt idx="125">
                  <c:v>0.0</c:v>
                </c:pt>
                <c:pt idx="126">
                  <c:v>0.0</c:v>
                </c:pt>
                <c:pt idx="127">
                  <c:v>0.0</c:v>
                </c:pt>
                <c:pt idx="128">
                  <c:v>0.0</c:v>
                </c:pt>
                <c:pt idx="129">
                  <c:v>0.0</c:v>
                </c:pt>
                <c:pt idx="130">
                  <c:v>0.0</c:v>
                </c:pt>
                <c:pt idx="131">
                  <c:v>0.0</c:v>
                </c:pt>
                <c:pt idx="132">
                  <c:v>0.0</c:v>
                </c:pt>
                <c:pt idx="133">
                  <c:v>0.0</c:v>
                </c:pt>
                <c:pt idx="134">
                  <c:v>0.0</c:v>
                </c:pt>
                <c:pt idx="135">
                  <c:v>2.49</c:v>
                </c:pt>
                <c:pt idx="136">
                  <c:v>2.03</c:v>
                </c:pt>
                <c:pt idx="137">
                  <c:v>2.01</c:v>
                </c:pt>
                <c:pt idx="138">
                  <c:v>1.17</c:v>
                </c:pt>
                <c:pt idx="139">
                  <c:v>0.74</c:v>
                </c:pt>
                <c:pt idx="140">
                  <c:v>0.69</c:v>
                </c:pt>
                <c:pt idx="141">
                  <c:v>1.18</c:v>
                </c:pt>
                <c:pt idx="142">
                  <c:v>1.41</c:v>
                </c:pt>
                <c:pt idx="143">
                  <c:v>1.89</c:v>
                </c:pt>
                <c:pt idx="144">
                  <c:v>2.93</c:v>
                </c:pt>
                <c:pt idx="145">
                  <c:v>3.06</c:v>
                </c:pt>
                <c:pt idx="146">
                  <c:v>4.55</c:v>
                </c:pt>
                <c:pt idx="147">
                  <c:v>5.06</c:v>
                </c:pt>
                <c:pt idx="148">
                  <c:v>5.49</c:v>
                </c:pt>
                <c:pt idx="149">
                  <c:v>4.39</c:v>
                </c:pt>
                <c:pt idx="150">
                  <c:v>2.81</c:v>
                </c:pt>
                <c:pt idx="151">
                  <c:v>1.04</c:v>
                </c:pt>
                <c:pt idx="152">
                  <c:v>0.85</c:v>
                </c:pt>
                <c:pt idx="153">
                  <c:v>0.68</c:v>
                </c:pt>
                <c:pt idx="154">
                  <c:v>0.64</c:v>
                </c:pt>
                <c:pt idx="155">
                  <c:v>0.65</c:v>
                </c:pt>
                <c:pt idx="156">
                  <c:v>0.3</c:v>
                </c:pt>
                <c:pt idx="157">
                  <c:v>0.21</c:v>
                </c:pt>
                <c:pt idx="158">
                  <c:v>0.3</c:v>
                </c:pt>
                <c:pt idx="159">
                  <c:v>0.39</c:v>
                </c:pt>
                <c:pt idx="160">
                  <c:v>0.11</c:v>
                </c:pt>
                <c:pt idx="161">
                  <c:v>0.19</c:v>
                </c:pt>
                <c:pt idx="162">
                  <c:v>0.18</c:v>
                </c:pt>
                <c:pt idx="163">
                  <c:v>1.13</c:v>
                </c:pt>
                <c:pt idx="164">
                  <c:v>1.91</c:v>
                </c:pt>
                <c:pt idx="165">
                  <c:v>1.44</c:v>
                </c:pt>
                <c:pt idx="166">
                  <c:v>0.15</c:v>
                </c:pt>
                <c:pt idx="167">
                  <c:v>2.47</c:v>
                </c:pt>
                <c:pt idx="168">
                  <c:v>8.6</c:v>
                </c:pt>
                <c:pt idx="169">
                  <c:v>10.5</c:v>
                </c:pt>
                <c:pt idx="170">
                  <c:v>7.31</c:v>
                </c:pt>
                <c:pt idx="171">
                  <c:v>3.37</c:v>
                </c:pt>
                <c:pt idx="172">
                  <c:v>1.58</c:v>
                </c:pt>
                <c:pt idx="173">
                  <c:v>2.12</c:v>
                </c:pt>
                <c:pt idx="174">
                  <c:v>2.6</c:v>
                </c:pt>
                <c:pt idx="175">
                  <c:v>3.84</c:v>
                </c:pt>
                <c:pt idx="176">
                  <c:v>3.48</c:v>
                </c:pt>
                <c:pt idx="177">
                  <c:v>3.41</c:v>
                </c:pt>
                <c:pt idx="178">
                  <c:v>2.33</c:v>
                </c:pt>
                <c:pt idx="179">
                  <c:v>2.39</c:v>
                </c:pt>
                <c:pt idx="180">
                  <c:v>2.46</c:v>
                </c:pt>
                <c:pt idx="181">
                  <c:v>2.76</c:v>
                </c:pt>
                <c:pt idx="182">
                  <c:v>2.78</c:v>
                </c:pt>
                <c:pt idx="183">
                  <c:v>2.57</c:v>
                </c:pt>
                <c:pt idx="184">
                  <c:v>2.43</c:v>
                </c:pt>
                <c:pt idx="185">
                  <c:v>2.08</c:v>
                </c:pt>
                <c:pt idx="186">
                  <c:v>1.95</c:v>
                </c:pt>
                <c:pt idx="187">
                  <c:v>2.27</c:v>
                </c:pt>
                <c:pt idx="188">
                  <c:v>2.22</c:v>
                </c:pt>
                <c:pt idx="189">
                  <c:v>1.94</c:v>
                </c:pt>
                <c:pt idx="190">
                  <c:v>2.05</c:v>
                </c:pt>
                <c:pt idx="191">
                  <c:v>2.5</c:v>
                </c:pt>
                <c:pt idx="192">
                  <c:v>2.85</c:v>
                </c:pt>
                <c:pt idx="193">
                  <c:v>2.14</c:v>
                </c:pt>
                <c:pt idx="194">
                  <c:v>3.3</c:v>
                </c:pt>
                <c:pt idx="195">
                  <c:v>4.08</c:v>
                </c:pt>
                <c:pt idx="196">
                  <c:v>4.49</c:v>
                </c:pt>
                <c:pt idx="197">
                  <c:v>5.71</c:v>
                </c:pt>
                <c:pt idx="198">
                  <c:v>1.76</c:v>
                </c:pt>
                <c:pt idx="199">
                  <c:v>1.94</c:v>
                </c:pt>
                <c:pt idx="200">
                  <c:v>3.97</c:v>
                </c:pt>
                <c:pt idx="201">
                  <c:v>3.78</c:v>
                </c:pt>
                <c:pt idx="202">
                  <c:v>5.38</c:v>
                </c:pt>
                <c:pt idx="203">
                  <c:v>3.55</c:v>
                </c:pt>
                <c:pt idx="204">
                  <c:v>2.55</c:v>
                </c:pt>
                <c:pt idx="205">
                  <c:v>2.04</c:v>
                </c:pt>
                <c:pt idx="206">
                  <c:v>2.6</c:v>
                </c:pt>
                <c:pt idx="207">
                  <c:v>1.75</c:v>
                </c:pt>
                <c:pt idx="208">
                  <c:v>2.79</c:v>
                </c:pt>
                <c:pt idx="209">
                  <c:v>3.43</c:v>
                </c:pt>
                <c:pt idx="210">
                  <c:v>3.24</c:v>
                </c:pt>
                <c:pt idx="211">
                  <c:v>3.71</c:v>
                </c:pt>
                <c:pt idx="212">
                  <c:v>3.26</c:v>
                </c:pt>
                <c:pt idx="213">
                  <c:v>3.51</c:v>
                </c:pt>
                <c:pt idx="214">
                  <c:v>4.29</c:v>
                </c:pt>
                <c:pt idx="215">
                  <c:v>4.49</c:v>
                </c:pt>
                <c:pt idx="216">
                  <c:v>4.55</c:v>
                </c:pt>
                <c:pt idx="217">
                  <c:v>1.87</c:v>
                </c:pt>
                <c:pt idx="218">
                  <c:v>0.93</c:v>
                </c:pt>
                <c:pt idx="219">
                  <c:v>0.65</c:v>
                </c:pt>
                <c:pt idx="220">
                  <c:v>0.59</c:v>
                </c:pt>
                <c:pt idx="221">
                  <c:v>3.04</c:v>
                </c:pt>
                <c:pt idx="222">
                  <c:v>0.88</c:v>
                </c:pt>
                <c:pt idx="223">
                  <c:v>0.8</c:v>
                </c:pt>
                <c:pt idx="224">
                  <c:v>1.23</c:v>
                </c:pt>
                <c:pt idx="225">
                  <c:v>1.12</c:v>
                </c:pt>
                <c:pt idx="226">
                  <c:v>0.88</c:v>
                </c:pt>
                <c:pt idx="227">
                  <c:v>0.94</c:v>
                </c:pt>
                <c:pt idx="228">
                  <c:v>0.58</c:v>
                </c:pt>
                <c:pt idx="229">
                  <c:v>0.52</c:v>
                </c:pt>
                <c:pt idx="230">
                  <c:v>4.03</c:v>
                </c:pt>
                <c:pt idx="231">
                  <c:v>4.41</c:v>
                </c:pt>
                <c:pt idx="232">
                  <c:v>6.12</c:v>
                </c:pt>
                <c:pt idx="233">
                  <c:v>2.91</c:v>
                </c:pt>
                <c:pt idx="234">
                  <c:v>5.02</c:v>
                </c:pt>
                <c:pt idx="235">
                  <c:v>2.55</c:v>
                </c:pt>
                <c:pt idx="236">
                  <c:v>1.6</c:v>
                </c:pt>
                <c:pt idx="237">
                  <c:v>2.24</c:v>
                </c:pt>
                <c:pt idx="238">
                  <c:v>2.38</c:v>
                </c:pt>
                <c:pt idx="239">
                  <c:v>1.47</c:v>
                </c:pt>
                <c:pt idx="240">
                  <c:v>3.34</c:v>
                </c:pt>
                <c:pt idx="241">
                  <c:v>3.28</c:v>
                </c:pt>
                <c:pt idx="242">
                  <c:v>3.58</c:v>
                </c:pt>
                <c:pt idx="243">
                  <c:v>4.58</c:v>
                </c:pt>
                <c:pt idx="244">
                  <c:v>3.54</c:v>
                </c:pt>
                <c:pt idx="245">
                  <c:v>3.86</c:v>
                </c:pt>
              </c:numCache>
            </c:numRef>
          </c:xVal>
          <c:yVal>
            <c:numRef>
              <c:f>Sheet1!$B$2:$B$247</c:f>
              <c:numCache>
                <c:formatCode>General</c:formatCode>
                <c:ptCount val="246"/>
                <c:pt idx="0">
                  <c:v>-4.76</c:v>
                </c:pt>
                <c:pt idx="1">
                  <c:v>-0.22</c:v>
                </c:pt>
                <c:pt idx="2">
                  <c:v>3.24</c:v>
                </c:pt>
                <c:pt idx="3">
                  <c:v>4.34</c:v>
                </c:pt>
                <c:pt idx="4">
                  <c:v>0.94</c:v>
                </c:pt>
                <c:pt idx="5">
                  <c:v>4.75</c:v>
                </c:pt>
                <c:pt idx="6">
                  <c:v>3.89</c:v>
                </c:pt>
                <c:pt idx="7">
                  <c:v>3.94</c:v>
                </c:pt>
                <c:pt idx="8">
                  <c:v>0.89</c:v>
                </c:pt>
                <c:pt idx="9">
                  <c:v>1.81</c:v>
                </c:pt>
                <c:pt idx="10">
                  <c:v>3.26</c:v>
                </c:pt>
                <c:pt idx="11">
                  <c:v>3.93</c:v>
                </c:pt>
                <c:pt idx="12">
                  <c:v>4.26</c:v>
                </c:pt>
                <c:pt idx="13">
                  <c:v>-0.48</c:v>
                </c:pt>
                <c:pt idx="14">
                  <c:v>4.09</c:v>
                </c:pt>
                <c:pt idx="15">
                  <c:v>1.84</c:v>
                </c:pt>
                <c:pt idx="16">
                  <c:v>4.05</c:v>
                </c:pt>
                <c:pt idx="17">
                  <c:v>3.91</c:v>
                </c:pt>
                <c:pt idx="18">
                  <c:v>5.3</c:v>
                </c:pt>
                <c:pt idx="19">
                  <c:v>4.38</c:v>
                </c:pt>
                <c:pt idx="20">
                  <c:v>4.87</c:v>
                </c:pt>
                <c:pt idx="21">
                  <c:v>5.11</c:v>
                </c:pt>
                <c:pt idx="22">
                  <c:v>0.09</c:v>
                </c:pt>
                <c:pt idx="23">
                  <c:v>9.32</c:v>
                </c:pt>
                <c:pt idx="24">
                  <c:v>5.0</c:v>
                </c:pt>
                <c:pt idx="25">
                  <c:v>3.87</c:v>
                </c:pt>
                <c:pt idx="26">
                  <c:v>7.51</c:v>
                </c:pt>
                <c:pt idx="27">
                  <c:v>4.8</c:v>
                </c:pt>
                <c:pt idx="28">
                  <c:v>5.42</c:v>
                </c:pt>
                <c:pt idx="29">
                  <c:v>6.18</c:v>
                </c:pt>
                <c:pt idx="30">
                  <c:v>6.1</c:v>
                </c:pt>
                <c:pt idx="31">
                  <c:v>6.56</c:v>
                </c:pt>
                <c:pt idx="32">
                  <c:v>6.28</c:v>
                </c:pt>
                <c:pt idx="33">
                  <c:v>6.62</c:v>
                </c:pt>
                <c:pt idx="34">
                  <c:v>8.04</c:v>
                </c:pt>
                <c:pt idx="35">
                  <c:v>7.7</c:v>
                </c:pt>
                <c:pt idx="36">
                  <c:v>9.13</c:v>
                </c:pt>
                <c:pt idx="37">
                  <c:v>9.22</c:v>
                </c:pt>
                <c:pt idx="38">
                  <c:v>7.97</c:v>
                </c:pt>
                <c:pt idx="39">
                  <c:v>4.66</c:v>
                </c:pt>
                <c:pt idx="40">
                  <c:v>6.68</c:v>
                </c:pt>
                <c:pt idx="41">
                  <c:v>4.76</c:v>
                </c:pt>
                <c:pt idx="42">
                  <c:v>4.96</c:v>
                </c:pt>
                <c:pt idx="43">
                  <c:v>4.65</c:v>
                </c:pt>
                <c:pt idx="44">
                  <c:v>5.26</c:v>
                </c:pt>
                <c:pt idx="45">
                  <c:v>6.26</c:v>
                </c:pt>
                <c:pt idx="46">
                  <c:v>5.88</c:v>
                </c:pt>
                <c:pt idx="47">
                  <c:v>5.58</c:v>
                </c:pt>
                <c:pt idx="48">
                  <c:v>0.29</c:v>
                </c:pt>
                <c:pt idx="49">
                  <c:v>0.88</c:v>
                </c:pt>
                <c:pt idx="50">
                  <c:v>0.15</c:v>
                </c:pt>
                <c:pt idx="51">
                  <c:v>-0.8</c:v>
                </c:pt>
                <c:pt idx="52">
                  <c:v>0.18</c:v>
                </c:pt>
                <c:pt idx="53">
                  <c:v>0.18</c:v>
                </c:pt>
                <c:pt idx="54">
                  <c:v>0.15</c:v>
                </c:pt>
                <c:pt idx="55">
                  <c:v>0.0</c:v>
                </c:pt>
                <c:pt idx="56">
                  <c:v>-9.84</c:v>
                </c:pt>
                <c:pt idx="57">
                  <c:v>-1.85</c:v>
                </c:pt>
                <c:pt idx="58">
                  <c:v>0.3</c:v>
                </c:pt>
                <c:pt idx="59">
                  <c:v>1.03</c:v>
                </c:pt>
                <c:pt idx="60">
                  <c:v>0.41</c:v>
                </c:pt>
                <c:pt idx="61">
                  <c:v>4.03</c:v>
                </c:pt>
                <c:pt idx="62">
                  <c:v>5.52</c:v>
                </c:pt>
                <c:pt idx="63">
                  <c:v>5.79</c:v>
                </c:pt>
                <c:pt idx="64">
                  <c:v>5.08</c:v>
                </c:pt>
                <c:pt idx="65">
                  <c:v>5.92</c:v>
                </c:pt>
                <c:pt idx="66">
                  <c:v>6.66</c:v>
                </c:pt>
                <c:pt idx="67">
                  <c:v>7.88</c:v>
                </c:pt>
                <c:pt idx="68">
                  <c:v>5.59</c:v>
                </c:pt>
                <c:pt idx="69">
                  <c:v>5.98</c:v>
                </c:pt>
                <c:pt idx="70">
                  <c:v>6.16</c:v>
                </c:pt>
                <c:pt idx="71">
                  <c:v>5.96</c:v>
                </c:pt>
                <c:pt idx="72">
                  <c:v>5.59</c:v>
                </c:pt>
                <c:pt idx="73">
                  <c:v>5.4</c:v>
                </c:pt>
                <c:pt idx="74">
                  <c:v>5.36</c:v>
                </c:pt>
                <c:pt idx="75">
                  <c:v>5.71</c:v>
                </c:pt>
                <c:pt idx="76">
                  <c:v>5.11</c:v>
                </c:pt>
                <c:pt idx="77">
                  <c:v>10.2</c:v>
                </c:pt>
                <c:pt idx="78">
                  <c:v>-4.34</c:v>
                </c:pt>
                <c:pt idx="79">
                  <c:v>3.55</c:v>
                </c:pt>
                <c:pt idx="80">
                  <c:v>3.45</c:v>
                </c:pt>
                <c:pt idx="81">
                  <c:v>1.57</c:v>
                </c:pt>
                <c:pt idx="82">
                  <c:v>7.61</c:v>
                </c:pt>
                <c:pt idx="83">
                  <c:v>-0.82</c:v>
                </c:pt>
                <c:pt idx="84">
                  <c:v>2.89</c:v>
                </c:pt>
                <c:pt idx="85">
                  <c:v>1.62</c:v>
                </c:pt>
                <c:pt idx="86">
                  <c:v>2.22</c:v>
                </c:pt>
                <c:pt idx="87">
                  <c:v>2.18</c:v>
                </c:pt>
                <c:pt idx="88">
                  <c:v>3.05</c:v>
                </c:pt>
                <c:pt idx="89">
                  <c:v>2.24</c:v>
                </c:pt>
                <c:pt idx="90">
                  <c:v>2.2</c:v>
                </c:pt>
                <c:pt idx="91">
                  <c:v>1.88</c:v>
                </c:pt>
                <c:pt idx="92">
                  <c:v>-2.41</c:v>
                </c:pt>
                <c:pt idx="93">
                  <c:v>5.44</c:v>
                </c:pt>
                <c:pt idx="94">
                  <c:v>5.03</c:v>
                </c:pt>
                <c:pt idx="95">
                  <c:v>4.88</c:v>
                </c:pt>
                <c:pt idx="96">
                  <c:v>2.14</c:v>
                </c:pt>
                <c:pt idx="97">
                  <c:v>5.98</c:v>
                </c:pt>
                <c:pt idx="98">
                  <c:v>2.28</c:v>
                </c:pt>
                <c:pt idx="99">
                  <c:v>8.22</c:v>
                </c:pt>
                <c:pt idx="100">
                  <c:v>3.81</c:v>
                </c:pt>
                <c:pt idx="101">
                  <c:v>5.37</c:v>
                </c:pt>
                <c:pt idx="102">
                  <c:v>4.55</c:v>
                </c:pt>
                <c:pt idx="103">
                  <c:v>4.52</c:v>
                </c:pt>
                <c:pt idx="104">
                  <c:v>4.04</c:v>
                </c:pt>
                <c:pt idx="105">
                  <c:v>4.84</c:v>
                </c:pt>
                <c:pt idx="106">
                  <c:v>3.45</c:v>
                </c:pt>
                <c:pt idx="107">
                  <c:v>4.34</c:v>
                </c:pt>
                <c:pt idx="108">
                  <c:v>2.65</c:v>
                </c:pt>
                <c:pt idx="109">
                  <c:v>-2.23</c:v>
                </c:pt>
                <c:pt idx="110">
                  <c:v>3.13</c:v>
                </c:pt>
                <c:pt idx="111">
                  <c:v>0.03</c:v>
                </c:pt>
                <c:pt idx="112">
                  <c:v>1.56</c:v>
                </c:pt>
                <c:pt idx="113">
                  <c:v>-0.02</c:v>
                </c:pt>
                <c:pt idx="114">
                  <c:v>-3.33</c:v>
                </c:pt>
                <c:pt idx="115">
                  <c:v>-0.24</c:v>
                </c:pt>
                <c:pt idx="116">
                  <c:v>-2.86</c:v>
                </c:pt>
                <c:pt idx="117">
                  <c:v>3.91</c:v>
                </c:pt>
                <c:pt idx="118">
                  <c:v>2.26</c:v>
                </c:pt>
                <c:pt idx="119">
                  <c:v>1.97</c:v>
                </c:pt>
                <c:pt idx="120">
                  <c:v>2.42</c:v>
                </c:pt>
                <c:pt idx="121">
                  <c:v>3.15</c:v>
                </c:pt>
                <c:pt idx="122">
                  <c:v>3.08</c:v>
                </c:pt>
                <c:pt idx="123">
                  <c:v>4.28</c:v>
                </c:pt>
                <c:pt idx="124">
                  <c:v>5.06</c:v>
                </c:pt>
                <c:pt idx="125">
                  <c:v>4.7</c:v>
                </c:pt>
                <c:pt idx="126">
                  <c:v>5.35</c:v>
                </c:pt>
                <c:pt idx="127">
                  <c:v>4.59</c:v>
                </c:pt>
                <c:pt idx="128">
                  <c:v>5.94</c:v>
                </c:pt>
                <c:pt idx="129">
                  <c:v>5.88</c:v>
                </c:pt>
                <c:pt idx="130">
                  <c:v>5.16</c:v>
                </c:pt>
                <c:pt idx="131">
                  <c:v>6.12</c:v>
                </c:pt>
                <c:pt idx="132">
                  <c:v>5.9</c:v>
                </c:pt>
                <c:pt idx="133">
                  <c:v>5.68</c:v>
                </c:pt>
                <c:pt idx="134">
                  <c:v>6.07</c:v>
                </c:pt>
                <c:pt idx="135">
                  <c:v>3.57</c:v>
                </c:pt>
                <c:pt idx="136">
                  <c:v>7.13</c:v>
                </c:pt>
                <c:pt idx="137">
                  <c:v>5.21</c:v>
                </c:pt>
                <c:pt idx="138">
                  <c:v>4.09</c:v>
                </c:pt>
                <c:pt idx="139">
                  <c:v>4.76</c:v>
                </c:pt>
                <c:pt idx="140">
                  <c:v>4.1</c:v>
                </c:pt>
                <c:pt idx="141">
                  <c:v>5.06</c:v>
                </c:pt>
                <c:pt idx="142">
                  <c:v>5.09</c:v>
                </c:pt>
                <c:pt idx="143">
                  <c:v>3.62</c:v>
                </c:pt>
                <c:pt idx="144">
                  <c:v>3.17</c:v>
                </c:pt>
                <c:pt idx="145">
                  <c:v>1.9</c:v>
                </c:pt>
                <c:pt idx="146">
                  <c:v>2.02</c:v>
                </c:pt>
                <c:pt idx="147">
                  <c:v>6.13</c:v>
                </c:pt>
                <c:pt idx="148">
                  <c:v>-1.03</c:v>
                </c:pt>
                <c:pt idx="149">
                  <c:v>4.32</c:v>
                </c:pt>
                <c:pt idx="150">
                  <c:v>4.62</c:v>
                </c:pt>
                <c:pt idx="151">
                  <c:v>5.35</c:v>
                </c:pt>
                <c:pt idx="152">
                  <c:v>6.36</c:v>
                </c:pt>
                <c:pt idx="153">
                  <c:v>4.91</c:v>
                </c:pt>
                <c:pt idx="154">
                  <c:v>5.24</c:v>
                </c:pt>
                <c:pt idx="155">
                  <c:v>5.04</c:v>
                </c:pt>
                <c:pt idx="156">
                  <c:v>6.21</c:v>
                </c:pt>
                <c:pt idx="157">
                  <c:v>6.21</c:v>
                </c:pt>
                <c:pt idx="158">
                  <c:v>5.13</c:v>
                </c:pt>
                <c:pt idx="159">
                  <c:v>5.92</c:v>
                </c:pt>
                <c:pt idx="160">
                  <c:v>7.11</c:v>
                </c:pt>
                <c:pt idx="161">
                  <c:v>7.73</c:v>
                </c:pt>
                <c:pt idx="162">
                  <c:v>5.29</c:v>
                </c:pt>
                <c:pt idx="163">
                  <c:v>6.41</c:v>
                </c:pt>
                <c:pt idx="164">
                  <c:v>5.2</c:v>
                </c:pt>
                <c:pt idx="165">
                  <c:v>5.82</c:v>
                </c:pt>
                <c:pt idx="166">
                  <c:v>5.36</c:v>
                </c:pt>
                <c:pt idx="167">
                  <c:v>-3.69</c:v>
                </c:pt>
                <c:pt idx="168">
                  <c:v>5.45</c:v>
                </c:pt>
                <c:pt idx="169">
                  <c:v>-1.4</c:v>
                </c:pt>
                <c:pt idx="170">
                  <c:v>0.16</c:v>
                </c:pt>
                <c:pt idx="171">
                  <c:v>-2.78</c:v>
                </c:pt>
                <c:pt idx="172">
                  <c:v>2.42</c:v>
                </c:pt>
                <c:pt idx="173">
                  <c:v>1.59</c:v>
                </c:pt>
                <c:pt idx="174">
                  <c:v>1.31</c:v>
                </c:pt>
                <c:pt idx="175">
                  <c:v>-0.43</c:v>
                </c:pt>
                <c:pt idx="176">
                  <c:v>-0.5</c:v>
                </c:pt>
                <c:pt idx="177">
                  <c:v>1.02</c:v>
                </c:pt>
                <c:pt idx="178">
                  <c:v>2.0</c:v>
                </c:pt>
                <c:pt idx="179">
                  <c:v>0.05</c:v>
                </c:pt>
                <c:pt idx="180">
                  <c:v>0.16</c:v>
                </c:pt>
                <c:pt idx="181">
                  <c:v>0.26</c:v>
                </c:pt>
                <c:pt idx="182">
                  <c:v>2.73</c:v>
                </c:pt>
                <c:pt idx="183">
                  <c:v>-9.84</c:v>
                </c:pt>
                <c:pt idx="184">
                  <c:v>-9.64</c:v>
                </c:pt>
                <c:pt idx="185">
                  <c:v>-0.26</c:v>
                </c:pt>
                <c:pt idx="186">
                  <c:v>0.66</c:v>
                </c:pt>
                <c:pt idx="187">
                  <c:v>1.87</c:v>
                </c:pt>
                <c:pt idx="188">
                  <c:v>-0.59</c:v>
                </c:pt>
                <c:pt idx="189">
                  <c:v>2.72</c:v>
                </c:pt>
                <c:pt idx="190">
                  <c:v>6.17</c:v>
                </c:pt>
                <c:pt idx="191">
                  <c:v>4.76</c:v>
                </c:pt>
                <c:pt idx="192">
                  <c:v>6.73</c:v>
                </c:pt>
                <c:pt idx="193">
                  <c:v>3.09</c:v>
                </c:pt>
                <c:pt idx="194">
                  <c:v>1.18</c:v>
                </c:pt>
                <c:pt idx="195">
                  <c:v>2.14</c:v>
                </c:pt>
                <c:pt idx="196">
                  <c:v>-2.01</c:v>
                </c:pt>
                <c:pt idx="197">
                  <c:v>-0.83</c:v>
                </c:pt>
                <c:pt idx="198">
                  <c:v>7.43</c:v>
                </c:pt>
                <c:pt idx="199">
                  <c:v>10.2</c:v>
                </c:pt>
                <c:pt idx="200">
                  <c:v>8.6</c:v>
                </c:pt>
                <c:pt idx="201">
                  <c:v>5.32</c:v>
                </c:pt>
                <c:pt idx="202">
                  <c:v>8.15</c:v>
                </c:pt>
                <c:pt idx="203">
                  <c:v>10.2</c:v>
                </c:pt>
                <c:pt idx="204">
                  <c:v>10.0</c:v>
                </c:pt>
                <c:pt idx="205">
                  <c:v>9.01</c:v>
                </c:pt>
                <c:pt idx="206">
                  <c:v>7.99</c:v>
                </c:pt>
                <c:pt idx="207">
                  <c:v>8.15</c:v>
                </c:pt>
                <c:pt idx="208">
                  <c:v>6.03</c:v>
                </c:pt>
                <c:pt idx="209">
                  <c:v>9.6</c:v>
                </c:pt>
                <c:pt idx="210">
                  <c:v>6.97</c:v>
                </c:pt>
                <c:pt idx="211">
                  <c:v>6.44</c:v>
                </c:pt>
                <c:pt idx="212">
                  <c:v>6.68</c:v>
                </c:pt>
                <c:pt idx="213">
                  <c:v>7.3</c:v>
                </c:pt>
                <c:pt idx="214">
                  <c:v>3.21</c:v>
                </c:pt>
                <c:pt idx="215">
                  <c:v>10.2</c:v>
                </c:pt>
                <c:pt idx="216">
                  <c:v>10.19</c:v>
                </c:pt>
                <c:pt idx="217">
                  <c:v>0.75</c:v>
                </c:pt>
                <c:pt idx="218">
                  <c:v>6.86</c:v>
                </c:pt>
                <c:pt idx="219">
                  <c:v>7.2</c:v>
                </c:pt>
                <c:pt idx="220">
                  <c:v>3.32</c:v>
                </c:pt>
                <c:pt idx="221">
                  <c:v>1.01</c:v>
                </c:pt>
                <c:pt idx="222">
                  <c:v>7.88</c:v>
                </c:pt>
                <c:pt idx="223">
                  <c:v>5.21</c:v>
                </c:pt>
                <c:pt idx="224">
                  <c:v>6.92</c:v>
                </c:pt>
                <c:pt idx="225">
                  <c:v>4.05</c:v>
                </c:pt>
                <c:pt idx="226">
                  <c:v>8.83</c:v>
                </c:pt>
                <c:pt idx="227">
                  <c:v>7.84</c:v>
                </c:pt>
                <c:pt idx="228">
                  <c:v>6.59</c:v>
                </c:pt>
                <c:pt idx="229">
                  <c:v>2.88</c:v>
                </c:pt>
                <c:pt idx="230">
                  <c:v>3.77</c:v>
                </c:pt>
                <c:pt idx="231">
                  <c:v>5.76</c:v>
                </c:pt>
                <c:pt idx="232">
                  <c:v>1.89</c:v>
                </c:pt>
                <c:pt idx="233">
                  <c:v>5.07</c:v>
                </c:pt>
                <c:pt idx="234">
                  <c:v>2.45</c:v>
                </c:pt>
                <c:pt idx="235">
                  <c:v>-0.1</c:v>
                </c:pt>
                <c:pt idx="236">
                  <c:v>4.25</c:v>
                </c:pt>
                <c:pt idx="237">
                  <c:v>2.46</c:v>
                </c:pt>
                <c:pt idx="238">
                  <c:v>2.38</c:v>
                </c:pt>
                <c:pt idx="239">
                  <c:v>1.97</c:v>
                </c:pt>
                <c:pt idx="240">
                  <c:v>2.96</c:v>
                </c:pt>
                <c:pt idx="241">
                  <c:v>1.53</c:v>
                </c:pt>
                <c:pt idx="242">
                  <c:v>1.07</c:v>
                </c:pt>
                <c:pt idx="243">
                  <c:v>2.02</c:v>
                </c:pt>
                <c:pt idx="244">
                  <c:v>3.11</c:v>
                </c:pt>
                <c:pt idx="245">
                  <c:v>1.11</c:v>
                </c:pt>
              </c:numCache>
            </c:numRef>
          </c:yVal>
          <c:smooth val="0"/>
        </c:ser>
        <c:ser>
          <c:idx val="1"/>
          <c:order val="1"/>
          <c:tx>
            <c:strRef>
              <c:f>Sheet1!$D$1</c:f>
              <c:strCache>
                <c:ptCount val="1"/>
                <c:pt idx="0">
                  <c:v>Davlat ulushi mavjud banklar (148 ta kuzatuv)</c:v>
                </c:pt>
              </c:strCache>
            </c:strRef>
          </c:tx>
          <c:spPr>
            <a:ln>
              <a:noFill/>
            </a:ln>
          </c:spPr>
          <c:marker>
            <c:symbol val="circle"/>
            <c:size val="5"/>
            <c:spPr>
              <a:solidFill>
                <a:srgbClr val="C00000"/>
              </a:solidFill>
              <a:ln>
                <a:noFill/>
              </a:ln>
            </c:spPr>
          </c:marker>
          <c:xVal>
            <c:numRef>
              <c:f>Sheet1!$C$2:$C$149</c:f>
              <c:numCache>
                <c:formatCode>General</c:formatCode>
                <c:ptCount val="148"/>
                <c:pt idx="0">
                  <c:v>4.5</c:v>
                </c:pt>
                <c:pt idx="1">
                  <c:v>4.53</c:v>
                </c:pt>
                <c:pt idx="2">
                  <c:v>4.6</c:v>
                </c:pt>
                <c:pt idx="3">
                  <c:v>3.84</c:v>
                </c:pt>
                <c:pt idx="4">
                  <c:v>3.99</c:v>
                </c:pt>
                <c:pt idx="5">
                  <c:v>3.79</c:v>
                </c:pt>
                <c:pt idx="6">
                  <c:v>3.55</c:v>
                </c:pt>
                <c:pt idx="7">
                  <c:v>3.8</c:v>
                </c:pt>
                <c:pt idx="8">
                  <c:v>3.75</c:v>
                </c:pt>
                <c:pt idx="9">
                  <c:v>3.43</c:v>
                </c:pt>
                <c:pt idx="10">
                  <c:v>3.46</c:v>
                </c:pt>
                <c:pt idx="11">
                  <c:v>4.88</c:v>
                </c:pt>
                <c:pt idx="12">
                  <c:v>4.49</c:v>
                </c:pt>
                <c:pt idx="13">
                  <c:v>3.78</c:v>
                </c:pt>
                <c:pt idx="14">
                  <c:v>3.36</c:v>
                </c:pt>
                <c:pt idx="15">
                  <c:v>3.33</c:v>
                </c:pt>
                <c:pt idx="16">
                  <c:v>3.36</c:v>
                </c:pt>
                <c:pt idx="17">
                  <c:v>3.18</c:v>
                </c:pt>
                <c:pt idx="18">
                  <c:v>3.24</c:v>
                </c:pt>
                <c:pt idx="19">
                  <c:v>2.03</c:v>
                </c:pt>
                <c:pt idx="20">
                  <c:v>1.78</c:v>
                </c:pt>
                <c:pt idx="21">
                  <c:v>1.47</c:v>
                </c:pt>
                <c:pt idx="22">
                  <c:v>2.38</c:v>
                </c:pt>
                <c:pt idx="23">
                  <c:v>1.52</c:v>
                </c:pt>
                <c:pt idx="24">
                  <c:v>3.99</c:v>
                </c:pt>
                <c:pt idx="25">
                  <c:v>4.09</c:v>
                </c:pt>
                <c:pt idx="26">
                  <c:v>2.81</c:v>
                </c:pt>
                <c:pt idx="27">
                  <c:v>1.87</c:v>
                </c:pt>
                <c:pt idx="28">
                  <c:v>2.57</c:v>
                </c:pt>
                <c:pt idx="29">
                  <c:v>2.42</c:v>
                </c:pt>
                <c:pt idx="30">
                  <c:v>2.37</c:v>
                </c:pt>
                <c:pt idx="31">
                  <c:v>2.54</c:v>
                </c:pt>
                <c:pt idx="32">
                  <c:v>4.77</c:v>
                </c:pt>
                <c:pt idx="33">
                  <c:v>4.76</c:v>
                </c:pt>
                <c:pt idx="34">
                  <c:v>4.75</c:v>
                </c:pt>
                <c:pt idx="35">
                  <c:v>4.65</c:v>
                </c:pt>
                <c:pt idx="36">
                  <c:v>4.37</c:v>
                </c:pt>
                <c:pt idx="37">
                  <c:v>4.24</c:v>
                </c:pt>
                <c:pt idx="38">
                  <c:v>4.41</c:v>
                </c:pt>
                <c:pt idx="39">
                  <c:v>4.41</c:v>
                </c:pt>
                <c:pt idx="40">
                  <c:v>4.61</c:v>
                </c:pt>
                <c:pt idx="41">
                  <c:v>4.65</c:v>
                </c:pt>
                <c:pt idx="42">
                  <c:v>4.77</c:v>
                </c:pt>
                <c:pt idx="43">
                  <c:v>4.53</c:v>
                </c:pt>
                <c:pt idx="44">
                  <c:v>4.72</c:v>
                </c:pt>
                <c:pt idx="45">
                  <c:v>4.55</c:v>
                </c:pt>
                <c:pt idx="46">
                  <c:v>4.71</c:v>
                </c:pt>
                <c:pt idx="47">
                  <c:v>3.62</c:v>
                </c:pt>
                <c:pt idx="48">
                  <c:v>4.93</c:v>
                </c:pt>
                <c:pt idx="49">
                  <c:v>4.89</c:v>
                </c:pt>
                <c:pt idx="50">
                  <c:v>4.51</c:v>
                </c:pt>
                <c:pt idx="51">
                  <c:v>4.49</c:v>
                </c:pt>
                <c:pt idx="52">
                  <c:v>4.5</c:v>
                </c:pt>
                <c:pt idx="53">
                  <c:v>4.17</c:v>
                </c:pt>
                <c:pt idx="54">
                  <c:v>8.88</c:v>
                </c:pt>
                <c:pt idx="55">
                  <c:v>16.07</c:v>
                </c:pt>
                <c:pt idx="56">
                  <c:v>12.47</c:v>
                </c:pt>
                <c:pt idx="57">
                  <c:v>10.85</c:v>
                </c:pt>
                <c:pt idx="58">
                  <c:v>8.5</c:v>
                </c:pt>
                <c:pt idx="59">
                  <c:v>8.05</c:v>
                </c:pt>
                <c:pt idx="60">
                  <c:v>6.1</c:v>
                </c:pt>
                <c:pt idx="61">
                  <c:v>5.94</c:v>
                </c:pt>
                <c:pt idx="62">
                  <c:v>4.52</c:v>
                </c:pt>
                <c:pt idx="63">
                  <c:v>3.01</c:v>
                </c:pt>
                <c:pt idx="64">
                  <c:v>2.88</c:v>
                </c:pt>
                <c:pt idx="65">
                  <c:v>2.82</c:v>
                </c:pt>
                <c:pt idx="66">
                  <c:v>2.48</c:v>
                </c:pt>
                <c:pt idx="67">
                  <c:v>2.97</c:v>
                </c:pt>
                <c:pt idx="68">
                  <c:v>3.19</c:v>
                </c:pt>
                <c:pt idx="69">
                  <c:v>5.97</c:v>
                </c:pt>
                <c:pt idx="70">
                  <c:v>5.91</c:v>
                </c:pt>
                <c:pt idx="71">
                  <c:v>5.57</c:v>
                </c:pt>
                <c:pt idx="72">
                  <c:v>4.77</c:v>
                </c:pt>
                <c:pt idx="73">
                  <c:v>5.36</c:v>
                </c:pt>
                <c:pt idx="74">
                  <c:v>5.18</c:v>
                </c:pt>
                <c:pt idx="75">
                  <c:v>5.14</c:v>
                </c:pt>
                <c:pt idx="76">
                  <c:v>5.99</c:v>
                </c:pt>
                <c:pt idx="77">
                  <c:v>6.7</c:v>
                </c:pt>
                <c:pt idx="78">
                  <c:v>6.81</c:v>
                </c:pt>
                <c:pt idx="79">
                  <c:v>6.7</c:v>
                </c:pt>
                <c:pt idx="80">
                  <c:v>4.62</c:v>
                </c:pt>
                <c:pt idx="81">
                  <c:v>6.61</c:v>
                </c:pt>
                <c:pt idx="82">
                  <c:v>6.01</c:v>
                </c:pt>
                <c:pt idx="83">
                  <c:v>4.91</c:v>
                </c:pt>
                <c:pt idx="84">
                  <c:v>4.41</c:v>
                </c:pt>
                <c:pt idx="85">
                  <c:v>4.24</c:v>
                </c:pt>
                <c:pt idx="86">
                  <c:v>4.13</c:v>
                </c:pt>
                <c:pt idx="87">
                  <c:v>3.81</c:v>
                </c:pt>
                <c:pt idx="88">
                  <c:v>2.88</c:v>
                </c:pt>
                <c:pt idx="89">
                  <c:v>2.84</c:v>
                </c:pt>
                <c:pt idx="90">
                  <c:v>3.21</c:v>
                </c:pt>
                <c:pt idx="91">
                  <c:v>3.12</c:v>
                </c:pt>
                <c:pt idx="92">
                  <c:v>3.9</c:v>
                </c:pt>
                <c:pt idx="93">
                  <c:v>2.88</c:v>
                </c:pt>
                <c:pt idx="94">
                  <c:v>2.85</c:v>
                </c:pt>
                <c:pt idx="95">
                  <c:v>3.03</c:v>
                </c:pt>
                <c:pt idx="96">
                  <c:v>3.18</c:v>
                </c:pt>
                <c:pt idx="97">
                  <c:v>2.9</c:v>
                </c:pt>
                <c:pt idx="98">
                  <c:v>3.33</c:v>
                </c:pt>
                <c:pt idx="99">
                  <c:v>2.84</c:v>
                </c:pt>
                <c:pt idx="100">
                  <c:v>3.76</c:v>
                </c:pt>
                <c:pt idx="101">
                  <c:v>3.68</c:v>
                </c:pt>
                <c:pt idx="102">
                  <c:v>3.64</c:v>
                </c:pt>
                <c:pt idx="103">
                  <c:v>2.83</c:v>
                </c:pt>
                <c:pt idx="104">
                  <c:v>2.93</c:v>
                </c:pt>
                <c:pt idx="105">
                  <c:v>2.91</c:v>
                </c:pt>
                <c:pt idx="106">
                  <c:v>2.82</c:v>
                </c:pt>
                <c:pt idx="107">
                  <c:v>2.25</c:v>
                </c:pt>
                <c:pt idx="108">
                  <c:v>3.96</c:v>
                </c:pt>
                <c:pt idx="109">
                  <c:v>3.94</c:v>
                </c:pt>
                <c:pt idx="110">
                  <c:v>3.1</c:v>
                </c:pt>
                <c:pt idx="111">
                  <c:v>2.82</c:v>
                </c:pt>
                <c:pt idx="112">
                  <c:v>4.07</c:v>
                </c:pt>
                <c:pt idx="113">
                  <c:v>3.7</c:v>
                </c:pt>
                <c:pt idx="114">
                  <c:v>3.44</c:v>
                </c:pt>
                <c:pt idx="115">
                  <c:v>2.53</c:v>
                </c:pt>
                <c:pt idx="116">
                  <c:v>3.85</c:v>
                </c:pt>
                <c:pt idx="117">
                  <c:v>2.94</c:v>
                </c:pt>
                <c:pt idx="118">
                  <c:v>4.29</c:v>
                </c:pt>
                <c:pt idx="119">
                  <c:v>2.57</c:v>
                </c:pt>
                <c:pt idx="120">
                  <c:v>2.51</c:v>
                </c:pt>
                <c:pt idx="121">
                  <c:v>2.42</c:v>
                </c:pt>
                <c:pt idx="122">
                  <c:v>2.81</c:v>
                </c:pt>
                <c:pt idx="123">
                  <c:v>2.28</c:v>
                </c:pt>
                <c:pt idx="124">
                  <c:v>2.43</c:v>
                </c:pt>
                <c:pt idx="125">
                  <c:v>2.59</c:v>
                </c:pt>
                <c:pt idx="126">
                  <c:v>2.74</c:v>
                </c:pt>
                <c:pt idx="127">
                  <c:v>2.82</c:v>
                </c:pt>
                <c:pt idx="128">
                  <c:v>3.12</c:v>
                </c:pt>
                <c:pt idx="129">
                  <c:v>2.81</c:v>
                </c:pt>
                <c:pt idx="130">
                  <c:v>2.82</c:v>
                </c:pt>
                <c:pt idx="131">
                  <c:v>3.41</c:v>
                </c:pt>
                <c:pt idx="132">
                  <c:v>17.53</c:v>
                </c:pt>
                <c:pt idx="133">
                  <c:v>17.53</c:v>
                </c:pt>
                <c:pt idx="134">
                  <c:v>16.38</c:v>
                </c:pt>
                <c:pt idx="135">
                  <c:v>11.93</c:v>
                </c:pt>
                <c:pt idx="136">
                  <c:v>10.34</c:v>
                </c:pt>
                <c:pt idx="137">
                  <c:v>9.76</c:v>
                </c:pt>
                <c:pt idx="138">
                  <c:v>9.15</c:v>
                </c:pt>
                <c:pt idx="139">
                  <c:v>7.56</c:v>
                </c:pt>
                <c:pt idx="140">
                  <c:v>7.22</c:v>
                </c:pt>
                <c:pt idx="141">
                  <c:v>5.84</c:v>
                </c:pt>
                <c:pt idx="142">
                  <c:v>5.31</c:v>
                </c:pt>
                <c:pt idx="143">
                  <c:v>4.23</c:v>
                </c:pt>
                <c:pt idx="144">
                  <c:v>4.19</c:v>
                </c:pt>
                <c:pt idx="145">
                  <c:v>3.95</c:v>
                </c:pt>
                <c:pt idx="146">
                  <c:v>3.61</c:v>
                </c:pt>
                <c:pt idx="147">
                  <c:v>3.07</c:v>
                </c:pt>
              </c:numCache>
            </c:numRef>
          </c:xVal>
          <c:yVal>
            <c:numRef>
              <c:f>Sheet1!$D$2:$D$149</c:f>
              <c:numCache>
                <c:formatCode>General</c:formatCode>
                <c:ptCount val="148"/>
                <c:pt idx="0">
                  <c:v>0.45</c:v>
                </c:pt>
                <c:pt idx="1">
                  <c:v>0.31</c:v>
                </c:pt>
                <c:pt idx="2">
                  <c:v>0.34</c:v>
                </c:pt>
                <c:pt idx="3">
                  <c:v>3.99</c:v>
                </c:pt>
                <c:pt idx="4">
                  <c:v>0.48</c:v>
                </c:pt>
                <c:pt idx="5">
                  <c:v>-0.24</c:v>
                </c:pt>
                <c:pt idx="6">
                  <c:v>0.49</c:v>
                </c:pt>
                <c:pt idx="7">
                  <c:v>3.99</c:v>
                </c:pt>
                <c:pt idx="8">
                  <c:v>0.2</c:v>
                </c:pt>
                <c:pt idx="9">
                  <c:v>-0.09</c:v>
                </c:pt>
                <c:pt idx="10">
                  <c:v>0.02</c:v>
                </c:pt>
                <c:pt idx="11">
                  <c:v>0.24</c:v>
                </c:pt>
                <c:pt idx="12">
                  <c:v>0.08</c:v>
                </c:pt>
                <c:pt idx="13">
                  <c:v>0.08</c:v>
                </c:pt>
                <c:pt idx="14">
                  <c:v>-0.01</c:v>
                </c:pt>
                <c:pt idx="15">
                  <c:v>0.26</c:v>
                </c:pt>
                <c:pt idx="16">
                  <c:v>0.68</c:v>
                </c:pt>
                <c:pt idx="17">
                  <c:v>2.8</c:v>
                </c:pt>
                <c:pt idx="18">
                  <c:v>1.38</c:v>
                </c:pt>
                <c:pt idx="19">
                  <c:v>1.75</c:v>
                </c:pt>
                <c:pt idx="20">
                  <c:v>0.97</c:v>
                </c:pt>
                <c:pt idx="21">
                  <c:v>3.83</c:v>
                </c:pt>
                <c:pt idx="22">
                  <c:v>0.71</c:v>
                </c:pt>
                <c:pt idx="23">
                  <c:v>9.14</c:v>
                </c:pt>
                <c:pt idx="24">
                  <c:v>0.36</c:v>
                </c:pt>
                <c:pt idx="25">
                  <c:v>2.08</c:v>
                </c:pt>
                <c:pt idx="26">
                  <c:v>-1.84</c:v>
                </c:pt>
                <c:pt idx="27">
                  <c:v>3.14</c:v>
                </c:pt>
                <c:pt idx="28">
                  <c:v>1.19</c:v>
                </c:pt>
                <c:pt idx="29">
                  <c:v>2.03</c:v>
                </c:pt>
                <c:pt idx="30">
                  <c:v>0.71</c:v>
                </c:pt>
                <c:pt idx="31">
                  <c:v>-0.09</c:v>
                </c:pt>
                <c:pt idx="32">
                  <c:v>0.06</c:v>
                </c:pt>
                <c:pt idx="33">
                  <c:v>0.11</c:v>
                </c:pt>
                <c:pt idx="34">
                  <c:v>0.23</c:v>
                </c:pt>
                <c:pt idx="35">
                  <c:v>0.18</c:v>
                </c:pt>
                <c:pt idx="36">
                  <c:v>1.39</c:v>
                </c:pt>
                <c:pt idx="37">
                  <c:v>-0.29</c:v>
                </c:pt>
                <c:pt idx="38">
                  <c:v>0.08</c:v>
                </c:pt>
                <c:pt idx="39">
                  <c:v>-0.0</c:v>
                </c:pt>
                <c:pt idx="40">
                  <c:v>0.46</c:v>
                </c:pt>
                <c:pt idx="41">
                  <c:v>0.04</c:v>
                </c:pt>
                <c:pt idx="42">
                  <c:v>-0.05</c:v>
                </c:pt>
                <c:pt idx="43">
                  <c:v>-0.16</c:v>
                </c:pt>
                <c:pt idx="44">
                  <c:v>0.11</c:v>
                </c:pt>
                <c:pt idx="45">
                  <c:v>0.21</c:v>
                </c:pt>
                <c:pt idx="46">
                  <c:v>0.68</c:v>
                </c:pt>
                <c:pt idx="47">
                  <c:v>0.67</c:v>
                </c:pt>
                <c:pt idx="48">
                  <c:v>2.94</c:v>
                </c:pt>
                <c:pt idx="49">
                  <c:v>2.19</c:v>
                </c:pt>
                <c:pt idx="50">
                  <c:v>1.8</c:v>
                </c:pt>
                <c:pt idx="51">
                  <c:v>2.86</c:v>
                </c:pt>
                <c:pt idx="52">
                  <c:v>-0.86</c:v>
                </c:pt>
                <c:pt idx="53">
                  <c:v>-0.45</c:v>
                </c:pt>
                <c:pt idx="54">
                  <c:v>2.11</c:v>
                </c:pt>
                <c:pt idx="55">
                  <c:v>-5.74</c:v>
                </c:pt>
                <c:pt idx="56">
                  <c:v>0.22</c:v>
                </c:pt>
                <c:pt idx="57">
                  <c:v>1.26</c:v>
                </c:pt>
                <c:pt idx="58">
                  <c:v>-9.84</c:v>
                </c:pt>
                <c:pt idx="59">
                  <c:v>2.38</c:v>
                </c:pt>
                <c:pt idx="60">
                  <c:v>1.42</c:v>
                </c:pt>
                <c:pt idx="61">
                  <c:v>0.75</c:v>
                </c:pt>
                <c:pt idx="62">
                  <c:v>1.25</c:v>
                </c:pt>
                <c:pt idx="63">
                  <c:v>3.19</c:v>
                </c:pt>
                <c:pt idx="64">
                  <c:v>3.12</c:v>
                </c:pt>
                <c:pt idx="65">
                  <c:v>1.33</c:v>
                </c:pt>
                <c:pt idx="66">
                  <c:v>3.63</c:v>
                </c:pt>
                <c:pt idx="67">
                  <c:v>3.42</c:v>
                </c:pt>
                <c:pt idx="68">
                  <c:v>3.02</c:v>
                </c:pt>
                <c:pt idx="69">
                  <c:v>0.45</c:v>
                </c:pt>
                <c:pt idx="70">
                  <c:v>0.53</c:v>
                </c:pt>
                <c:pt idx="71">
                  <c:v>0.39</c:v>
                </c:pt>
                <c:pt idx="72">
                  <c:v>-0.67</c:v>
                </c:pt>
                <c:pt idx="73">
                  <c:v>0.09</c:v>
                </c:pt>
                <c:pt idx="74">
                  <c:v>0.14</c:v>
                </c:pt>
                <c:pt idx="75">
                  <c:v>0.17</c:v>
                </c:pt>
                <c:pt idx="76">
                  <c:v>0.5</c:v>
                </c:pt>
                <c:pt idx="77">
                  <c:v>0.13</c:v>
                </c:pt>
                <c:pt idx="78">
                  <c:v>-0.06</c:v>
                </c:pt>
                <c:pt idx="79">
                  <c:v>0.01</c:v>
                </c:pt>
                <c:pt idx="80">
                  <c:v>-9.84</c:v>
                </c:pt>
                <c:pt idx="81">
                  <c:v>0.39</c:v>
                </c:pt>
                <c:pt idx="82">
                  <c:v>0.37</c:v>
                </c:pt>
                <c:pt idx="83">
                  <c:v>0.59</c:v>
                </c:pt>
                <c:pt idx="84">
                  <c:v>0.94</c:v>
                </c:pt>
                <c:pt idx="85">
                  <c:v>1.21</c:v>
                </c:pt>
                <c:pt idx="86">
                  <c:v>2.71</c:v>
                </c:pt>
                <c:pt idx="87">
                  <c:v>1.7</c:v>
                </c:pt>
                <c:pt idx="88">
                  <c:v>2.22</c:v>
                </c:pt>
                <c:pt idx="89">
                  <c:v>1.86</c:v>
                </c:pt>
                <c:pt idx="90">
                  <c:v>0.17</c:v>
                </c:pt>
                <c:pt idx="91">
                  <c:v>1.51</c:v>
                </c:pt>
                <c:pt idx="92">
                  <c:v>1.46</c:v>
                </c:pt>
                <c:pt idx="93">
                  <c:v>1.5</c:v>
                </c:pt>
                <c:pt idx="94">
                  <c:v>1.31</c:v>
                </c:pt>
                <c:pt idx="95">
                  <c:v>1.0</c:v>
                </c:pt>
                <c:pt idx="96">
                  <c:v>1.38</c:v>
                </c:pt>
                <c:pt idx="97">
                  <c:v>1.54</c:v>
                </c:pt>
                <c:pt idx="98">
                  <c:v>1.24</c:v>
                </c:pt>
                <c:pt idx="99">
                  <c:v>1.29</c:v>
                </c:pt>
                <c:pt idx="100">
                  <c:v>2.26</c:v>
                </c:pt>
                <c:pt idx="101">
                  <c:v>0.7</c:v>
                </c:pt>
                <c:pt idx="102">
                  <c:v>0.44</c:v>
                </c:pt>
                <c:pt idx="103">
                  <c:v>0.69</c:v>
                </c:pt>
                <c:pt idx="104">
                  <c:v>1.03</c:v>
                </c:pt>
                <c:pt idx="105">
                  <c:v>1.35</c:v>
                </c:pt>
                <c:pt idx="106">
                  <c:v>1.12</c:v>
                </c:pt>
                <c:pt idx="107">
                  <c:v>1.75</c:v>
                </c:pt>
                <c:pt idx="108">
                  <c:v>1.8</c:v>
                </c:pt>
                <c:pt idx="109">
                  <c:v>2.19</c:v>
                </c:pt>
                <c:pt idx="110">
                  <c:v>0.16</c:v>
                </c:pt>
                <c:pt idx="111">
                  <c:v>2.34</c:v>
                </c:pt>
                <c:pt idx="112">
                  <c:v>1.79</c:v>
                </c:pt>
                <c:pt idx="113">
                  <c:v>1.7</c:v>
                </c:pt>
                <c:pt idx="114">
                  <c:v>2.4</c:v>
                </c:pt>
                <c:pt idx="115">
                  <c:v>2.0</c:v>
                </c:pt>
                <c:pt idx="116">
                  <c:v>1.16</c:v>
                </c:pt>
                <c:pt idx="117">
                  <c:v>0.83</c:v>
                </c:pt>
                <c:pt idx="118">
                  <c:v>1.1</c:v>
                </c:pt>
                <c:pt idx="119">
                  <c:v>-1.15</c:v>
                </c:pt>
                <c:pt idx="120">
                  <c:v>0.66</c:v>
                </c:pt>
                <c:pt idx="121">
                  <c:v>0.22</c:v>
                </c:pt>
                <c:pt idx="122">
                  <c:v>0.11</c:v>
                </c:pt>
                <c:pt idx="123">
                  <c:v>0.66</c:v>
                </c:pt>
                <c:pt idx="124">
                  <c:v>0.29</c:v>
                </c:pt>
                <c:pt idx="125">
                  <c:v>0.05</c:v>
                </c:pt>
                <c:pt idx="126">
                  <c:v>0.45</c:v>
                </c:pt>
                <c:pt idx="127">
                  <c:v>-0.22</c:v>
                </c:pt>
                <c:pt idx="128">
                  <c:v>0.17</c:v>
                </c:pt>
                <c:pt idx="129">
                  <c:v>0.16</c:v>
                </c:pt>
                <c:pt idx="130">
                  <c:v>0.1</c:v>
                </c:pt>
                <c:pt idx="131">
                  <c:v>0.1</c:v>
                </c:pt>
                <c:pt idx="132">
                  <c:v>0.68</c:v>
                </c:pt>
                <c:pt idx="133">
                  <c:v>2.35</c:v>
                </c:pt>
                <c:pt idx="134">
                  <c:v>1.67</c:v>
                </c:pt>
                <c:pt idx="135">
                  <c:v>-4.14</c:v>
                </c:pt>
                <c:pt idx="136">
                  <c:v>0.76</c:v>
                </c:pt>
                <c:pt idx="137">
                  <c:v>0.81</c:v>
                </c:pt>
                <c:pt idx="138">
                  <c:v>0.93</c:v>
                </c:pt>
                <c:pt idx="139">
                  <c:v>0.42</c:v>
                </c:pt>
                <c:pt idx="140">
                  <c:v>0.17</c:v>
                </c:pt>
                <c:pt idx="141">
                  <c:v>1.21</c:v>
                </c:pt>
                <c:pt idx="142">
                  <c:v>0.81</c:v>
                </c:pt>
                <c:pt idx="143">
                  <c:v>0.41</c:v>
                </c:pt>
                <c:pt idx="144">
                  <c:v>0.34</c:v>
                </c:pt>
                <c:pt idx="145">
                  <c:v>0.96</c:v>
                </c:pt>
                <c:pt idx="146">
                  <c:v>0.92</c:v>
                </c:pt>
                <c:pt idx="147">
                  <c:v>3.39</c:v>
                </c:pt>
              </c:numCache>
            </c:numRef>
          </c:yVal>
          <c:smooth val="0"/>
        </c:ser>
        <c:ser>
          <c:idx val="2"/>
          <c:order val="2"/>
          <c:tx>
            <c:strRef>
              <c:f>Sheet1!$F$1</c:f>
              <c:strCache>
                <c:ptCount val="1"/>
                <c:pt idx="0">
                  <c:v>Regressiya chizig‘i</c:v>
                </c:pt>
              </c:strCache>
            </c:strRef>
          </c:tx>
          <c:spPr>
            <a:ln w="19050">
              <a:solidFill>
                <a:srgbClr val="000000"/>
              </a:solidFill>
            </a:ln>
          </c:spPr>
          <c:marker>
            <c:symbol val="none"/>
          </c:marker>
          <c:xVal>
            <c:numRef>
              <c:f>Sheet1!$E$2:$E$3</c:f>
              <c:numCache>
                <c:formatCode>General</c:formatCode>
                <c:ptCount val="2"/>
                <c:pt idx="0">
                  <c:v>0.0</c:v>
                </c:pt>
                <c:pt idx="1">
                  <c:v>18.0</c:v>
                </c:pt>
              </c:numCache>
            </c:numRef>
          </c:xVal>
          <c:yVal>
            <c:numRef>
              <c:f>Sheet1!$F$2:$F$3</c:f>
              <c:numCache>
                <c:formatCode>General</c:formatCode>
                <c:ptCount val="2"/>
                <c:pt idx="0">
                  <c:v>4.353</c:v>
                </c:pt>
                <c:pt idx="1">
                  <c:v>-4.418</c:v>
                </c:pt>
              </c:numCache>
            </c:numRef>
          </c:yVal>
          <c:smooth val="0"/>
        </c:ser>
        <c:axId val="333"/>
        <c:axId val="444"/>
      </c:scatterChart>
      <c:valAx>
        <c:axId val="333"/>
        <c:scaling>
          <c:orientation val="minMax"/>
          <c:max val="18.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
      </c:valAx>
      <c:valAx>
        <c:axId val="444"/>
        <c:scaling>
          <c:orientation val="minMax"/>
          <c:max val="15.0"/>
          <c:min val="-1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Aktivlar rentabelligi (ROA),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Sheet1!$A$2:$A$18</c:f>
              <c:numCache>
                <c:formatCode>General</c:formatCode>
                <c:ptCount val="17"/>
                <c:pt idx="0">
                  <c:v>2021.0</c:v>
                </c:pt>
                <c:pt idx="1">
                  <c:v>2021.25</c:v>
                </c:pt>
                <c:pt idx="2">
                  <c:v>2021.5</c:v>
                </c:pt>
                <c:pt idx="3">
                  <c:v>2021.75</c:v>
                </c:pt>
                <c:pt idx="4">
                  <c:v>2022.0</c:v>
                </c:pt>
                <c:pt idx="5">
                  <c:v>2022.25</c:v>
                </c:pt>
                <c:pt idx="6">
                  <c:v>2022.5</c:v>
                </c:pt>
                <c:pt idx="7">
                  <c:v>2022.75</c:v>
                </c:pt>
                <c:pt idx="8">
                  <c:v>2023.0</c:v>
                </c:pt>
                <c:pt idx="9">
                  <c:v>2023.25</c:v>
                </c:pt>
                <c:pt idx="10">
                  <c:v>2023.5</c:v>
                </c:pt>
                <c:pt idx="11">
                  <c:v>2023.75</c:v>
                </c:pt>
                <c:pt idx="12">
                  <c:v>2024.0</c:v>
                </c:pt>
                <c:pt idx="13">
                  <c:v>2024.25</c:v>
                </c:pt>
                <c:pt idx="14">
                  <c:v>2024.5</c:v>
                </c:pt>
                <c:pt idx="15">
                  <c:v>2024.75</c:v>
                </c:pt>
                <c:pt idx="16">
                  <c:v>2025.0</c:v>
                </c:pt>
              </c:numCache>
            </c:numRef>
          </c:xVal>
          <c:yVal>
            <c:numRef>
              <c:f>Sheet1!$B$2:$B$18</c:f>
              <c:numCache>
                <c:formatCode>General</c:formatCode>
                <c:ptCount val="17"/>
                <c:pt idx="0">
                  <c:v>3.78</c:v>
                </c:pt>
                <c:pt idx="1">
                  <c:v>3.76</c:v>
                </c:pt>
                <c:pt idx="2">
                  <c:v>3.68</c:v>
                </c:pt>
                <c:pt idx="3">
                  <c:v>3.64</c:v>
                </c:pt>
                <c:pt idx="4">
                  <c:v>2.83</c:v>
                </c:pt>
                <c:pt idx="5">
                  <c:v>2.93</c:v>
                </c:pt>
                <c:pt idx="6">
                  <c:v>2.91</c:v>
                </c:pt>
                <c:pt idx="7">
                  <c:v>2.82</c:v>
                </c:pt>
                <c:pt idx="8">
                  <c:v>2.25</c:v>
                </c:pt>
                <c:pt idx="9">
                  <c:v>3.96</c:v>
                </c:pt>
                <c:pt idx="10">
                  <c:v>3.94</c:v>
                </c:pt>
                <c:pt idx="11">
                  <c:v>3.1</c:v>
                </c:pt>
                <c:pt idx="12">
                  <c:v>2.82</c:v>
                </c:pt>
                <c:pt idx="13">
                  <c:v>4.07</c:v>
                </c:pt>
                <c:pt idx="14">
                  <c:v>3.7</c:v>
                </c:pt>
                <c:pt idx="15">
                  <c:v>3.44</c:v>
                </c:pt>
                <c:pt idx="16">
                  <c:v>2.53</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Sheet1!$C$2:$C$14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Sheet1!$D$2:$D$14</c:f>
              <c:numCache>
                <c:formatCode>General</c:formatCode>
                <c:ptCount val="13"/>
                <c:pt idx="0">
                  <c:v>2.53</c:v>
                </c:pt>
                <c:pt idx="1">
                  <c:v>2.65</c:v>
                </c:pt>
                <c:pt idx="2">
                  <c:v>2.65</c:v>
                </c:pt>
                <c:pt idx="3">
                  <c:v>2.61</c:v>
                </c:pt>
                <c:pt idx="4">
                  <c:v>2.56</c:v>
                </c:pt>
                <c:pt idx="5">
                  <c:v>2.65</c:v>
                </c:pt>
                <c:pt idx="6">
                  <c:v>2.69</c:v>
                </c:pt>
                <c:pt idx="7">
                  <c:v>2.71</c:v>
                </c:pt>
                <c:pt idx="8">
                  <c:v>2.72</c:v>
                </c:pt>
                <c:pt idx="9">
                  <c:v>2.72</c:v>
                </c:pt>
                <c:pt idx="10">
                  <c:v>2.73</c:v>
                </c:pt>
                <c:pt idx="11">
                  <c:v>2.73</c:v>
                </c:pt>
                <c:pt idx="12">
                  <c:v>2.73</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Sheet1!$E$2:$E$14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Sheet1!$F$2:$F$14</c:f>
              <c:numCache>
                <c:formatCode>General</c:formatCode>
                <c:ptCount val="13"/>
                <c:pt idx="0">
                  <c:v>2.53</c:v>
                </c:pt>
                <c:pt idx="1">
                  <c:v>2.65</c:v>
                </c:pt>
                <c:pt idx="2">
                  <c:v>2.65</c:v>
                </c:pt>
                <c:pt idx="3">
                  <c:v>2.61</c:v>
                </c:pt>
                <c:pt idx="4">
                  <c:v>2.56</c:v>
                </c:pt>
                <c:pt idx="5">
                  <c:v>2.5</c:v>
                </c:pt>
                <c:pt idx="6">
                  <c:v>2.48</c:v>
                </c:pt>
                <c:pt idx="7">
                  <c:v>2.47</c:v>
                </c:pt>
                <c:pt idx="8">
                  <c:v>2.46</c:v>
                </c:pt>
                <c:pt idx="9">
                  <c:v>2.45</c:v>
                </c:pt>
                <c:pt idx="10">
                  <c:v>2.45</c:v>
                </c:pt>
                <c:pt idx="11">
                  <c:v>2.45</c:v>
                </c:pt>
                <c:pt idx="12">
                  <c:v>2.45</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Sheet1!$G$2:$G$14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Sheet1!$H$2:$H$14</c:f>
              <c:numCache>
                <c:formatCode>General</c:formatCode>
                <c:ptCount val="13"/>
                <c:pt idx="0">
                  <c:v>2.53</c:v>
                </c:pt>
                <c:pt idx="1">
                  <c:v>2.65</c:v>
                </c:pt>
                <c:pt idx="2">
                  <c:v>2.65</c:v>
                </c:pt>
                <c:pt idx="3">
                  <c:v>2.61</c:v>
                </c:pt>
                <c:pt idx="4">
                  <c:v>2.56</c:v>
                </c:pt>
                <c:pt idx="5">
                  <c:v>2.95</c:v>
                </c:pt>
                <c:pt idx="6">
                  <c:v>3.15</c:v>
                </c:pt>
                <c:pt idx="7">
                  <c:v>3.25</c:v>
                </c:pt>
                <c:pt idx="8">
                  <c:v>3.29</c:v>
                </c:pt>
                <c:pt idx="9">
                  <c:v>3.19</c:v>
                </c:pt>
                <c:pt idx="10">
                  <c:v>3.14</c:v>
                </c:pt>
                <c:pt idx="11">
                  <c:v>3.11</c:v>
                </c:pt>
                <c:pt idx="12">
                  <c:v>3.1</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Sheet1!$I$2:$I$14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Sheet1!$J$2:$J$14</c:f>
              <c:numCache>
                <c:formatCode>General</c:formatCode>
                <c:ptCount val="13"/>
                <c:pt idx="0">
                  <c:v>2.53</c:v>
                </c:pt>
                <c:pt idx="1">
                  <c:v>2.65</c:v>
                </c:pt>
                <c:pt idx="2">
                  <c:v>2.65</c:v>
                </c:pt>
                <c:pt idx="3">
                  <c:v>2.61</c:v>
                </c:pt>
                <c:pt idx="4">
                  <c:v>2.56</c:v>
                </c:pt>
                <c:pt idx="5">
                  <c:v>3.33</c:v>
                </c:pt>
                <c:pt idx="6">
                  <c:v>3.71</c:v>
                </c:pt>
                <c:pt idx="7">
                  <c:v>3.89</c:v>
                </c:pt>
                <c:pt idx="8">
                  <c:v>3.99</c:v>
                </c:pt>
                <c:pt idx="9">
                  <c:v>3.53</c:v>
                </c:pt>
                <c:pt idx="10">
                  <c:v>3.31</c:v>
                </c:pt>
                <c:pt idx="11">
                  <c:v>3.19</c:v>
                </c:pt>
                <c:pt idx="12">
                  <c:v>3.14</c:v>
                </c:pt>
              </c:numCache>
            </c:numRef>
          </c:yVal>
          <c:smooth val="0"/>
        </c:ser>
        <c:axId val="333"/>
        <c:axId val="444"/>
      </c:scatterChart>
      <c:valAx>
        <c:axId val="333"/>
        <c:scaling>
          <c:orientation val="minMax"/>
          <c:max val="2028.6"/>
          <c:min val="2021"/>
        </c:scaling>
        <c:delete val="0"/>
        <c:axPos val="b"/>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5.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Ulush,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Sheet1!$A$2:$A$18</c:f>
              <c:numCache>
                <c:formatCode>General</c:formatCode>
                <c:ptCount val="17"/>
                <c:pt idx="0">
                  <c:v>2021.0</c:v>
                </c:pt>
                <c:pt idx="1">
                  <c:v>2021.25</c:v>
                </c:pt>
                <c:pt idx="2">
                  <c:v>2021.5</c:v>
                </c:pt>
                <c:pt idx="3">
                  <c:v>2021.75</c:v>
                </c:pt>
                <c:pt idx="4">
                  <c:v>2022.0</c:v>
                </c:pt>
                <c:pt idx="5">
                  <c:v>2022.25</c:v>
                </c:pt>
                <c:pt idx="6">
                  <c:v>2022.5</c:v>
                </c:pt>
                <c:pt idx="7">
                  <c:v>2022.75</c:v>
                </c:pt>
                <c:pt idx="8">
                  <c:v>2023.0</c:v>
                </c:pt>
                <c:pt idx="9">
                  <c:v>2023.25</c:v>
                </c:pt>
                <c:pt idx="10">
                  <c:v>2023.5</c:v>
                </c:pt>
                <c:pt idx="11">
                  <c:v>2023.75</c:v>
                </c:pt>
                <c:pt idx="12">
                  <c:v>2024.0</c:v>
                </c:pt>
                <c:pt idx="13">
                  <c:v>2024.25</c:v>
                </c:pt>
                <c:pt idx="14">
                  <c:v>2024.5</c:v>
                </c:pt>
                <c:pt idx="15">
                  <c:v>2024.75</c:v>
                </c:pt>
                <c:pt idx="16">
                  <c:v>2025.0</c:v>
                </c:pt>
              </c:numCache>
            </c:numRef>
          </c:xVal>
          <c:yVal>
            <c:numRef>
              <c:f>Sheet1!$B$2:$B$18</c:f>
              <c:numCache>
                <c:formatCode>General</c:formatCode>
                <c:ptCount val="17"/>
                <c:pt idx="0">
                  <c:v>5.94</c:v>
                </c:pt>
                <c:pt idx="1">
                  <c:v>5.97</c:v>
                </c:pt>
                <c:pt idx="2">
                  <c:v>5.91</c:v>
                </c:pt>
                <c:pt idx="3">
                  <c:v>5.57</c:v>
                </c:pt>
                <c:pt idx="4">
                  <c:v>4.77</c:v>
                </c:pt>
                <c:pt idx="5">
                  <c:v>5.36</c:v>
                </c:pt>
                <c:pt idx="6">
                  <c:v>5.18</c:v>
                </c:pt>
                <c:pt idx="7">
                  <c:v>5.14</c:v>
                </c:pt>
                <c:pt idx="8">
                  <c:v>5.99</c:v>
                </c:pt>
                <c:pt idx="9">
                  <c:v>6.7</c:v>
                </c:pt>
                <c:pt idx="10">
                  <c:v>6.81</c:v>
                </c:pt>
                <c:pt idx="11">
                  <c:v>6.7</c:v>
                </c:pt>
                <c:pt idx="12">
                  <c:v>4.62</c:v>
                </c:pt>
                <c:pt idx="13">
                  <c:v>6.61</c:v>
                </c:pt>
                <c:pt idx="14">
                  <c:v>6.01</c:v>
                </c:pt>
                <c:pt idx="15">
                  <c:v>4.91</c:v>
                </c:pt>
                <c:pt idx="16">
                  <c:v>4.41</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Sheet1!$C$2:$C$14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Sheet1!$D$2:$D$14</c:f>
              <c:numCache>
                <c:formatCode>General</c:formatCode>
                <c:ptCount val="13"/>
                <c:pt idx="0">
                  <c:v>4.41</c:v>
                </c:pt>
                <c:pt idx="1">
                  <c:v>4.62</c:v>
                </c:pt>
                <c:pt idx="2">
                  <c:v>4.62</c:v>
                </c:pt>
                <c:pt idx="3">
                  <c:v>4.54</c:v>
                </c:pt>
                <c:pt idx="4">
                  <c:v>4.47</c:v>
                </c:pt>
                <c:pt idx="5">
                  <c:v>4.62</c:v>
                </c:pt>
                <c:pt idx="6">
                  <c:v>4.69</c:v>
                </c:pt>
                <c:pt idx="7">
                  <c:v>4.72</c:v>
                </c:pt>
                <c:pt idx="8">
                  <c:v>4.75</c:v>
                </c:pt>
                <c:pt idx="9">
                  <c:v>4.75</c:v>
                </c:pt>
                <c:pt idx="10">
                  <c:v>4.76</c:v>
                </c:pt>
                <c:pt idx="11">
                  <c:v>4.76</c:v>
                </c:pt>
                <c:pt idx="12">
                  <c:v>4.76</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Sheet1!$E$2:$E$14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Sheet1!$F$2:$F$14</c:f>
              <c:numCache>
                <c:formatCode>General</c:formatCode>
                <c:ptCount val="13"/>
                <c:pt idx="0">
                  <c:v>4.41</c:v>
                </c:pt>
                <c:pt idx="1">
                  <c:v>4.62</c:v>
                </c:pt>
                <c:pt idx="2">
                  <c:v>4.62</c:v>
                </c:pt>
                <c:pt idx="3">
                  <c:v>4.54</c:v>
                </c:pt>
                <c:pt idx="4">
                  <c:v>4.47</c:v>
                </c:pt>
                <c:pt idx="5">
                  <c:v>4.37</c:v>
                </c:pt>
                <c:pt idx="6">
                  <c:v>4.32</c:v>
                </c:pt>
                <c:pt idx="7">
                  <c:v>4.31</c:v>
                </c:pt>
                <c:pt idx="8">
                  <c:v>4.29</c:v>
                </c:pt>
                <c:pt idx="9">
                  <c:v>4.28</c:v>
                </c:pt>
                <c:pt idx="10">
                  <c:v>4.28</c:v>
                </c:pt>
                <c:pt idx="11">
                  <c:v>4.28</c:v>
                </c:pt>
                <c:pt idx="12">
                  <c:v>4.28</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Sheet1!$G$2:$G$14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Sheet1!$H$2:$H$14</c:f>
              <c:numCache>
                <c:formatCode>General</c:formatCode>
                <c:ptCount val="13"/>
                <c:pt idx="0">
                  <c:v>4.41</c:v>
                </c:pt>
                <c:pt idx="1">
                  <c:v>4.62</c:v>
                </c:pt>
                <c:pt idx="2">
                  <c:v>4.62</c:v>
                </c:pt>
                <c:pt idx="3">
                  <c:v>4.54</c:v>
                </c:pt>
                <c:pt idx="4">
                  <c:v>4.47</c:v>
                </c:pt>
                <c:pt idx="5">
                  <c:v>5.15</c:v>
                </c:pt>
                <c:pt idx="6">
                  <c:v>5.49</c:v>
                </c:pt>
                <c:pt idx="7">
                  <c:v>5.66</c:v>
                </c:pt>
                <c:pt idx="8">
                  <c:v>5.74</c:v>
                </c:pt>
                <c:pt idx="9">
                  <c:v>5.56</c:v>
                </c:pt>
                <c:pt idx="10">
                  <c:v>5.47</c:v>
                </c:pt>
                <c:pt idx="11">
                  <c:v>5.43</c:v>
                </c:pt>
                <c:pt idx="12">
                  <c:v>5.4</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Sheet1!$I$2:$I$14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Sheet1!$J$2:$J$14</c:f>
              <c:numCache>
                <c:formatCode>General</c:formatCode>
                <c:ptCount val="13"/>
                <c:pt idx="0">
                  <c:v>4.41</c:v>
                </c:pt>
                <c:pt idx="1">
                  <c:v>4.62</c:v>
                </c:pt>
                <c:pt idx="2">
                  <c:v>4.62</c:v>
                </c:pt>
                <c:pt idx="3">
                  <c:v>4.54</c:v>
                </c:pt>
                <c:pt idx="4">
                  <c:v>4.47</c:v>
                </c:pt>
                <c:pt idx="5">
                  <c:v>5.8</c:v>
                </c:pt>
                <c:pt idx="6">
                  <c:v>6.46</c:v>
                </c:pt>
                <c:pt idx="7">
                  <c:v>6.78</c:v>
                </c:pt>
                <c:pt idx="8">
                  <c:v>6.95</c:v>
                </c:pt>
                <c:pt idx="9">
                  <c:v>6.15</c:v>
                </c:pt>
                <c:pt idx="10">
                  <c:v>5.77</c:v>
                </c:pt>
                <c:pt idx="11">
                  <c:v>5.56</c:v>
                </c:pt>
                <c:pt idx="12">
                  <c:v>5.47</c:v>
                </c:pt>
              </c:numCache>
            </c:numRef>
          </c:yVal>
          <c:smooth val="0"/>
        </c:ser>
        <c:axId val="333"/>
        <c:axId val="444"/>
      </c:scatterChart>
      <c:valAx>
        <c:axId val="333"/>
        <c:scaling>
          <c:orientation val="minMax"/>
          <c:max val="2028.6"/>
          <c:min val="2021"/>
        </c:scaling>
        <c:delete val="0"/>
        <c:axPos val="b"/>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8.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Ulush,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Sheet1!$A$2:$A$18</c:f>
              <c:numCache>
                <c:formatCode>General</c:formatCode>
                <c:ptCount val="17"/>
                <c:pt idx="0">
                  <c:v>2021.0</c:v>
                </c:pt>
                <c:pt idx="1">
                  <c:v>2021.25</c:v>
                </c:pt>
                <c:pt idx="2">
                  <c:v>2021.5</c:v>
                </c:pt>
                <c:pt idx="3">
                  <c:v>2021.75</c:v>
                </c:pt>
                <c:pt idx="4">
                  <c:v>2022.0</c:v>
                </c:pt>
                <c:pt idx="5">
                  <c:v>2022.25</c:v>
                </c:pt>
                <c:pt idx="6">
                  <c:v>2022.5</c:v>
                </c:pt>
                <c:pt idx="7">
                  <c:v>2022.75</c:v>
                </c:pt>
                <c:pt idx="8">
                  <c:v>2023.0</c:v>
                </c:pt>
                <c:pt idx="9">
                  <c:v>2023.25</c:v>
                </c:pt>
                <c:pt idx="10">
                  <c:v>2023.5</c:v>
                </c:pt>
                <c:pt idx="11">
                  <c:v>2023.75</c:v>
                </c:pt>
                <c:pt idx="12">
                  <c:v>2024.0</c:v>
                </c:pt>
                <c:pt idx="13">
                  <c:v>2024.25</c:v>
                </c:pt>
                <c:pt idx="14">
                  <c:v>2024.5</c:v>
                </c:pt>
                <c:pt idx="15">
                  <c:v>2024.75</c:v>
                </c:pt>
                <c:pt idx="16">
                  <c:v>2025.0</c:v>
                </c:pt>
              </c:numCache>
            </c:numRef>
          </c:xVal>
          <c:yVal>
            <c:numRef>
              <c:f>Sheet1!$B$2:$B$18</c:f>
              <c:numCache>
                <c:formatCode>General</c:formatCode>
                <c:ptCount val="17"/>
                <c:pt idx="0">
                  <c:v>4.05</c:v>
                </c:pt>
                <c:pt idx="1">
                  <c:v>3.36</c:v>
                </c:pt>
                <c:pt idx="2">
                  <c:v>3.18</c:v>
                </c:pt>
                <c:pt idx="3">
                  <c:v>3.24</c:v>
                </c:pt>
                <c:pt idx="4">
                  <c:v>2.03</c:v>
                </c:pt>
                <c:pt idx="5">
                  <c:v>1.78</c:v>
                </c:pt>
                <c:pt idx="6">
                  <c:v>1.47</c:v>
                </c:pt>
                <c:pt idx="7">
                  <c:v>2.38</c:v>
                </c:pt>
                <c:pt idx="8">
                  <c:v>1.52</c:v>
                </c:pt>
                <c:pt idx="9">
                  <c:v>3.99</c:v>
                </c:pt>
                <c:pt idx="10">
                  <c:v>4.09</c:v>
                </c:pt>
                <c:pt idx="11">
                  <c:v>2.81</c:v>
                </c:pt>
                <c:pt idx="12">
                  <c:v>1.87</c:v>
                </c:pt>
                <c:pt idx="13">
                  <c:v>2.57</c:v>
                </c:pt>
                <c:pt idx="14">
                  <c:v>2.42</c:v>
                </c:pt>
                <c:pt idx="15">
                  <c:v>2.37</c:v>
                </c:pt>
                <c:pt idx="16">
                  <c:v>2.54</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Sheet1!$C$2:$C$14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Sheet1!$D$2:$D$14</c:f>
              <c:numCache>
                <c:formatCode>General</c:formatCode>
                <c:ptCount val="13"/>
                <c:pt idx="0">
                  <c:v>2.54</c:v>
                </c:pt>
                <c:pt idx="1">
                  <c:v>2.66</c:v>
                </c:pt>
                <c:pt idx="2">
                  <c:v>2.66</c:v>
                </c:pt>
                <c:pt idx="3">
                  <c:v>2.61</c:v>
                </c:pt>
                <c:pt idx="4">
                  <c:v>2.57</c:v>
                </c:pt>
                <c:pt idx="5">
                  <c:v>2.66</c:v>
                </c:pt>
                <c:pt idx="6">
                  <c:v>2.7</c:v>
                </c:pt>
                <c:pt idx="7">
                  <c:v>2.72</c:v>
                </c:pt>
                <c:pt idx="8">
                  <c:v>2.73</c:v>
                </c:pt>
                <c:pt idx="9">
                  <c:v>2.73</c:v>
                </c:pt>
                <c:pt idx="10">
                  <c:v>2.74</c:v>
                </c:pt>
                <c:pt idx="11">
                  <c:v>2.74</c:v>
                </c:pt>
                <c:pt idx="12">
                  <c:v>2.74</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Sheet1!$E$2:$E$14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Sheet1!$F$2:$F$14</c:f>
              <c:numCache>
                <c:formatCode>General</c:formatCode>
                <c:ptCount val="13"/>
                <c:pt idx="0">
                  <c:v>2.54</c:v>
                </c:pt>
                <c:pt idx="1">
                  <c:v>2.66</c:v>
                </c:pt>
                <c:pt idx="2">
                  <c:v>2.66</c:v>
                </c:pt>
                <c:pt idx="3">
                  <c:v>2.61</c:v>
                </c:pt>
                <c:pt idx="4">
                  <c:v>2.57</c:v>
                </c:pt>
                <c:pt idx="5">
                  <c:v>2.51</c:v>
                </c:pt>
                <c:pt idx="6">
                  <c:v>2.49</c:v>
                </c:pt>
                <c:pt idx="7">
                  <c:v>2.48</c:v>
                </c:pt>
                <c:pt idx="8">
                  <c:v>2.47</c:v>
                </c:pt>
                <c:pt idx="9">
                  <c:v>2.46</c:v>
                </c:pt>
                <c:pt idx="10">
                  <c:v>2.46</c:v>
                </c:pt>
                <c:pt idx="11">
                  <c:v>2.46</c:v>
                </c:pt>
                <c:pt idx="12">
                  <c:v>2.46</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Sheet1!$G$2:$G$14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Sheet1!$H$2:$H$14</c:f>
              <c:numCache>
                <c:formatCode>General</c:formatCode>
                <c:ptCount val="13"/>
                <c:pt idx="0">
                  <c:v>2.54</c:v>
                </c:pt>
                <c:pt idx="1">
                  <c:v>2.66</c:v>
                </c:pt>
                <c:pt idx="2">
                  <c:v>2.66</c:v>
                </c:pt>
                <c:pt idx="3">
                  <c:v>2.61</c:v>
                </c:pt>
                <c:pt idx="4">
                  <c:v>2.57</c:v>
                </c:pt>
                <c:pt idx="5">
                  <c:v>2.96</c:v>
                </c:pt>
                <c:pt idx="6">
                  <c:v>3.16</c:v>
                </c:pt>
                <c:pt idx="7">
                  <c:v>3.26</c:v>
                </c:pt>
                <c:pt idx="8">
                  <c:v>3.3</c:v>
                </c:pt>
                <c:pt idx="9">
                  <c:v>3.2</c:v>
                </c:pt>
                <c:pt idx="10">
                  <c:v>3.15</c:v>
                </c:pt>
                <c:pt idx="11">
                  <c:v>3.12</c:v>
                </c:pt>
                <c:pt idx="12">
                  <c:v>3.11</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Sheet1!$I$2:$I$14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Sheet1!$J$2:$J$14</c:f>
              <c:numCache>
                <c:formatCode>General</c:formatCode>
                <c:ptCount val="13"/>
                <c:pt idx="0">
                  <c:v>2.54</c:v>
                </c:pt>
                <c:pt idx="1">
                  <c:v>2.66</c:v>
                </c:pt>
                <c:pt idx="2">
                  <c:v>2.66</c:v>
                </c:pt>
                <c:pt idx="3">
                  <c:v>2.61</c:v>
                </c:pt>
                <c:pt idx="4">
                  <c:v>2.57</c:v>
                </c:pt>
                <c:pt idx="5">
                  <c:v>3.34</c:v>
                </c:pt>
                <c:pt idx="6">
                  <c:v>3.72</c:v>
                </c:pt>
                <c:pt idx="7">
                  <c:v>3.9</c:v>
                </c:pt>
                <c:pt idx="8">
                  <c:v>4.0</c:v>
                </c:pt>
                <c:pt idx="9">
                  <c:v>3.54</c:v>
                </c:pt>
                <c:pt idx="10">
                  <c:v>3.32</c:v>
                </c:pt>
                <c:pt idx="11">
                  <c:v>3.2</c:v>
                </c:pt>
                <c:pt idx="12">
                  <c:v>3.15</c:v>
                </c:pt>
              </c:numCache>
            </c:numRef>
          </c:yVal>
          <c:smooth val="0"/>
        </c:ser>
        <c:axId val="333"/>
        <c:axId val="444"/>
      </c:scatterChart>
      <c:valAx>
        <c:axId val="333"/>
        <c:scaling>
          <c:orientation val="minMax"/>
          <c:max val="2028.6"/>
          <c:min val="2021"/>
        </c:scaling>
        <c:delete val="0"/>
        <c:axPos val="b"/>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5.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Ulush,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