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637944ed30af1a5c7e12bfca1a7866b67ed51e5"/>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2.2-§. Oʻzbekiston bank tizimida moliyaviy barqarorlik koʻrsatkichlari dinamikasining xalqaro standartlar mezonlari boʻyicha tahlili</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paragrafda O‘zbekistonda banklar moliyaviy barqarorligini baholash tizimining tuzilishi va uni xalqaro standartlarga moslashtirish muammolari ko‘rib chiqildi. Endi ushbu tizim natijalarini, ya’ni bank tizimi va alohida banklarning moliyaviy barqarorlik ko‘rsatkichlarini 2021–2025-yillar dinamikasida tahlil qilish lozim. Tahlil Xalqaro valyuta jamg‘armasining moliyaviy barqarorlik ko‘rsatkichlari tuzilmasi asosida kapital yetarliligi, aktivlar sifati, daromadlilik va likvidlik yo‘nalishlarida olib borildi</w:t>
      </w:r>
      <w:r>
        <w:rPr>
          <w:rStyle w:val="FootnoteReference"/>
        </w:rPr>
        <w:footnoteReference w:id="20"/>
      </w:r>
      <w:r>
        <w:rPr>
          <w:rFonts w:ascii="Times New Roman" w:hAnsi="Times New Roman" w:cs="Times New Roman" w:eastAsia="Times New Roman"/>
          <w:sz w:val="28"/>
        </w:rPr>
        <w:t xml:space="preserve">, har bir ko‘rsatkich esa milliy talablar bilan bir qatorda Bazel III, XVJ va CAMELS tizimida qo‘llanadigan xalqaro mezonlar bilan solishtirildi.</w:t>
      </w:r>
    </w:p>
    <w:p>
      <w:pPr>
        <w:pStyle w:val="BodyText"/>
        <w:spacing w:line="360" w:lineRule="auto" w:before="0" w:after="0"/>
        <w:ind w:firstLine="709"/>
        <w:jc w:val="both"/>
      </w:pPr>
      <w:r>
        <w:rPr>
          <w:rFonts w:ascii="Times New Roman" w:hAnsi="Times New Roman" w:cs="Times New Roman" w:eastAsia="Times New Roman"/>
          <w:sz w:val="28"/>
        </w:rPr>
        <w:t xml:space="preserve">Tahlil ikki darajada amalga oshirildi. Bank tizimi darajasida Markaziy bankning statistik byulleteni va moliyaviy barqarorlik sharhlari hamda XVJ va Jahon bankining 2024–2025-yillarda o‘tkazilgan moliya sektorini baholash dasturi materiallari asos qilib olindi. Alohida banklar darajasida esa tizimli ahamiyatga ega ikki davlat banki – «O‘zsanoatqurilishbank» ATB va «Mikrokreditbank» ATB ning Markaziy bankka taqdim etilgan prudensial hisobot shakllari tahlil qilindi</w:t>
      </w:r>
      <w:r>
        <w:rPr>
          <w:rStyle w:val="FootnoteReference"/>
        </w:rPr>
        <w:footnoteReference w:id="21"/>
      </w:r>
      <w:r>
        <w:rPr>
          <w:rStyle w:val="FootnoteReference"/>
        </w:rPr>
        <w:footnoteReference w:id="22"/>
      </w:r>
      <w:r>
        <w:rPr>
          <w:rFonts w:ascii="Times New Roman" w:hAnsi="Times New Roman" w:cs="Times New Roman" w:eastAsia="Times New Roman"/>
          <w:sz w:val="28"/>
        </w:rPr>
        <w:t xml:space="preserve">. Bu banklarning tanlanishi tasodifiy emas: birinchisi yirik korporativ va infratuzilma loyihalarini moliyalashtiruvchi universal bank bo‘lsa, ikkinchisi davlat dasturlari doirasida mikrokreditlash va ijtimoiy yo‘naltirilgan kreditlash vazifasini bajaradi. Shu sababli ular davlat banklari faoliyatining ikki xil modelini aks ettiradi.</w:t>
      </w:r>
    </w:p>
    <w:p>
      <w:pPr>
        <w:pStyle w:val="BodyText"/>
        <w:spacing w:line="360" w:lineRule="auto" w:before="0" w:after="0"/>
        <w:ind w:firstLine="709"/>
        <w:jc w:val="both"/>
      </w:pPr>
      <w:r>
        <w:rPr>
          <w:rFonts w:ascii="Times New Roman" w:hAnsi="Times New Roman" w:cs="Times New Roman" w:eastAsia="Times New Roman"/>
          <w:sz w:val="28"/>
        </w:rPr>
        <w:t xml:space="preserve">Tahlilni avvalo bank tizimining umumiy tavsifidan boshlash maqsadga muvofiq. O‘zbekiston bank tizimi so‘nggi yillarda jadal o‘sdi. 2017-yildan keyin kreditlar yiliga 50–60 foiz sur’atda o‘sgan bo‘lsa, 2020-yilda bu sur’at 31 foizgacha, 2021-yilda esa 18 foizgacha sekinlashdi</w:t>
      </w:r>
      <w:r>
        <w:rPr>
          <w:rStyle w:val="FootnoteReference"/>
        </w:rPr>
        <w:footnoteReference w:id="23"/>
      </w:r>
      <w:r>
        <w:rPr>
          <w:rFonts w:ascii="Times New Roman" w:hAnsi="Times New Roman" w:cs="Times New Roman" w:eastAsia="Times New Roman"/>
          <w:sz w:val="28"/>
        </w:rPr>
        <w:t xml:space="preserve">. 2023-yil oxirida bank tizimi aktivlari yalpi ichki mahsulotning 55 foiziga, kreditlar esa 40 foiziga teng bo‘lgan</w:t>
      </w:r>
      <w:r>
        <w:rPr>
          <w:rStyle w:val="FootnoteReference"/>
        </w:rPr>
        <w:footnoteReference w:id="24"/>
      </w:r>
      <w:r>
        <w:rPr>
          <w:rFonts w:ascii="Times New Roman" w:hAnsi="Times New Roman" w:cs="Times New Roman" w:eastAsia="Times New Roman"/>
          <w:sz w:val="28"/>
        </w:rPr>
        <w:t xml:space="preserve">, 2026-yil 1-yanvar holatiga esa tijorat banklari aktivlari 924,8 trln so‘mni, kreditlari 604 trln so‘mni tashkil etgan</w:t>
      </w:r>
      <w:r>
        <w:rPr>
          <w:rStyle w:val="FootnoteReference"/>
        </w:rPr>
        <w:footnoteReference w:id="25"/>
      </w:r>
      <w:r>
        <w:rPr>
          <w:rFonts w:ascii="Times New Roman" w:hAnsi="Times New Roman" w:cs="Times New Roman" w:eastAsia="Times New Roman"/>
          <w:sz w:val="28"/>
        </w:rPr>
        <w:t xml:space="preserve">. Bank tizimining muhim tuzilmaviy xususiyati davlat ulushining yuqoriligidir. Davlat ulushi mavjud banklarning jami aktivlardagi ulushi 2021-yil oxirida 81,5 foizni tashkil etgan bo‘lsa, 2022-yilda 78,2 foizgacha, 2023-yilda esa 67,7 foizgacha keskin pasaygan va 2025-yil oxirida 63,5 foizni tashkil etgan. Shu davrda ularning kreditlardagi ulushi 85,8 foizdan 67,0 foizgacha, depozitlardagi ulushi esa 66,7 foizdan 51,0 foizgacha kamaygan</w:t>
      </w:r>
      <w:r>
        <w:rPr>
          <w:rStyle w:val="FootnoteReference"/>
        </w:rPr>
        <w:footnoteReference w:id="26"/>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(2.2.1-rasm).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1" name="2.2.1-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2.2.1-rasm. Davlat ulushi mavjud banklarning bank tizimidagi ulushi, %</w:t>
      </w:r>
      <w:r>
        <w:rPr>
          <w:rStyle w:val="FootnoteReference"/>
        </w:rPr>
        <w:footnoteReference w:id="27"/>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davlat banklari ulushi barcha uch ko‘rsatkich bo‘yicha izchil kamayib bormoqda, eng katta pasayish esa 2023-yilga to‘g‘ri keladi, biroq ular hali ham tizimda ustun mavqega ega. E’tiborli jihati shundaki, davlat banklarining kreditlardagi ulushi depozitlardagi ulushidan har yili 16–21 foiz punkt yuqori bo‘lgan, ya’ni ular kreditlashni mijozlar depozitlaridan ko‘ra ko‘proq qarz mablag‘lari hisobidan amalga oshiradi. Bu holat moliyaviy barqarorlik ko‘rsatkichlarini talqin qilishda albatta hisobga olinishi kerak. XVJ ta’kidlashicha, davlat banklari imtiyozli va yo‘naltirilgan kreditlashda katta rol o‘ynaydi va aynan shu segmentlarda aktivlar sifati to‘g‘risidagi hisobotlarda kamsitib ko‘rsatish holatlari ko‘proq uchraydi</w:t>
      </w:r>
      <w:r>
        <w:rPr>
          <w:rStyle w:val="FootnoteReference"/>
        </w:rPr>
        <w:footnoteReference w:id="28"/>
      </w:r>
      <w:r>
        <w:rPr>
          <w:rFonts w:ascii="Times New Roman" w:hAnsi="Times New Roman" w:cs="Times New Roman" w:eastAsia="Times New Roman"/>
          <w:sz w:val="28"/>
        </w:rPr>
        <w:t xml:space="preserve">. Bank tizimining XVJ tuzilmasi bo‘yicha asosiy ko‘rsatkichlari Markaziy bankning statistik byulleteni ma’lumotlari asosida 2.2.1-jadvalda umumlashtirildi.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2.2.1-jadval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O‘zbekiston bank tizimining moliyaviy barqarorlik ko‘rsatkichlari, yil oxiriga, %</w:t>
      </w:r>
      <w:r>
        <w:rPr>
          <w:rStyle w:val="FootnoteReference"/>
        </w:rPr>
        <w:footnoteReference w:id="29"/>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1179"/>
        <w:gridCol w:w="1179"/>
        <w:gridCol w:w="1179"/>
        <w:gridCol w:w="1179"/>
        <w:gridCol w:w="1179"/>
      </w:tblGrid>
      <w:tr>
        <w:trPr>
          <w:tblHeader w:val="true"/>
          <w:cantSplit/>
          <w:tblHeader/>
        </w:trPr>
        <w:tc>
          <w:tcPr>
            <w:tcW w:type="dxa" w:w="340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2021</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2022</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2023</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2024</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2025</w:t>
            </w:r>
          </w:p>
        </w:tc>
      </w:tr>
      <w:tr>
        <w:trPr>
          <w:cantSplit/>
        </w:trPr>
        <w:tc>
          <w:tcPr>
            <w:tcW w:type="dxa" w:w="3402"/>
          </w:tcPr>
          <w:p>
            <w:pPr>
              <w:pStyle w:val="Compact"/>
              <w:spacing w:line="240" w:lineRule="auto"/>
              <w:ind w:firstLine="0"/>
              <w:jc w:val="left"/>
            </w:pPr>
            <w:r>
              <w:rPr>
                <w:iCs/>
                <w:rFonts w:ascii="Times New Roman" w:hAnsi="Times New Roman" w:cs="Times New Roman" w:eastAsia="Times New Roman"/>
                <w:i/>
                <w:sz w:val="22"/>
              </w:rPr>
              <w:t xml:space="preserve">Kapital yetarliligi</w:t>
            </w: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Regulyativ kapital monandligi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18,3</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I darajali kapital monandligi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I darajali asosiy kapital (CET1) monandligi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14,7</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I darajali kapitalning jami aktivlarga nisbati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13,5</w:t>
            </w:r>
          </w:p>
        </w:tc>
      </w:tr>
      <w:tr>
        <w:trPr>
          <w:cantSplit/>
        </w:trPr>
        <w:tc>
          <w:tcPr>
            <w:tcW w:type="dxa" w:w="3402"/>
          </w:tcPr>
          <w:p>
            <w:pPr>
              <w:pStyle w:val="Compact"/>
              <w:spacing w:line="240" w:lineRule="auto"/>
              <w:ind w:firstLine="0"/>
              <w:jc w:val="left"/>
            </w:pPr>
            <w:r>
              <w:rPr>
                <w:iCs/>
                <w:rFonts w:ascii="Times New Roman" w:hAnsi="Times New Roman" w:cs="Times New Roman" w:eastAsia="Times New Roman"/>
                <w:i/>
                <w:sz w:val="22"/>
              </w:rPr>
              <w:t xml:space="preserve">Aktivlar sifati</w:t>
            </w: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Muammoli kreditlar ulushi, jami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shundan, davlat ulushi mavjud banklarda</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shundan, boshqa banklarda</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2,6</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Substandart va muammoli kreditlar ulushi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Maxsus zaxiralarning muammoli kreditlarga nisbati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45,9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46,6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36,7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45,5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52,6</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Zaxiralar chegirilgan muammoli kreditlarning kapitalga nisbati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5,7</w:t>
            </w:r>
          </w:p>
        </w:tc>
      </w:tr>
      <w:tr>
        <w:trPr>
          <w:cantSplit/>
        </w:trPr>
        <w:tc>
          <w:tcPr>
            <w:tcW w:type="dxa" w:w="3402"/>
          </w:tcPr>
          <w:p>
            <w:pPr>
              <w:pStyle w:val="Compact"/>
              <w:spacing w:line="240" w:lineRule="auto"/>
              <w:ind w:firstLine="0"/>
              <w:jc w:val="left"/>
            </w:pPr>
            <w:r>
              <w:rPr>
                <w:iCs/>
                <w:rFonts w:ascii="Times New Roman" w:hAnsi="Times New Roman" w:cs="Times New Roman" w:eastAsia="Times New Roman"/>
                <w:i/>
                <w:sz w:val="22"/>
              </w:rPr>
              <w:t xml:space="preserve">Daromadlilik</w:t>
            </w: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Aktivlar rentabelligi (soliq to‘lagunga qadar)</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Kapital rentabelligi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12,4</w:t>
            </w:r>
          </w:p>
        </w:tc>
      </w:tr>
      <w:tr>
        <w:trPr>
          <w:cantSplit/>
        </w:trPr>
        <w:tc>
          <w:tcPr>
            <w:tcW w:type="dxa" w:w="3402"/>
          </w:tcPr>
          <w:p>
            <w:pPr>
              <w:pStyle w:val="Compact"/>
              <w:spacing w:line="240" w:lineRule="auto"/>
              <w:ind w:firstLine="0"/>
              <w:jc w:val="left"/>
            </w:pPr>
            <w:r>
              <w:rPr>
                <w:iCs/>
                <w:rFonts w:ascii="Times New Roman" w:hAnsi="Times New Roman" w:cs="Times New Roman" w:eastAsia="Times New Roman"/>
                <w:i/>
                <w:sz w:val="22"/>
              </w:rPr>
              <w:t xml:space="preserve">Likvidlik va moliyalashtirish tuzilmasi</w:t>
            </w: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Likvidlikni qoplash koeffitsiyenti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189,6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211,6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164,8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193,8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207,5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Sof barqaror moliyalashtirish me’yori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115,4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115,6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111,8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115,3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119,9</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Yuqori likvid aktivlarning jami aktivlarga nisbati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21,1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Mijozlar depozitlarining jami kreditlarga nisbati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42,2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47,8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46,9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53,6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63,3</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Xorijiy valyutadagi kreditlar ulushi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49,2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46,7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44,1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42,0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38,4</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 – byulletenda ma’lumot berilmagan.</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bank tizimining umumiy holatini ijobiy baholash imkonini beradi: kapital va likvidlik ko‘rsatkichlari regulyativ va xalqaro minimumlardan barqaror yuqori, rasmiy muammoli kreditlar ulushi 2021-yildagi 5,2 foizdan 2025-yilda 3 foizgacha pasaygan, depozitlar bilan moliyalashtirish darajasi oshib, xorijiy valyutadagi kreditlar ulushi esa 49,2 foizdan 38,4 foizgacha kamaygan. Biroq ko‘rsatkichlarni chuqurroq tahlil qilish bu umumiy manzara ortida muhim risklar yashiringanini ko‘rsatadi.</w:t>
      </w:r>
    </w:p>
    <w:p>
      <w:pPr>
        <w:pStyle w:val="BodyText"/>
        <w:spacing w:line="360" w:lineRule="auto" w:before="0" w:after="0"/>
        <w:ind w:firstLine="709"/>
        <w:jc w:val="both"/>
      </w:pPr>
      <w:r>
        <w:rPr>
          <w:rFonts w:ascii="Times New Roman" w:hAnsi="Times New Roman" w:cs="Times New Roman" w:eastAsia="Times New Roman"/>
          <w:sz w:val="28"/>
        </w:rPr>
        <w:t xml:space="preserve">Bu risklarni kapital yetarliligidan boshlab ko‘rib chiqamiz. Bank tizimining regulyativ kapital monandligi 2021–2025-yillarda 17,4–18,3 foiz oralig‘ida bo‘lib, 13 foizlik regulyativ minimumdan barqaror yuqori turdi, I darajali asosiy kapital monandligi esa 14,1–14,7 foizni tashkil etdi</w:t>
      </w:r>
      <w:r>
        <w:rPr>
          <w:rStyle w:val="FootnoteReference"/>
        </w:rPr>
        <w:footnoteReference w:id="30"/>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(2.2.2-rasm).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2" name="2.2.2-rasm"/>
            <wp:cNvGraphicFramePr/>
            <a:graphic>
              <a:graphicData uri="http://schemas.openxmlformats.org/drawingml/2006/chart">
                <c:chart r:id="rId1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2.2.2-rasm. O‘zbekiston bank tizimida kapital yetarliligi ko‘rsatkichlari dinamikasi, %</w:t>
      </w:r>
      <w:r>
        <w:rPr>
          <w:rStyle w:val="FootnoteReference"/>
        </w:rPr>
        <w:footnoteReference w:id="31"/>
      </w:r>
    </w:p>
    <w:p>
      <w:pPr>
        <w:pStyle w:val="BodyText"/>
        <w:spacing w:line="360" w:lineRule="auto" w:before="0" w:after="0"/>
        <w:ind w:firstLine="709"/>
        <w:jc w:val="both"/>
      </w:pPr>
      <w:r>
        <w:rPr>
          <w:rFonts w:ascii="Times New Roman" w:hAnsi="Times New Roman" w:cs="Times New Roman" w:eastAsia="Times New Roman"/>
          <w:sz w:val="28"/>
        </w:rPr>
        <w:t xml:space="preserve">Xalqaro mezonlar nuqtai nazaridan bu ko‘rsatkichlar yuqori: Bazel III da jami kapital uchun 8 foiz, konservatsiya buferi bilan 10,5 foiz, asosiy kapital uchun esa 4,5 foiz minimum belgilangan</w:t>
      </w:r>
      <w:r>
        <w:rPr>
          <w:rStyle w:val="FootnoteReference"/>
        </w:rPr>
        <w:footnoteReference w:id="32"/>
      </w:r>
      <w:r>
        <w:rPr>
          <w:rFonts w:ascii="Times New Roman" w:hAnsi="Times New Roman" w:cs="Times New Roman" w:eastAsia="Times New Roman"/>
          <w:sz w:val="28"/>
        </w:rPr>
        <w:t xml:space="preserve">. CAMELS tizimida eng yuqori, ya’ni 1-reyting kapital koeffitsiyentlari 4 va 8 foizlik chegaralardan ancha yuqori bo‘lganda beriladi</w:t>
      </w:r>
      <w:r>
        <w:rPr>
          <w:rStyle w:val="FootnoteReference"/>
        </w:rPr>
        <w:footnoteReference w:id="33"/>
      </w:r>
      <w:r>
        <w:rPr>
          <w:rFonts w:ascii="Times New Roman" w:hAnsi="Times New Roman" w:cs="Times New Roman" w:eastAsia="Times New Roman"/>
          <w:sz w:val="28"/>
        </w:rPr>
        <w:t xml:space="preserve">. Shu bilan birga, uch jihat bu bahoni ehtiyotkorlik bilan qabul qilishni talab qiladi. Birinchidan, 2.1-paragrafda ko‘rsatilganidek, kapital ta’rifi Bazel III ga to‘liq mos emas: II darajali kapitalning taxminan uchdan bir qismini tashkil etuvchi subordinar qarzlar yo‘qotishni qoplash xususiyatiga ega emas</w:t>
      </w:r>
      <w:r>
        <w:rPr>
          <w:rStyle w:val="FootnoteReference"/>
        </w:rPr>
        <w:footnoteReference w:id="34"/>
      </w:r>
      <w:r>
        <w:rPr>
          <w:rFonts w:ascii="Times New Roman" w:hAnsi="Times New Roman" w:cs="Times New Roman" w:eastAsia="Times New Roman"/>
          <w:sz w:val="28"/>
        </w:rPr>
        <w:t xml:space="preserve">. Ikkinchidan, kapital ko‘rsatkichlari aktivlar sifati to‘g‘ri baholangan taqdirdagina ishonchli bo‘ladi, FSAP esa ko‘plab banklar, ayniqsa, davlat banklari uchun katta qayta kapitallashtirish zarurati paydo bo‘lishi mumkinligini qayd etgan</w:t>
      </w:r>
      <w:r>
        <w:rPr>
          <w:rStyle w:val="FootnoteReference"/>
        </w:rPr>
        <w:footnoteReference w:id="35"/>
      </w:r>
      <w:r>
        <w:rPr>
          <w:rFonts w:ascii="Times New Roman" w:hAnsi="Times New Roman" w:cs="Times New Roman" w:eastAsia="Times New Roman"/>
          <w:sz w:val="28"/>
        </w:rPr>
        <w:t xml:space="preserve">. Uchinchidan, Markaziy bankning stress-testlari salbiy ssenariyda asosiy kapital koeffitsiyenti 2028-yil oxirigacha 5,6 foizgacha, jami kapital monandligi esa 6,8 foizgacha pasayishi mumkinligini ko‘rsatgan</w:t>
      </w:r>
      <w:r>
        <w:rPr>
          <w:rStyle w:val="FootnoteReference"/>
        </w:rPr>
        <w:footnoteReference w:id="36"/>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Aktivlar sifati esa O‘zbekiston bank tizimi moliyaviy barqarorligining eng zaif va eng munozarali bo‘g‘ini hisoblanadi. Rasmiy muammoli kreditlar ulushi 2021-yil oxirida 5,2 foizni tashkil etgan bo‘lsa, 2022–2023-yillarda 3,5–3,6 foizgacha pasaygan, 2024-yilda 4 foizga ko‘tarilib, 2025-yil oxirida 3 foizni tashkil etgan</w:t>
      </w:r>
      <w:r>
        <w:rPr>
          <w:rStyle w:val="FootnoteReference"/>
        </w:rPr>
        <w:footnoteReference w:id="37"/>
      </w:r>
      <w:r>
        <w:rPr>
          <w:rFonts w:ascii="Times New Roman" w:hAnsi="Times New Roman" w:cs="Times New Roman" w:eastAsia="Times New Roman"/>
          <w:sz w:val="28"/>
        </w:rPr>
        <w:t xml:space="preserve">. E’tiborli jihati shundaki, davlat ulushi mavjud banklarda bu ko‘rsatkich 2021–2023-yillarda boshqa banklarga nisbatan 1,3–1,8 foiz punkt yuqori bo‘lgan. Biroq rasmiy ko‘rsatkich kredit riskini to‘liq aks ettirmaydi. Markaziy bank ma’lumotlariga ko‘ra, substandart va muammoli kreditlarning umumiy ulushi 2022-yil oxirida 15,9 foizni</w:t>
      </w:r>
      <w:r>
        <w:rPr>
          <w:rStyle w:val="FootnoteReference"/>
        </w:rPr>
        <w:footnoteReference w:id="38"/>
      </w:r>
      <w:r>
        <w:rPr>
          <w:rFonts w:ascii="Times New Roman" w:hAnsi="Times New Roman" w:cs="Times New Roman" w:eastAsia="Times New Roman"/>
          <w:sz w:val="28"/>
        </w:rPr>
        <w:t xml:space="preserve">, 2023-yil oxirida 19,5 foizni (shundan substandart kreditlar 16 foiz, muammoli kreditlar 3,5 foiz)</w:t>
      </w:r>
      <w:r>
        <w:rPr>
          <w:rStyle w:val="FootnoteReference"/>
        </w:rPr>
        <w:footnoteReference w:id="39"/>
      </w:r>
      <w:r>
        <w:rPr>
          <w:rFonts w:ascii="Times New Roman" w:hAnsi="Times New Roman" w:cs="Times New Roman" w:eastAsia="Times New Roman"/>
          <w:sz w:val="28"/>
        </w:rPr>
        <w:t xml:space="preserve">, 2024-yilda 21 foizni tashkil etgan va faqat 2025-yilda 15 foizgacha kamaygan</w:t>
      </w:r>
      <w:r>
        <w:rPr>
          <w:rStyle w:val="FootnoteReference"/>
        </w:rPr>
        <w:footnoteReference w:id="40"/>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(2.2.3-rasm). Jahon banki ma’lumotlariga ko‘ra, 2023-yil oxirida MHXS 9 bo‘yicha 3-bosqichdagi kreditlar ulushi 7,8 foiz bo‘lib, rasmiy ko‘rsatkichdan qariyb ikki barobar yuqori bo‘lgan</w:t>
      </w:r>
      <w:r>
        <w:rPr>
          <w:rStyle w:val="FootnoteReference"/>
        </w:rPr>
        <w:footnoteReference w:id="41"/>
      </w:r>
      <w:r>
        <w:rPr>
          <w:rFonts w:ascii="Times New Roman" w:hAnsi="Times New Roman" w:cs="Times New Roman" w:eastAsia="Times New Roman"/>
          <w:sz w:val="28"/>
        </w:rPr>
        <w:t xml:space="preserve">.</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3" name="2.2.3-rasm"/>
            <wp:cNvGraphicFramePr/>
            <a:graphic>
              <a:graphicData uri="http://schemas.openxmlformats.org/drawingml/2006/chart">
                <c:chart r:id="rId1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2.2.3-rasm. O‘zbekiston bank tizimida aktivlar sifati ko‘rsatkichlari, %</w:t>
      </w:r>
      <w:r>
        <w:rPr>
          <w:rStyle w:val="FootnoteReference"/>
        </w:rPr>
        <w:footnoteReference w:id="42"/>
      </w:r>
    </w:p>
    <w:p>
      <w:pPr>
        <w:pStyle w:val="BodyText"/>
        <w:spacing w:line="360" w:lineRule="auto" w:before="0" w:after="0"/>
        <w:ind w:firstLine="709"/>
        <w:jc w:val="both"/>
      </w:pPr>
      <w:r>
        <w:rPr>
          <w:rFonts w:ascii="Times New Roman" w:hAnsi="Times New Roman" w:cs="Times New Roman" w:eastAsia="Times New Roman"/>
          <w:sz w:val="28"/>
        </w:rPr>
        <w:t xml:space="preserve">Rasmiy ko‘rsatkich va MHXS 9 bo‘yicha 3-bosqich kreditlari o‘rtasidagi farq muammoli kredit ta’rifining torligi va restrukturizatsiya qilingan kreditlarni qayta tasniflash qoidalarining yumshoqligi bilan izohlanadi. Bundan tashqari, maxsus zaxiralarning muammoli kreditlarga nisbati 2021-yilda 45,9 foizni tashkil etgan</w:t>
      </w:r>
      <w:r>
        <w:rPr>
          <w:rStyle w:val="FootnoteReference"/>
        </w:rPr>
        <w:footnoteReference w:id="43"/>
      </w:r>
      <w:r>
        <w:rPr>
          <w:rFonts w:ascii="Times New Roman" w:hAnsi="Times New Roman" w:cs="Times New Roman" w:eastAsia="Times New Roman"/>
          <w:sz w:val="28"/>
        </w:rPr>
        <w:t xml:space="preserve">, 2022–2025-yillarda esa 36,7–52,6 foiz oralig‘ida bo‘lgan</w:t>
      </w:r>
      <w:r>
        <w:rPr>
          <w:rStyle w:val="FootnoteReference"/>
        </w:rPr>
        <w:footnoteReference w:id="44"/>
      </w:r>
      <w:r>
        <w:rPr>
          <w:rFonts w:ascii="Times New Roman" w:hAnsi="Times New Roman" w:cs="Times New Roman" w:eastAsia="Times New Roman"/>
          <w:sz w:val="28"/>
        </w:rPr>
        <w:t xml:space="preserve">, ya’ni muammoli kreditlarning yarmiga yaqini zaxira bilan qoplanmagan. Shu bilan birga, zaxiralar chegirilgan muammoli kreditlarning kapitalga nisbati 2021-yildagi 13,1 foizdan 2025-yilda 5,7 foizgacha pasaygan, bu esa kredit riskining kapitalga bosimi kamayganini ko‘rsatadi. Xalqaro mezonlar bilan solishtirganda, O.I. Lavrushin va I.D. Mamonova erta ogohlantirish signallari qatorida umidsiz kreditlar ulushining 5 foizdan oshishini keltiradi</w:t>
      </w:r>
      <w:r>
        <w:rPr>
          <w:rStyle w:val="FootnoteReference"/>
        </w:rPr>
        <w:footnoteReference w:id="45"/>
      </w:r>
      <w:r>
        <w:rPr>
          <w:rFonts w:ascii="Times New Roman" w:hAnsi="Times New Roman" w:cs="Times New Roman" w:eastAsia="Times New Roman"/>
          <w:sz w:val="28"/>
        </w:rPr>
        <w:t xml:space="preserve">, O.I. Lavrushin tahriridagi monografiyada esa ishlamaydigan kreditlar ulushining 10 foizgacha oshishi salbiy vaziyat darakchisi sifatida ko‘rsatiladi</w:t>
      </w:r>
      <w:r>
        <w:rPr>
          <w:rStyle w:val="FootnoteReference"/>
        </w:rPr>
        <w:footnoteReference w:id="46"/>
      </w:r>
      <w:r>
        <w:rPr>
          <w:rFonts w:ascii="Times New Roman" w:hAnsi="Times New Roman" w:cs="Times New Roman" w:eastAsia="Times New Roman"/>
          <w:sz w:val="28"/>
        </w:rPr>
        <w:t xml:space="preserve">. Rasmiy ko‘rsatkich birinchi chegaradan pastda bo‘lsa, MHXS 9 bo‘yicha ko‘rsatkich undan yuqori, substandart va muammoli kreditlarning umumiy ulushi esa ikkala chegaradan ham ancha yuqori. Demak, aktivlar sifatini baholash natijasi qaysi ko‘rsatkich va qaysi hisobot standarti olinishiga keskin bog‘liq.</w:t>
      </w:r>
    </w:p>
    <w:p>
      <w:pPr>
        <w:pStyle w:val="BodyText"/>
        <w:spacing w:line="360" w:lineRule="auto" w:before="0" w:after="0"/>
        <w:ind w:firstLine="709"/>
        <w:jc w:val="both"/>
      </w:pPr>
      <w:r>
        <w:rPr>
          <w:rFonts w:ascii="Times New Roman" w:hAnsi="Times New Roman" w:cs="Times New Roman" w:eastAsia="Times New Roman"/>
          <w:sz w:val="28"/>
        </w:rPr>
        <w:t xml:space="preserve">Daromadlilik ko‘rsatkichlari ham bir tekis rivojlanmagan. Soliq to‘lagunga qadar aktivlar rentabelligi 2021-yilda 1,4 foiz, kapital rentabelligi 6,1 foiz bo‘lgan bo‘lsa, 2022–2023-yillarda ular mos ravishda 2,5–2,6 va 13,3–14,2 foizgacha oshgan. 2024-yilda kredit zararlari va nofoiz xarajatlarning o‘sishi natijasida aktivlar rentabelligi yana 1,4 foizgacha, kapital rentabelligi 6,6 foizgacha pasaygan, 2025-yilda esa mos ravishda 2,2 va 12,4 foizgacha tiklangan</w:t>
      </w:r>
      <w:r>
        <w:rPr>
          <w:rStyle w:val="FootnoteReference"/>
        </w:rPr>
        <w:footnoteReference w:id="47"/>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(2.2.4-rasm).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4" name="2.2.4-rasm"/>
            <wp:cNvGraphicFramePr/>
            <a:graphic>
              <a:graphicData uri="http://schemas.openxmlformats.org/drawingml/2006/chart">
                <c:chart r:id="rId12"/>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2.2.4-rasm. O‘zbekiston bank tizimida aktivlar va kapital rentabelligi dinamikasi, %</w:t>
      </w:r>
      <w:r>
        <w:rPr>
          <w:rStyle w:val="FootnoteReference"/>
        </w:rPr>
        <w:footnoteReference w:id="48"/>
      </w:r>
    </w:p>
    <w:p>
      <w:pPr>
        <w:pStyle w:val="BodyText"/>
        <w:spacing w:line="360" w:lineRule="auto" w:before="0" w:after="0"/>
        <w:ind w:firstLine="709"/>
        <w:jc w:val="both"/>
      </w:pPr>
      <w:r>
        <w:rPr>
          <w:rFonts w:ascii="Times New Roman" w:hAnsi="Times New Roman" w:cs="Times New Roman" w:eastAsia="Times New Roman"/>
          <w:sz w:val="28"/>
        </w:rPr>
        <w:t xml:space="preserve">CAMELS tizimida aktivlar rentabelligi 1 foizdan yuqori bo‘lganda daromadlilik eng yuqori reyting bilan baholanadi</w:t>
      </w:r>
      <w:r>
        <w:rPr>
          <w:rStyle w:val="FootnoteReference"/>
        </w:rPr>
        <w:footnoteReference w:id="49"/>
      </w:r>
      <w:r>
        <w:rPr>
          <w:rFonts w:ascii="Times New Roman" w:hAnsi="Times New Roman" w:cs="Times New Roman" w:eastAsia="Times New Roman"/>
          <w:sz w:val="28"/>
        </w:rPr>
        <w:t xml:space="preserve">, demak, tizim darajasidagi ko‘rsatkich bu mezonga mos keladi. Biroq daromadlilikning ikki marta keskin pasayishi bank tizimi daromadlarining kredit riski va xarajatlarga sezgirligidan dalolat beradi: foizsiz xarajatlarning yalpi daromaddagi ulushi 2022-yildagi 46,5 foizdan 2025-yilda 52,3 foizga oshgan</w:t>
      </w:r>
      <w:r>
        <w:rPr>
          <w:rStyle w:val="FootnoteReference"/>
        </w:rPr>
        <w:footnoteReference w:id="50"/>
      </w:r>
      <w:r>
        <w:rPr>
          <w:rFonts w:ascii="Times New Roman" w:hAnsi="Times New Roman" w:cs="Times New Roman" w:eastAsia="Times New Roman"/>
          <w:sz w:val="28"/>
        </w:rPr>
        <w:t xml:space="preserve">. Likvidlik ko‘rsatkichlari bo‘yicha esa bank tizimi xalqaro talablarni katta zaxira bilan bajaradi: likvidlikni qoplash koeffitsiyenti 2021–2025-yillarda 164,8–211,6 foiz, sof barqaror moliyalashtirish me’yori 111,8–119,9 foiz oralig‘ida bo‘lgan. Shu bilan birga, mijozlar depozitlari 2025-yil oxirida kreditlarning atigi 63,3 foizini qoplagan, ya’ni kreditlarning qariyb 37 foizi tashqi qarzlar va davlat resurslari hisobidan moliyalashtirilgan</w:t>
      </w:r>
      <w:r>
        <w:rPr>
          <w:rStyle w:val="FootnoteReference"/>
        </w:rPr>
        <w:footnoteReference w:id="51"/>
      </w:r>
      <w:r>
        <w:rPr>
          <w:rFonts w:ascii="Times New Roman" w:hAnsi="Times New Roman" w:cs="Times New Roman" w:eastAsia="Times New Roman"/>
          <w:sz w:val="28"/>
        </w:rPr>
        <w:t xml:space="preserve">. Bunday tuzilma tashqi moliyalashtirish sharoiti yomonlashganda likvidlik va valyuta riskini oshiradi. Ijobiy tomoni shundaki, depozitlar bilan qoplanish darajasi 2021-yildagi 42,2 foizdan izchil oshib bormoqda, xorijiy valyutadagi kreditlar ulushi esa 38,4 foizgacha kamaygan.</w:t>
      </w:r>
    </w:p>
    <w:p>
      <w:pPr>
        <w:pStyle w:val="BodyText"/>
        <w:spacing w:line="360" w:lineRule="auto" w:before="0" w:after="0"/>
        <w:ind w:firstLine="709"/>
        <w:jc w:val="both"/>
      </w:pPr>
      <w:r>
        <w:rPr>
          <w:rFonts w:ascii="Times New Roman" w:hAnsi="Times New Roman" w:cs="Times New Roman" w:eastAsia="Times New Roman"/>
          <w:sz w:val="28"/>
        </w:rPr>
        <w:t xml:space="preserve">Tizim darajasidagi agregat ko‘rsatkichlar alohida banklar o‘rtasidagi farqlarni yashiradi. Shu sababli tahlilni ikki tizimli davlat banki misolida chuqurlashtirish maqsadga muvofiq. Ularning 2021–2025-yillardagi asosiy ko‘rsatkichlari 2.2.2-jadvalda keltirildi.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2.2.2-jadval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«O‘zsanoatqurilishbank» ATB va «Mikrokreditbank» ATB ning moliyaviy barqarorlik ko‘rsatkichlari</w:t>
      </w:r>
      <w:r>
        <w:rPr>
          <w:rStyle w:val="FootnoteReference"/>
        </w:rPr>
        <w:footnoteReference w:id="52"/>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1179"/>
        <w:gridCol w:w="1179"/>
        <w:gridCol w:w="1179"/>
        <w:gridCol w:w="1179"/>
        <w:gridCol w:w="1179"/>
      </w:tblGrid>
      <w:tr>
        <w:trPr>
          <w:tblHeader w:val="true"/>
          <w:cantSplit/>
          <w:tblHeader/>
        </w:trPr>
        <w:tc>
          <w:tcPr>
            <w:tcW w:type="dxa" w:w="340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2021</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2022</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2023</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2024</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2025</w:t>
            </w:r>
          </w:p>
        </w:tc>
      </w:tr>
      <w:tr>
        <w:trPr>
          <w:cantSplit/>
        </w:trPr>
        <w:tc>
          <w:tcPr>
            <w:tcW w:type="dxa" w:w="3402"/>
          </w:tcPr>
          <w:p>
            <w:pPr>
              <w:pStyle w:val="Compact"/>
              <w:spacing w:line="240" w:lineRule="auto"/>
              <w:ind w:firstLine="0"/>
              <w:jc w:val="left"/>
            </w:pPr>
            <w:r>
              <w:rPr>
                <w:iCs/>
                <w:i/>
                <w:bCs/>
                <w:rFonts w:ascii="Times New Roman" w:hAnsi="Times New Roman" w:cs="Times New Roman" w:eastAsia="Times New Roman"/>
                <w:b/>
                <w:sz w:val="22"/>
              </w:rPr>
              <w:t xml:space="preserve">«O‘zsanoatqurilishbank» ATB</w:t>
            </w: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Jami aktivlar, trln so‘m</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56,5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64,3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74,6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87,6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102,4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Regulyativ kapital monandligi,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Asosiy kapital (CET1) monandligi,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Muammoli kreditlar ulushi,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Substandart kreditlar ulushi,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ROE,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LCR,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164,5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200,1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177,3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148,4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222,9</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NSFR,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115,0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104,2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113,1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122,2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Kreditlar / depozitlar,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342,2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323,0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414,0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315,7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206,5</w:t>
            </w:r>
          </w:p>
        </w:tc>
      </w:tr>
      <w:tr>
        <w:trPr>
          <w:cantSplit/>
        </w:trPr>
        <w:tc>
          <w:tcPr>
            <w:tcW w:type="dxa" w:w="3402"/>
          </w:tcPr>
          <w:p>
            <w:pPr>
              <w:pStyle w:val="Compact"/>
              <w:spacing w:line="240" w:lineRule="auto"/>
              <w:ind w:firstLine="0"/>
              <w:jc w:val="left"/>
            </w:pPr>
            <w:r>
              <w:rPr>
                <w:iCs/>
                <w:i/>
                <w:bCs/>
                <w:rFonts w:ascii="Times New Roman" w:hAnsi="Times New Roman" w:cs="Times New Roman" w:eastAsia="Times New Roman"/>
                <w:b/>
                <w:sz w:val="22"/>
              </w:rPr>
              <w:t xml:space="preserve">«Mikrokreditbank» ATB</w:t>
            </w: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Jami aktivlar, trln so‘m</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23,5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30,7</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Regulyativ kapital monandligi,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Asosiy kapital (CET1) monandligi,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Muammoli kreditlar ulushi,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Substandart kreditlar ulushi,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24,5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0,4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0,1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0,2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0,6</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ROE,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0,7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−45,5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LCR,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165,2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156,4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131,7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169,0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231,9</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NSFR,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117,1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114,3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108,3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113,1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113,0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Kreditlar / depozitlar,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343,0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246,2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227,0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222,4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208,5</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muammoli kreditlar – qoniqarsiz, shubhali va umidsiz deb tasniflangan kreditlar; ROA va ROE sof foydaning aktivlar va kapitalning o‘rtacha yillik qiymatiga nisbati sifatida hisoblandi (2021-yil uchun yil oxiri qiymati olindi).</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ikki bankning moliyaviy barqarorlik profili tubdan farq qilishini ko‘rsatadi. «O‘zsanoatqurilishbank» ATB da regulyativ kapital monandligi butun davr mobaynida 15,3–17,0 foiz oralig‘ida bo‘lib, 13 foizlik minimumdan atigi 2,3–4 foiz punkt yuqori turgan. Asosiy kapital monandligi esa 2022-yildagi 12,1 foizdan 2025-yilda 10,2 foizgacha izchil pasayib, 8 foizlik minimumga yaqinlashgan. 2025-yilda birinchi darajali kapital monandligining 14 foizgacha oshishi asosan xalqaro bozorda joylashtirilgan qo‘shimcha birinchi darajali kapital obligatsiyalari hisobiga ta’minlangan, sof asosiy kapital esa o‘smagan. «Mikrokreditbank» ATB da esa kapital monandligi yuqoriroq bo‘lsa-da, keskin tebranadi: 2021-yilda 13,8 foiz bilan minimum chegarasida bo‘lgan ko‘rsatkich 2022-yilda 20,7 foizga ko‘tarilgan, 2024-yilda 15,4 foizgacha tushib, 2025-yilda yana 18,5 foizga yetgan (2.2.5-rasm).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5" name="2.2.5-rasm"/>
            <wp:cNvGraphicFramePr/>
            <a:graphic>
              <a:graphicData uri="http://schemas.openxmlformats.org/drawingml/2006/chart">
                <c:chart r:id="rId13"/>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2.2.5-rasm. «O‘zsanoatqurilishbank» ATB va «Mikrokreditbank» ATB da regulyativ kapital monandligi, %</w:t>
      </w:r>
      <w:r>
        <w:rPr>
          <w:rStyle w:val="FootnoteReference"/>
        </w:rPr>
        <w:footnoteReference w:id="53"/>
      </w:r>
    </w:p>
    <w:p>
      <w:pPr>
        <w:pStyle w:val="BodyText"/>
        <w:spacing w:line="360" w:lineRule="auto" w:before="0" w:after="0"/>
        <w:ind w:firstLine="709"/>
        <w:jc w:val="both"/>
      </w:pPr>
      <w:r>
        <w:rPr>
          <w:rFonts w:ascii="Times New Roman" w:hAnsi="Times New Roman" w:cs="Times New Roman" w:eastAsia="Times New Roman"/>
          <w:sz w:val="28"/>
        </w:rPr>
        <w:t xml:space="preserve">Rasmda aks etgan tebranishlarning sababi kapital manbalarini tahlil qilganda ayon bo‘ladi. «Mikrokreditbank» ATB ning xususiy kapitali 2022-yilda 2,3 trln so‘mdan 3,6 trln so‘mga oshgan, holbuki shu yili bank atigi 21,3 mlrd so‘m sof foyda olgan. 2025-yilda ham kapital 3,6 trln so‘mdan 5,7 trln so‘mga ko‘paygan, sof foyda esa 160,8 mlrd so‘mni tashkil etgan. Demak, bankning kapital yetarliligi o‘z foydasi hisobiga emas, balki davlat tomonidan amalga oshirilgan qayta kapitallashtirish hisobiga saqlab turilgan. Bu holat 1.3-paragrafda keltirilgan AQSh tajribasini eslatadi: J.M. Hendrickson ijtimoiy kreditlash majburiyati bank kapitaliga qo‘yiladigan talablarga zid kelishini va bunday kreditlash CAMELS reytingini yomonlashtirishini ko‘rsatgan edi</w:t>
      </w:r>
      <w:r>
        <w:rPr>
          <w:rStyle w:val="FootnoteReference"/>
        </w:rPr>
        <w:footnoteReference w:id="54"/>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Aktivlar sifati bo‘yicha ham ikki bank turlicha manzarani namoyon etadi (2.2.6-rasm).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6" name="2.2.6-rasm"/>
            <wp:cNvGraphicFramePr/>
            <a:graphic>
              <a:graphicData uri="http://schemas.openxmlformats.org/drawingml/2006/chart">
                <c:chart r:id="rId14"/>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2.2.6-rasm. «O‘zsanoatqurilishbank» ATB va «Mikrokreditbank» ATB da muammoli va substandart kreditlar ulushi, %</w:t>
      </w:r>
      <w:r>
        <w:rPr>
          <w:rStyle w:val="FootnoteReference"/>
        </w:rPr>
        <w:footnoteReference w:id="55"/>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«O‘zsanoatqurilishbank» ATB da rasmiy muammoli kreditlar ulushi 2,2–3,8 foiz oralig‘ida past darajada saqlangan, biroq substandart kreditlar ulushi 2021-yildagi 6,2 foizdan 2025-yilda 18,4 foizgacha, ya’ni qariyb uch barobar oshgan. Bu kredit riskining yashirin to‘planishidan dalolat beradi va MHXS hisoboti bilan tasdiqlanadi: 2025-yil yakunida bankning MHXS 9 bo‘yicha 3-bosqich kreditlari ulushi 7,48 foizni, 2-bosqich kreditlari ulushi esa 35,7 foizni tashkil etgan</w:t>
      </w:r>
      <w:r>
        <w:rPr>
          <w:rStyle w:val="FootnoteReference"/>
        </w:rPr>
        <w:footnoteReference w:id="56"/>
      </w:r>
      <w:r>
        <w:rPr>
          <w:rFonts w:ascii="Times New Roman" w:hAnsi="Times New Roman" w:cs="Times New Roman" w:eastAsia="Times New Roman"/>
          <w:sz w:val="28"/>
        </w:rPr>
        <w:t xml:space="preserve">. «Mikrokreditbank» ATB da esa rasmiy muammoli kreditlar ulushining o‘zi 4,4–6,0 foiz bo‘lib, 2021 va 2023-yillarda 5 foizlik erta ogohlantirish chegarasidan oshgan, substandart kreditlar ulushi esa 2023-yilda 24,5 foizga yetgan. Bankning MHXS bo‘yicha konsolidatsiyalangan hisoboti bu riskning ko‘lamini yanada aniqroq ko‘rsatadi: amortizatsiyalangan qiymatda baholanadigan kreditlar tarkibida 3-bosqich, ya’ni qadrsizlangan kreditlar ulushi 2023-yilda 16,6 foizni, 2024-yilda 15,2 foizni, 2025-yilda esa 12,3 foizni tashkil etgan</w:t>
      </w:r>
      <w:r>
        <w:rPr>
          <w:rStyle w:val="FootnoteReference"/>
        </w:rPr>
        <w:footnoteReference w:id="57"/>
      </w:r>
      <w:r>
        <w:rPr>
          <w:rFonts w:ascii="Times New Roman" w:hAnsi="Times New Roman" w:cs="Times New Roman" w:eastAsia="Times New Roman"/>
          <w:sz w:val="28"/>
        </w:rPr>
        <w:t xml:space="preserve">. Demak, MHXS 9 bo‘yicha qadrsizlangan kreditlar ulushi rasmiy muammoli kreditlar ulushidan 2,8–3,3 barobar yuqori bo‘lgan, 2-bosqich kreditlari ulushi ham 2023–2025-yillarda 25–26 foiz atrofida saqlangan.</w:t>
      </w:r>
    </w:p>
    <w:p>
      <w:pPr>
        <w:pStyle w:val="BodyText"/>
        <w:spacing w:line="360" w:lineRule="auto" w:before="0" w:after="0"/>
        <w:ind w:firstLine="709"/>
        <w:jc w:val="both"/>
      </w:pPr>
      <w:r>
        <w:rPr>
          <w:rFonts w:ascii="Times New Roman" w:hAnsi="Times New Roman" w:cs="Times New Roman" w:eastAsia="Times New Roman"/>
          <w:sz w:val="28"/>
        </w:rPr>
        <w:t xml:space="preserve">Aktivlar sifatidagi bu muammolar «Mikrokreditbank» ATB ning daromadliligiga keskin ta’sir ko‘rsatdi (2.2.7-rasm).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7" name="2.2.7-rasm"/>
            <wp:cNvGraphicFramePr/>
            <a:graphic>
              <a:graphicData uri="http://schemas.openxmlformats.org/drawingml/2006/chart">
                <c:chart r:id="rId15"/>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2.2.7-rasm. «O‘zsanoatqurilishbank» ATB va «Mikrokreditbank» ATB da kapital rentabelligi (ROE), %</w:t>
      </w:r>
      <w:r>
        <w:rPr>
          <w:rStyle w:val="FootnoteReference"/>
        </w:rPr>
        <w:footnoteReference w:id="58"/>
      </w:r>
    </w:p>
    <w:p>
      <w:pPr>
        <w:pStyle w:val="BodyText"/>
        <w:spacing w:line="360" w:lineRule="auto" w:before="0" w:after="0"/>
        <w:ind w:firstLine="709"/>
        <w:jc w:val="both"/>
      </w:pPr>
      <w:r>
        <w:rPr>
          <w:rFonts w:ascii="Times New Roman" w:hAnsi="Times New Roman" w:cs="Times New Roman" w:eastAsia="Times New Roman"/>
          <w:sz w:val="28"/>
        </w:rPr>
        <w:t xml:space="preserve">Rasm ma’lumotlari shuni ko‘rsatadiki, «O‘zsanoatqurilishbank» ATB ning kapital rentabelligi 2022-yildagi pasayishdan keyin tiklanib, 2025-yilda 17,2 foizga yetgan, ya’ni tizim o‘rtacha darajasidan yuqori. «Mikrokreditbank» ATB da esa ROE 2021–2023-yillarda 0,7–2,2 foiz bilan inflyatsiya darajasidan ancha past bo‘lgan, 2024-yilda esa bank 1 703,8 mlrd so‘m zarar ko‘rgan. Bu zarar aktivlar bo‘yicha ehtimoliy yo‘qotishlarga qarshi zaxiralarning keskin oshirilishi natijasida yuzaga kelgan: zaxiralar ajratilgandan keyingi sof foizli daromad 1 167,3 mlrd so‘m zararni tashkil etgan</w:t>
      </w:r>
      <w:r>
        <w:rPr>
          <w:rStyle w:val="FootnoteReference"/>
        </w:rPr>
        <w:footnoteReference w:id="59"/>
      </w:r>
      <w:r>
        <w:rPr>
          <w:rFonts w:ascii="Times New Roman" w:hAnsi="Times New Roman" w:cs="Times New Roman" w:eastAsia="Times New Roman"/>
          <w:sz w:val="28"/>
        </w:rPr>
        <w:t xml:space="preserve">. Boshqacha aytganda, ilgari kamsitib ko‘rsatilgan kredit riski 2024-yilda bir yo‘la tan olingan va kapitalni yemirgan, keyin esa yana davlat kapitali hisobiga to‘ldirilgan.</w:t>
      </w:r>
    </w:p>
    <w:p>
      <w:pPr>
        <w:pStyle w:val="BodyText"/>
        <w:spacing w:line="360" w:lineRule="auto" w:before="0" w:after="0"/>
        <w:ind w:firstLine="709"/>
        <w:jc w:val="both"/>
      </w:pPr>
      <w:r>
        <w:rPr>
          <w:rFonts w:ascii="Times New Roman" w:hAnsi="Times New Roman" w:cs="Times New Roman" w:eastAsia="Times New Roman"/>
          <w:sz w:val="28"/>
        </w:rPr>
        <w:t xml:space="preserve">Likvidlik bo‘yicha esa ikkala bank ham Bazel III talablarini bajargan: likvidlikni qoplash koeffitsiyenti 131,7–231,9 foiz, sof barqaror moliyalashtirish me’yori 104,2–122,2 foiz oralig‘ida bo‘lgan. Ammo 2023-yilda «O‘zsanoatqurilishbank» ATB da sof barqaror moliyalashtirish me’yorining 104,2 foizgacha pasayishi zaxiraning nihoyatda kichik bo‘lishi mumkinligini ko‘rsatdi. Bundan tashqari, ikkala bankda ham kreditlarning depozitlarga nisbati 200 foizdan yuqori: bu banklar kreditlarni asosan xalqaro moliya institutlari, xorijiy banklar va davlat fondlarining resurslari hisobiga moliyalashtiradi. Masalan, 2025-yil yakunida «O‘zsanoatqurilishbank» ATB ning olingan kreditlari 35,5 trln so‘mni tashkil etib, depozitlardan qariyb 1,1 barobar ko‘p bo‘lgan</w:t>
      </w:r>
      <w:r>
        <w:rPr>
          <w:rStyle w:val="FootnoteReference"/>
        </w:rPr>
        <w:footnoteReference w:id="60"/>
      </w:r>
      <w:r>
        <w:rPr>
          <w:rFonts w:ascii="Times New Roman" w:hAnsi="Times New Roman" w:cs="Times New Roman" w:eastAsia="Times New Roman"/>
          <w:sz w:val="28"/>
        </w:rPr>
        <w:t xml:space="preserve">. Bunday tuzilma tashqi moliyalashtirish sharoiti yomonlashganda likvidlik va valyuta riskini oshiradi.</w:t>
      </w:r>
    </w:p>
    <w:p>
      <w:pPr>
        <w:pStyle w:val="BodyText"/>
        <w:spacing w:line="360" w:lineRule="auto" w:before="0" w:after="0"/>
        <w:ind w:firstLine="709"/>
        <w:jc w:val="both"/>
      </w:pPr>
      <w:r>
        <w:rPr>
          <w:rFonts w:ascii="Times New Roman" w:hAnsi="Times New Roman" w:cs="Times New Roman" w:eastAsia="Times New Roman"/>
          <w:sz w:val="28"/>
        </w:rPr>
        <w:t xml:space="preserve">Tahlil natijalarini umumlashtirish uchun bank tizimi va ikki bankning so‘nggi ko‘rsatkichlari xalqaro mezonlar bilan solishtirildi (2.2.3-jadval).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2.2.3-jadval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Bank tizimi va tanlangan banklarning moliyaviy barqarorlik ko‘rsatkichlari: xalqaro mezonlar bo‘yicha baho, 2025-yil</w:t>
      </w:r>
      <w:r>
        <w:rPr>
          <w:rStyle w:val="FootnoteReference"/>
        </w:rPr>
        <w:footnoteReference w:id="61"/>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1451"/>
        <w:gridCol w:w="1451"/>
        <w:gridCol w:w="1451"/>
        <w:gridCol w:w="1451"/>
        <w:gridCol w:w="1451"/>
      </w:tblGrid>
      <w:tr>
        <w:trPr>
          <w:tblHeader w:val="true"/>
          <w:cantSplit/>
          <w:tblHeader/>
        </w:trPr>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45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Bank tizimi</w:t>
            </w:r>
          </w:p>
        </w:tc>
        <w:tc>
          <w:tcPr>
            <w:tcW w:type="dxa" w:w="145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«O‘zsanoatqurilishbank»</w:t>
            </w:r>
          </w:p>
        </w:tc>
        <w:tc>
          <w:tcPr>
            <w:tcW w:type="dxa" w:w="145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«Mikrokreditbank»</w:t>
            </w:r>
          </w:p>
        </w:tc>
        <w:tc>
          <w:tcPr>
            <w:tcW w:type="dxa" w:w="145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Xalqaro mezon</w:t>
            </w:r>
          </w:p>
        </w:tc>
        <w:tc>
          <w:tcPr>
            <w:tcW w:type="dxa" w:w="145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Baho</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Regulyativ kapital monandligi,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18,3</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17,0</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18,5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 10,5 (Bazel III, bufer bilan)</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Yuqori, ammo davlat kapitaliga bog‘liq</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Asosiy kapital monandligi,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14,7</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10,2</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16,4</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 7 (Bazel III, bufer bilan)</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Yetarli, SQB da zaxira kichik</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Muammoli kreditlar ulushi,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3,0</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4,4</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&lt; 5 (erta ogohlantirish)</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Rasmiy jihatdan qoniqarli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MHXS 9 bo‘yicha 3-bosqich,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7,8 (2023)</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7,5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12,3</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&lt; 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Zaif</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Substandart va muammoli kreditlar,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20,9</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13,4</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&lt; 10</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Zaif</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2,2</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2,0</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0,6</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&gt; 1 (CAMELS 1-reyting)</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Tizim va SQB yuqori, MK past</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LCR,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207,5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222,9</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231,9</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 100 (Bazel III)</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Yuqori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NSFR,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119,9</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122,2</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113,0</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 100 (Bazel III)</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Yetarli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Kreditlar / depozitlar,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158</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206,5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208,5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 100</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Yuqori risk</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ko‘rsatkichlar ikki guruhga bo‘linadi. Birinchi guruh – kapital va likvidlik koeffitsiyentlari – rasmiy qiymatlar bo‘yicha xalqaro mezonlardan yuqori. Ikkinchi guruh – kengaytirilgan ta’rifdagi aktivlar sifati, MHXS 9 bo‘yicha qadrsizlangan kreditlar va moliyalashtirish tuzilmasi – xalqaro mezonlarga mos emas. Bank darajasidagi tahlil esa yana bir muhim jihatni ochib berdi: davlat banklarida kapital yetarliligining yuqori ko‘rsatkichlari o‘z daromadi emas, balki davlat tomonidan qayta kapitallashtirish natijasi bo‘lishi mumkin, shu sababli ular bankning mustaqil moliyaviy barqarorligini to‘liq aks ettirmaydi.</w:t>
      </w:r>
    </w:p>
    <w:p>
      <w:pPr>
        <w:pStyle w:val="BodyText"/>
        <w:spacing w:line="360" w:lineRule="auto" w:before="0" w:after="0"/>
        <w:ind w:firstLine="709"/>
        <w:jc w:val="both"/>
      </w:pPr>
      <w:r>
        <w:rPr>
          <w:rFonts w:ascii="Times New Roman" w:hAnsi="Times New Roman" w:cs="Times New Roman" w:eastAsia="Times New Roman"/>
          <w:sz w:val="28"/>
        </w:rPr>
        <w:t xml:space="preserve">O‘zbekiston bank tizimi va alohida banklar moliyaviy barqarorlik ko‘rsatkichlarini tadqiq etgan holda xulosa qilish mumkinki, 2021–2025-yillarda bank tizimi jadal o‘sib, davlat banklarining aktivlardagi ulushi 81,5 foizdan 63,5 foizgacha kamaydi, ammo ular tizimda ustunligicha qolmoqda. Rasmiy ko‘rsatkichlar bo‘yicha kapital va likvidlik Bazel III talablaridan ancha yuqori, biroq aktivlar sifati eng zaif bo‘g‘in bo‘lib qolmoqda: substandart kreditlar ulushi «O‘zsanoatqurilishbank» ATB da uch barobar oshgan, MHXS bo‘yicha qadrsizlangan kreditlar rasmiy ko‘rsatkichdan ikki-uch barobar yuqori. Ijtimoiy yo‘naltirilgan kreditlash bilan shug‘ullanuvchi «Mikrokreditbank» ATB misolida esa past daromadlilik, 2024-yilda yashirin kredit riskining bir yo‘la tan olinishi natijasidagi katta zarar va kapital yetarliligining davlat qayta kapitallashtirishiga bog‘liqligi aniqlandi. Bu o‘z navbatida, ko‘rsatkichlarning turli yo‘nalishdagi signallarini yagona bahoga keltiradigan, aktivlar sifatini MHXS 9 bo‘yicha hisobga oladigan va bankning davlat ko‘magisiz barqarorligini alohida baholaydigan integral metodikani ishlab chiqish zaruriyatini yuzaga keltiradi. Bunday metodika dissertatsiyaning uchinchi bobida taklif etiladi.</w:t>
      </w:r>
    </w:p>
    <w:bookmarkEnd w:id="62"/>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45.</w:t>
      </w:r>
    </w:p>
  </w:footnote>
  <w:footnote w:id="21">
    <w:p>
      <w:pPr>
        <w:pStyle w:val="FootnoteText"/>
      </w:pPr>
      <w:r>
        <w:rPr>
          <w:rStyle w:val="FootnoteReference"/>
        </w:rPr>
        <w:footnoteRef/>
      </w:r>
      <w:r>
        <w:t xml:space="preserve"> </w:t>
      </w:r>
      <w:r>
        <w:t xml:space="preserve">«O‘zsanoatqurilishbank» ATB ning Markaziy bankka taqdim etilgan prudensial hisobot shakllari (crs003C, crs003L, crs003O): bank balansi, daromadlar, regulyativ kapital hisob-kitobi, aktivlarni tasniflash va prudensial me’yorlar jadvallari, 2021–2025-yillar 30-dekabr holatiga.</w:t>
      </w:r>
    </w:p>
  </w:footnote>
  <w:footnote w:id="22">
    <w:p>
      <w:pPr>
        <w:pStyle w:val="FootnoteText"/>
      </w:pPr>
      <w:r>
        <w:rPr>
          <w:rStyle w:val="FootnoteReference"/>
        </w:rPr>
        <w:footnoteRef/>
      </w:r>
      <w:r>
        <w:t xml:space="preserve"> </w:t>
      </w:r>
      <w:r>
        <w:t xml:space="preserve">«Mikrokreditbank» ATB ning Markaziy bankka taqdim etilgan prudensial hisobot shakllari (crs005C, crs005L, crs005O): bank balansi, daromadlar, regulyativ kapital hisob-kitobi, aktivlarni tasniflash va prudensial me’yorlar jadvallari, 2021–2025-yillar 30-dekabr holatiga.</w:t>
      </w:r>
    </w:p>
  </w:footnote>
  <w:footnote w:id="23">
    <w:p>
      <w:pPr>
        <w:pStyle w:val="FootnoteText"/>
      </w:pPr>
      <w:r>
        <w:rPr>
          <w:rStyle w:val="FootnoteReference"/>
        </w:rPr>
        <w:footnoteRef/>
      </w:r>
      <w:r>
        <w:t xml:space="preserve"> </w:t>
      </w:r>
      <w:r>
        <w:t xml:space="preserve">World Bank. Uzbekistan Financial Sector Reform Project: Project Appraisal Document. Report No. PAD4468. – Washington, DC: World Bank, 2022.</w:t>
      </w:r>
    </w:p>
  </w:footnote>
  <w:footnote w:id="24">
    <w:p>
      <w:pPr>
        <w:pStyle w:val="FootnoteText"/>
      </w:pPr>
      <w:r>
        <w:rPr>
          <w:rStyle w:val="FootnoteReference"/>
        </w:rPr>
        <w:footnoteRef/>
      </w:r>
      <w:r>
        <w:t xml:space="preserve"> </w:t>
      </w:r>
      <w:r>
        <w:t xml:space="preserve">World Bank. Republic of Uzbekistan: Financial Sector Assessment. – Washington, DC: World Bank, 2025.</w:t>
      </w:r>
    </w:p>
  </w:footnote>
  <w:footnote w:id="25">
    <w:p>
      <w:pPr>
        <w:pStyle w:val="FootnoteText"/>
      </w:pPr>
      <w:r>
        <w:rPr>
          <w:rStyle w:val="FootnoteReference"/>
        </w:rPr>
        <w:footnoteRef/>
      </w:r>
      <w:r>
        <w:t xml:space="preserve"> </w:t>
      </w:r>
      <w:r>
        <w:t xml:space="preserve">Non-Bank Financial Institutions &amp; Private Credit in Uzbekistan 2026 // Kilde. – https://www.kilde.sg/post/non-bank-financial-institutions-and-private-credit-investment-in-uzbekistan-2026-update</w:t>
      </w:r>
    </w:p>
  </w:footnote>
  <w:footnote w:id="26">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27">
    <w:p>
      <w:pPr>
        <w:pStyle w:val="FootnoteText"/>
      </w:pPr>
      <w:r>
        <w:rPr>
          <w:rStyle w:val="FootnoteReference"/>
        </w:rPr>
        <w:footnoteRef/>
      </w:r>
      <w:r>
        <w:t xml:space="preserve"> </w:t>
      </w:r>
      <w:r>
        <w:t xml:space="preserve">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w:t>
      </w:r>
    </w:p>
  </w:footnote>
  <w:footnote w:id="28">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w:t>
      </w:r>
    </w:p>
  </w:footnote>
  <w:footnote w:id="29">
    <w:p>
      <w:pPr>
        <w:pStyle w:val="FootnoteText"/>
      </w:pPr>
      <w:r>
        <w:rPr>
          <w:rStyle w:val="FootnoteReference"/>
        </w:rPr>
        <w:footnoteRef/>
      </w:r>
      <w:r>
        <w:t xml:space="preserve"> </w:t>
      </w:r>
      <w:r>
        <w:t xml:space="preserve">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International Monetary Fund. Republic of Uzbekistan: 2022 Article IV Consultation – Press Release; Staff Report; and Statement by the Executive Director for the Republic of Uzbekistan. IMF Country Report No. 22/189. – Washington, DC: IMF, 2022. – P. 30 (Table 7); O‘zbekiston Respublikasi Markaziy banki. Moliyaviy barqarorlik sharhi: 2022-yil. – Toshkent, 2023; The Central Bank of the Republic of Uzbekistan. Annual Report 2023. – Tashkent, 2024. – P. 57; The Central Bank of the Republic of Uzbekistan. Financial Stability Report for 2023. – Tashkent, 2024; O‘zbekiston Respublikasi Markaziy banki. 2024-yil uchun moliyaviy barqarorlik sharhi. – Toshkent, 2025; The Central Bank of the Republic of Uzbekistan. Financial Stability Report for 2025. – Tashkent, 2026.</w:t>
      </w:r>
    </w:p>
  </w:footnote>
  <w:footnote w:id="30">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31">
    <w:p>
      <w:pPr>
        <w:pStyle w:val="FootnoteText"/>
      </w:pPr>
      <w:r>
        <w:rPr>
          <w:rStyle w:val="FootnoteReference"/>
        </w:rPr>
        <w:footnoteRef/>
      </w:r>
      <w:r>
        <w:t xml:space="preserve"> </w:t>
      </w:r>
      <w:r>
        <w:t xml:space="preserve">Tadqiqot natijasida muallif tomonidan 2.2.1-jadval ma’lumotlari asosida ishlab chiqildi.</w:t>
      </w:r>
    </w:p>
  </w:footnote>
  <w:footnote w:id="32">
    <w:p>
      <w:pPr>
        <w:pStyle w:val="FootnoteText"/>
      </w:pPr>
      <w:r>
        <w:rPr>
          <w:rStyle w:val="FootnoteReference"/>
        </w:rPr>
        <w:footnoteRef/>
      </w:r>
      <w:r>
        <w:t xml:space="preserve"> </w:t>
      </w:r>
      <w:r>
        <w:t xml:space="preserve">Tian W. Regulatory Capital Requirement in Basel III // Commercial Banking Risk Management: Regulation in the Wake of the Financial Crisis / ed. by W. Tian. – New York: Palgrave Macmillan, 2017. – P. 6–7, 15.</w:t>
      </w:r>
    </w:p>
  </w:footnote>
  <w:footnote w:id="33">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80.</w:t>
      </w:r>
    </w:p>
  </w:footnote>
  <w:footnote w:id="34">
    <w:p>
      <w:pPr>
        <w:pStyle w:val="FootnoteText"/>
      </w:pPr>
      <w:r>
        <w:rPr>
          <w:rStyle w:val="FootnoteReference"/>
        </w:rPr>
        <w:footnoteRef/>
      </w:r>
      <w:r>
        <w:t xml:space="preserve"> </w:t>
      </w:r>
      <w:r>
        <w:t xml:space="preserve">International Monetary Fund. Republic of Uzbekistan: Financial Sector Assessment Program – Detailed Assessment of Observance – Basel Core Principles for Effective Banking Supervision. IMF Country Report No. 25/227. – Washington, DC: IMF, 2025.</w:t>
      </w:r>
    </w:p>
  </w:footnote>
  <w:footnote w:id="35">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w:t>
      </w:r>
    </w:p>
  </w:footnote>
  <w:footnote w:id="36">
    <w:p>
      <w:pPr>
        <w:pStyle w:val="FootnoteText"/>
      </w:pPr>
      <w:r>
        <w:rPr>
          <w:rStyle w:val="FootnoteReference"/>
        </w:rPr>
        <w:footnoteRef/>
      </w:r>
      <w:r>
        <w:t xml:space="preserve"> </w:t>
      </w:r>
      <w:r>
        <w:t xml:space="preserve">The Central Bank of the Republic of Uzbekistan. Financial Stability Report for 2025. – Tashkent, 2026.</w:t>
      </w:r>
    </w:p>
  </w:footnote>
  <w:footnote w:id="37">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38">
    <w:p>
      <w:pPr>
        <w:pStyle w:val="FootnoteText"/>
      </w:pPr>
      <w:r>
        <w:rPr>
          <w:rStyle w:val="FootnoteReference"/>
        </w:rPr>
        <w:footnoteRef/>
      </w:r>
      <w:r>
        <w:t xml:space="preserve"> </w:t>
      </w:r>
      <w:r>
        <w:t xml:space="preserve">O‘zbekiston Respublikasi Markaziy banki. Moliyaviy barqarorlik sharhi: 2022-yil. – Toshkent, 2023.</w:t>
      </w:r>
    </w:p>
  </w:footnote>
  <w:footnote w:id="39">
    <w:p>
      <w:pPr>
        <w:pStyle w:val="FootnoteText"/>
      </w:pPr>
      <w:r>
        <w:rPr>
          <w:rStyle w:val="FootnoteReference"/>
        </w:rPr>
        <w:footnoteRef/>
      </w:r>
      <w:r>
        <w:t xml:space="preserve"> </w:t>
      </w:r>
      <w:r>
        <w:t xml:space="preserve">The Central Bank of the Republic of Uzbekistan. Annual Report 2023. – Tashkent, 2024. – P. 57.</w:t>
      </w:r>
    </w:p>
  </w:footnote>
  <w:footnote w:id="40">
    <w:p>
      <w:pPr>
        <w:pStyle w:val="FootnoteText"/>
      </w:pPr>
      <w:r>
        <w:rPr>
          <w:rStyle w:val="FootnoteReference"/>
        </w:rPr>
        <w:footnoteRef/>
      </w:r>
      <w:r>
        <w:t xml:space="preserve"> </w:t>
      </w:r>
      <w:r>
        <w:t xml:space="preserve">The Central Bank of the Republic of Uzbekistan. Financial Stability Report for 2025. – Tashkent, 2026.</w:t>
      </w:r>
    </w:p>
  </w:footnote>
  <w:footnote w:id="41">
    <w:p>
      <w:pPr>
        <w:pStyle w:val="FootnoteText"/>
      </w:pPr>
      <w:r>
        <w:rPr>
          <w:rStyle w:val="FootnoteReference"/>
        </w:rPr>
        <w:footnoteRef/>
      </w:r>
      <w:r>
        <w:t xml:space="preserve"> </w:t>
      </w:r>
      <w:r>
        <w:t xml:space="preserve">World Bank. Republic of Uzbekistan: Financial Sector Assessment. – Washington, DC: World Bank, 2025.</w:t>
      </w:r>
    </w:p>
  </w:footnote>
  <w:footnote w:id="42">
    <w:p>
      <w:pPr>
        <w:pStyle w:val="FootnoteText"/>
      </w:pPr>
      <w:r>
        <w:rPr>
          <w:rStyle w:val="FootnoteReference"/>
        </w:rPr>
        <w:footnoteRef/>
      </w:r>
      <w:r>
        <w:t xml:space="preserve"> </w:t>
      </w:r>
      <w:r>
        <w:t xml:space="preserve">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O‘zbekiston Respublikasi Markaziy banki. Moliyaviy barqarorlik sharhi: 2022-yil. – Toshkent, 2023; The Central Bank of the Republic of Uzbekistan. Annual Report 2023. – Tashkent, 2024. – P. 57; O‘zbekiston Respublikasi Markaziy banki. 2024-yil uchun moliyaviy barqarorlik sharhi. – Toshkent, 2025; The Central Bank of the Republic of Uzbekistan. Financial Stability Report for 2025. – Tashkent, 2026.</w:t>
      </w:r>
    </w:p>
  </w:footnote>
  <w:footnote w:id="43">
    <w:p>
      <w:pPr>
        <w:pStyle w:val="FootnoteText"/>
      </w:pPr>
      <w:r>
        <w:rPr>
          <w:rStyle w:val="FootnoteReference"/>
        </w:rPr>
        <w:footnoteRef/>
      </w:r>
      <w:r>
        <w:t xml:space="preserve"> </w:t>
      </w:r>
      <w:r>
        <w:t xml:space="preserve">International Monetary Fund. Republic of Uzbekistan: 2022 Article IV Consultation – Press Release; Staff Report; and Statement by the Executive Director for the Republic of Uzbekistan. IMF Country Report No. 22/189. – Washington, DC: IMF, 2022. – P. 30 (Table 7).</w:t>
      </w:r>
    </w:p>
  </w:footnote>
  <w:footnote w:id="44">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45">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45.</w:t>
      </w:r>
    </w:p>
  </w:footnote>
  <w:footnote w:id="46">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53.</w:t>
      </w:r>
    </w:p>
  </w:footnote>
  <w:footnote w:id="47">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48">
    <w:p>
      <w:pPr>
        <w:pStyle w:val="FootnoteText"/>
      </w:pPr>
      <w:r>
        <w:rPr>
          <w:rStyle w:val="FootnoteReference"/>
        </w:rPr>
        <w:footnoteRef/>
      </w:r>
      <w:r>
        <w:t xml:space="preserve"> </w:t>
      </w:r>
      <w:r>
        <w:t xml:space="preserve">Tadqiqot natijasida muallif tomonidan 2.2.1-jadval ma’lumotlari asosida ishlab chiqildi.</w:t>
      </w:r>
    </w:p>
  </w:footnote>
  <w:footnote w:id="49">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84–85.</w:t>
      </w:r>
    </w:p>
  </w:footnote>
  <w:footnote w:id="50">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51">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52">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2021–2025-yillar 30-dekabr holatiga; «Mikrokreditbank» ATB ning Markaziy bankka taqdim etilgan prudensial hisobot shakllari (crs005C, crs005L, crs005O): bank balansi, daromadlar, regulyativ kapital hisob-kitobi, aktivlarni tasniflash va prudensial me’yorlar jadvallari, 2021–2025-yillar 30-dekabr holatiga.</w:t>
      </w:r>
    </w:p>
  </w:footnote>
  <w:footnote w:id="53">
    <w:p>
      <w:pPr>
        <w:pStyle w:val="FootnoteText"/>
      </w:pPr>
      <w:r>
        <w:rPr>
          <w:rStyle w:val="FootnoteReference"/>
        </w:rPr>
        <w:footnoteRef/>
      </w:r>
      <w:r>
        <w:t xml:space="preserve"> </w:t>
      </w:r>
      <w:r>
        <w:t xml:space="preserve">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2021–2025-yillar 30-dekabr holatiga; «Mikrokreditbank» ATB ning Markaziy bankka taqdim etilgan prudensial hisobot shakllari (crs005C, crs005L, crs005O): bank balansi, daromadlar, regulyativ kapital hisob-kitobi, aktivlarni tasniflash va prudensial me’yorlar jadvallari, 2021–2025-yillar 30-dekabr holatiga.</w:t>
      </w:r>
    </w:p>
  </w:footnote>
  <w:footnote w:id="54">
    <w:p>
      <w:pPr>
        <w:pStyle w:val="FootnoteText"/>
      </w:pPr>
      <w:r>
        <w:rPr>
          <w:rStyle w:val="FootnoteReference"/>
        </w:rPr>
        <w:footnoteRef/>
      </w:r>
      <w:r>
        <w:t xml:space="preserve"> </w:t>
      </w:r>
      <w:r>
        <w:t xml:space="preserve">Hendrickson J.M. Regulation and Instability in U.S. Commercial Banking: A History of Crises. – Basingstoke: Palgrave Macmillan, 2011. – P. 225–227.</w:t>
      </w:r>
    </w:p>
  </w:footnote>
  <w:footnote w:id="55">
    <w:p>
      <w:pPr>
        <w:pStyle w:val="FootnoteText"/>
      </w:pPr>
      <w:r>
        <w:rPr>
          <w:rStyle w:val="FootnoteReference"/>
        </w:rPr>
        <w:footnoteRef/>
      </w:r>
      <w:r>
        <w:t xml:space="preserve"> </w:t>
      </w:r>
      <w:r>
        <w:t xml:space="preserve">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2021–2025-yillar 30-dekabr holatiga; «Mikrokreditbank» ATB ning Markaziy bankka taqdim etilgan prudensial hisobot shakllari (crs005C, crs005L, crs005O): bank balansi, daromadlar, regulyativ kapital hisob-kitobi, aktivlarni tasniflash va prudensial me’yorlar jadvallari, 2021–2025-yillar 30-dekabr holatiga.</w:t>
      </w:r>
    </w:p>
  </w:footnote>
  <w:footnote w:id="56">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28–31.</w:t>
      </w:r>
    </w:p>
  </w:footnote>
  <w:footnote w:id="57">
    <w:p>
      <w:pPr>
        <w:pStyle w:val="FootnoteText"/>
      </w:pPr>
      <w:r>
        <w:rPr>
          <w:rStyle w:val="FootnoteReference"/>
        </w:rPr>
        <w:footnoteRef/>
      </w:r>
      <w:r>
        <w:t xml:space="preserve"> </w:t>
      </w:r>
      <w:r>
        <w:t xml:space="preserve">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58">
    <w:p>
      <w:pPr>
        <w:pStyle w:val="FootnoteText"/>
      </w:pPr>
      <w:r>
        <w:rPr>
          <w:rStyle w:val="FootnoteReference"/>
        </w:rPr>
        <w:footnoteRef/>
      </w:r>
      <w:r>
        <w:t xml:space="preserve"> </w:t>
      </w:r>
      <w:r>
        <w:t xml:space="preserve">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2021–2025-yillar 30-dekabr holatiga; «Mikrokreditbank» ATB ning Markaziy bankka taqdim etilgan prudensial hisobot shakllari (crs005C, crs005L, crs005O): bank balansi, daromadlar, regulyativ kapital hisob-kitobi, aktivlarni tasniflash va prudensial me’yorlar jadvallari, 2021–2025-yillar 30-dekabr holatiga.</w:t>
      </w:r>
    </w:p>
  </w:footnote>
  <w:footnote w:id="59">
    <w:p>
      <w:pPr>
        <w:pStyle w:val="FootnoteText"/>
      </w:pPr>
      <w:r>
        <w:rPr>
          <w:rStyle w:val="FootnoteReference"/>
        </w:rPr>
        <w:footnoteRef/>
      </w:r>
      <w:r>
        <w:t xml:space="preserve"> </w:t>
      </w:r>
      <w:r>
        <w:t xml:space="preserve">«Mikrokreditbank» ATB ning Markaziy bankka taqdim etilgan prudensial hisobot shakllari (crs005C, crs005L, crs005O): bank balansi, daromadlar, regulyativ kapital hisob-kitobi, aktivlarni tasniflash va prudensial me’yorlar jadvallari, 2021–2025-yillar 30-dekabr holatiga.</w:t>
      </w:r>
    </w:p>
  </w:footnote>
  <w:footnote w:id="60">
    <w:p>
      <w:pPr>
        <w:pStyle w:val="FootnoteText"/>
      </w:pPr>
      <w:r>
        <w:rPr>
          <w:rStyle w:val="FootnoteReference"/>
        </w:rPr>
        <w:footnoteRef/>
      </w:r>
      <w:r>
        <w:t xml:space="preserve"> </w:t>
      </w:r>
      <w:r>
        <w:t xml:space="preserve">«O‘zsanoatqurilishbank» ATB ning Markaziy bankka taqdim etilgan prudensial hisobot shakllari (crs003C, crs003L, crs003O): bank balansi, daromadlar, regulyativ kapital hisob-kitobi, aktivlarni tasniflash va prudensial me’yorlar jadvallari, 2021–2025-yillar 30-dekabr holatiga.</w:t>
      </w:r>
    </w:p>
  </w:footnote>
  <w:footnote w:id="61">
    <w:p>
      <w:pPr>
        <w:pStyle w:val="FootnoteText"/>
      </w:pPr>
      <w:r>
        <w:rPr>
          <w:rStyle w:val="FootnoteReference"/>
        </w:rPr>
        <w:footnoteRef/>
      </w:r>
      <w:r>
        <w:t xml:space="preserve"> </w:t>
      </w:r>
      <w:r>
        <w:t xml:space="preserve">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The Central Bank of the Republic of Uzbekistan. Financial Stability Report for 2025. – Tashkent, 2026; World Bank. Republic of Uzbekistan: Financial Sector Assessment. – Washington, DC: World Bank, 2025; «O‘zsanoatqurilishbank» ATB ning Markaziy bankka taqdim etilgan prudensial hisobot shakllari (crs003C, crs003L, crs003O): bank balansi, daromadlar, regulyativ kapital hisob-kitobi, aktivlarni tasniflash va prudensial me’yorlar jadvallari, 2021–2025-yillar 30-dekabr holatiga; «Mikrokreditbank» ATB ning Markaziy bankka taqdim etilgan prudensial hisobot shakllari (crs005C, crs005L, crs005O): bank balansi, daromadlar, regulyativ kapital hisob-kitobi, aktivlarni tasniflash va prudensial me’yorlar jadvallari, 2021–2025-yillar 30-dekabr holatiga;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 Id="rId12" Type="http://schemas.openxmlformats.org/officeDocument/2006/relationships/chart" Target="charts/chart4.xml"/><Relationship Id="rId13" Type="http://schemas.openxmlformats.org/officeDocument/2006/relationships/chart" Target="charts/chart5.xml"/><Relationship Id="rId14" Type="http://schemas.openxmlformats.org/officeDocument/2006/relationships/chart" Target="charts/chart6.xml"/><Relationship Id="rId15" Type="http://schemas.openxmlformats.org/officeDocument/2006/relationships/chart" Target="charts/chart7.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Aktivlardagi ulushi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81.5</c:v>
                </c:pt>
                <c:pt idx="1">
                  <c:v>78.2</c:v>
                </c:pt>
                <c:pt idx="2">
                  <c:v>67.7</c:v>
                </c:pt>
                <c:pt idx="3">
                  <c:v>65.4</c:v>
                </c:pt>
                <c:pt idx="4">
                  <c:v>63.5</c:v>
                </c:pt>
              </c:numCache>
            </c:numRef>
          </c:val>
        </c:ser>
        <c:ser>
          <c:idx val="1"/>
          <c:order val="1"/>
          <c:tx>
            <c:strRef>
              <c:f>Sheet1!$C$1</c:f>
              <c:strCache>
                <c:ptCount val="1"/>
                <c:pt idx="0">
                  <c:v>Kreditlardagi ulushi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85.8</c:v>
                </c:pt>
                <c:pt idx="1">
                  <c:v>83.2</c:v>
                </c:pt>
                <c:pt idx="2">
                  <c:v>70.7</c:v>
                </c:pt>
                <c:pt idx="3">
                  <c:v>68.8</c:v>
                </c:pt>
                <c:pt idx="4">
                  <c:v>67.0</c:v>
                </c:pt>
              </c:numCache>
            </c:numRef>
          </c:val>
        </c:ser>
        <c:ser>
          <c:idx val="2"/>
          <c:order val="2"/>
          <c:tx>
            <c:strRef>
              <c:f>Sheet1!$D$1</c:f>
              <c:strCache>
                <c:ptCount val="1"/>
                <c:pt idx="0">
                  <c:v>Depozitlardagi ulushi</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66.7</c:v>
                </c:pt>
                <c:pt idx="1">
                  <c:v>62.5</c:v>
                </c:pt>
                <c:pt idx="2">
                  <c:v>51.5</c:v>
                </c:pt>
                <c:pt idx="3">
                  <c:v>50.1</c:v>
                </c:pt>
                <c:pt idx="4">
                  <c:v>51.0</c:v>
                </c:pt>
              </c:numCache>
            </c:numRef>
          </c:val>
        </c:ser>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Bank tizimi jami ko‘rsatkichiga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Regulyativ kapital monandligi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17.5</c:v>
                </c:pt>
                <c:pt idx="1">
                  <c:v>17.8</c:v>
                </c:pt>
                <c:pt idx="2">
                  <c:v>17.5</c:v>
                </c:pt>
                <c:pt idx="3">
                  <c:v>17.4</c:v>
                </c:pt>
                <c:pt idx="4">
                  <c:v>18.3</c:v>
                </c:pt>
              </c:numCache>
            </c:numRef>
          </c:val>
        </c:ser>
        <c:ser>
          <c:idx val="1"/>
          <c:order val="1"/>
          <c:tx>
            <c:strRef>
              <c:f>Sheet1!$C$1</c:f>
              <c:strCache>
                <c:ptCount val="1"/>
                <c:pt idx="0">
                  <c:v>Asosiy kapital (CET1) monandligi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14.6</c:v>
                </c:pt>
                <c:pt idx="1">
                  <c:v>14.4</c:v>
                </c:pt>
                <c:pt idx="2">
                  <c:v>14.1</c:v>
                </c:pt>
                <c:pt idx="3">
                  <c:v>14.3</c:v>
                </c:pt>
                <c:pt idx="4">
                  <c:v>14.7</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2"/>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Muammoli kreditlar, jami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5.2</c:v>
                </c:pt>
                <c:pt idx="1">
                  <c:v>3.6</c:v>
                </c:pt>
                <c:pt idx="2">
                  <c:v>3.5</c:v>
                </c:pt>
                <c:pt idx="3">
                  <c:v>4.0</c:v>
                </c:pt>
                <c:pt idx="4">
                  <c:v>3.0</c:v>
                </c:pt>
              </c:numCache>
            </c:numRef>
          </c:val>
        </c:ser>
        <c:ser>
          <c:idx val="1"/>
          <c:order val="1"/>
          <c:tx>
            <c:strRef>
              <c:f>Sheet1!$C$1</c:f>
              <c:strCache>
                <c:ptCount val="1"/>
                <c:pt idx="0">
                  <c:v>Muammoli kreditlar, davlat banklari</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5.4</c:v>
                </c:pt>
                <c:pt idx="1">
                  <c:v>3.9</c:v>
                </c:pt>
                <c:pt idx="2">
                  <c:v>4.0</c:v>
                </c:pt>
                <c:pt idx="3">
                  <c:v>3.9</c:v>
                </c:pt>
                <c:pt idx="4">
                  <c:v>3.2</c:v>
                </c:pt>
              </c:numCache>
            </c:numRef>
          </c:val>
        </c:ser>
        <c:ser>
          <c:idx val="2"/>
          <c:order val="2"/>
          <c:tx>
            <c:strRef>
              <c:f>Sheet1!$D$1</c:f>
              <c:strCache>
                <c:ptCount val="1"/>
                <c:pt idx="0">
                  <c:v>Muammoli kreditlar, boshqa banklar</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4.1</c:v>
                </c:pt>
                <c:pt idx="1">
                  <c:v>2.1</c:v>
                </c:pt>
                <c:pt idx="2">
                  <c:v>2.4</c:v>
                </c:pt>
                <c:pt idx="3">
                  <c:v>4.1</c:v>
                </c:pt>
                <c:pt idx="4">
                  <c:v>2.6</c:v>
                </c:pt>
              </c:numCache>
            </c:numRef>
          </c:val>
        </c:ser>
        <c:ser>
          <c:idx val="3"/>
          <c:order val="3"/>
          <c:tx>
            <c:strRef>
              <c:f>Sheet1!$E$1</c:f>
              <c:strCache>
                <c:ptCount val="1"/>
                <c:pt idx="0">
                  <c:v>Substandart va muammoli kreditlar</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12.5</c:v>
                </c:pt>
                <c:pt idx="1">
                  <c:v>15.9</c:v>
                </c:pt>
                <c:pt idx="2">
                  <c:v>19.5</c:v>
                </c:pt>
                <c:pt idx="3">
                  <c:v>21.0</c:v>
                </c:pt>
                <c:pt idx="4">
                  <c:v>15.0</c:v>
                </c:pt>
              </c:numCache>
            </c:numRef>
          </c:val>
        </c:ser>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ROA</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1.4</c:v>
                </c:pt>
                <c:pt idx="1">
                  <c:v>2.5</c:v>
                </c:pt>
                <c:pt idx="2">
                  <c:v>2.6</c:v>
                </c:pt>
                <c:pt idx="3">
                  <c:v>1.4</c:v>
                </c:pt>
                <c:pt idx="4">
                  <c:v>2.2</c:v>
                </c:pt>
              </c:numCache>
            </c:numRef>
          </c:yVal>
          <c:smooth val="0"/>
        </c:ser>
        <c:ser>
          <c:idx val="1"/>
          <c:order val="1"/>
          <c:tx>
            <c:strRef>
              <c:f>Sheet1!$D$1</c:f>
              <c:strCache>
                <c:ptCount val="1"/>
                <c:pt idx="0">
                  <c:v>ROE</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6.1</c:v>
                </c:pt>
                <c:pt idx="1">
                  <c:v>13.3</c:v>
                </c:pt>
                <c:pt idx="2">
                  <c:v>14.2</c:v>
                </c:pt>
                <c:pt idx="3">
                  <c:v>6.6</c:v>
                </c:pt>
                <c:pt idx="4">
                  <c:v>12.4</c:v>
                </c:pt>
              </c:numCache>
            </c:numRef>
          </c:yVal>
          <c:smooth val="0"/>
        </c:ser>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1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15.8</c:v>
                </c:pt>
                <c:pt idx="1">
                  <c:v>15.3</c:v>
                </c:pt>
                <c:pt idx="2">
                  <c:v>16.1</c:v>
                </c:pt>
                <c:pt idx="3">
                  <c:v>15.6</c:v>
                </c:pt>
                <c:pt idx="4">
                  <c:v>17.0</c:v>
                </c:pt>
              </c:numCache>
            </c:numRef>
          </c:val>
        </c:ser>
        <c:ser>
          <c:idx val="1"/>
          <c:order val="1"/>
          <c:tx>
            <c:strRef>
              <c:f>Sheet1!$C$1</c:f>
              <c:strCache>
                <c:ptCount val="1"/>
                <c:pt idx="0">
                  <c:v>«Mikrokreditbank»</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13.8</c:v>
                </c:pt>
                <c:pt idx="1">
                  <c:v>20.7</c:v>
                </c:pt>
                <c:pt idx="2">
                  <c:v>18.6</c:v>
                </c:pt>
                <c:pt idx="3">
                  <c:v>15.4</c:v>
                </c:pt>
                <c:pt idx="4">
                  <c:v>18.5</c:v>
                </c:pt>
              </c:numCache>
            </c:numRef>
          </c:val>
        </c:ser>
        <c:ser>
          <c:idx val="2"/>
          <c:order val="2"/>
          <c:tx>
            <c:strRef>
              <c:f>Sheet1!$D$1</c:f>
              <c:strCache>
                <c:ptCount val="1"/>
                <c:pt idx="0">
                  <c:v>Regulyativ minimum</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13</c:v>
                </c:pt>
                <c:pt idx="1">
                  <c:v>13</c:v>
                </c:pt>
                <c:pt idx="2">
                  <c:v>13</c:v>
                </c:pt>
                <c:pt idx="3">
                  <c:v>13</c:v>
                </c:pt>
                <c:pt idx="4">
                  <c:v>13</c:v>
                </c:pt>
              </c:numCache>
            </c:numRef>
          </c:val>
        </c:ser>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SQB: muammoli kreditlar</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c:v>
                </c:pt>
                <c:pt idx="1">
                  <c:v>2.8</c:v>
                </c:pt>
                <c:pt idx="2">
                  <c:v>2.2</c:v>
                </c:pt>
                <c:pt idx="3">
                  <c:v>2.8</c:v>
                </c:pt>
                <c:pt idx="4">
                  <c:v>2.5</c:v>
                </c:pt>
              </c:numCache>
            </c:numRef>
          </c:val>
        </c:ser>
        <c:ser>
          <c:idx val="1"/>
          <c:order val="1"/>
          <c:tx>
            <c:strRef>
              <c:f>Sheet1!$C$1</c:f>
              <c:strCache>
                <c:ptCount val="1"/>
                <c:pt idx="0">
                  <c:v>SQB: substandart kreditlar</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6.2</c:v>
                </c:pt>
                <c:pt idx="1">
                  <c:v>5.3</c:v>
                </c:pt>
                <c:pt idx="2">
                  <c:v>11.0</c:v>
                </c:pt>
                <c:pt idx="3">
                  <c:v>14.8</c:v>
                </c:pt>
                <c:pt idx="4">
                  <c:v>18.4</c:v>
                </c:pt>
              </c:numCache>
            </c:numRef>
          </c:val>
        </c:ser>
        <c:ser>
          <c:idx val="2"/>
          <c:order val="2"/>
          <c:tx>
            <c:strRef>
              <c:f>Sheet1!$D$1</c:f>
              <c:strCache>
                <c:ptCount val="1"/>
                <c:pt idx="0">
                  <c:v>MK: muammoli kreditlar</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5.9</c:v>
                </c:pt>
                <c:pt idx="1">
                  <c:v>4.8</c:v>
                </c:pt>
                <c:pt idx="2">
                  <c:v>6.0</c:v>
                </c:pt>
                <c:pt idx="3">
                  <c:v>4.6</c:v>
                </c:pt>
                <c:pt idx="4">
                  <c:v>4.4</c:v>
                </c:pt>
              </c:numCache>
            </c:numRef>
          </c:val>
        </c:ser>
        <c:ser>
          <c:idx val="3"/>
          <c:order val="3"/>
          <c:tx>
            <c:strRef>
              <c:f>Sheet1!$E$1</c:f>
              <c:strCache>
                <c:ptCount val="1"/>
                <c:pt idx="0">
                  <c:v>MK: substandart kreditlar</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9.1</c:v>
                </c:pt>
                <c:pt idx="1">
                  <c:v>19.3</c:v>
                </c:pt>
                <c:pt idx="2">
                  <c:v>24.5</c:v>
                </c:pt>
                <c:pt idx="3">
                  <c:v>21.3</c:v>
                </c:pt>
                <c:pt idx="4">
                  <c:v>9.0</c:v>
                </c:pt>
              </c:numCache>
            </c:numRef>
          </c:val>
        </c:ser>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8"/>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16.0</c:v>
                </c:pt>
                <c:pt idx="1">
                  <c:v>7.6</c:v>
                </c:pt>
                <c:pt idx="2">
                  <c:v>11.0</c:v>
                </c:pt>
                <c:pt idx="3">
                  <c:v>13.9</c:v>
                </c:pt>
                <c:pt idx="4">
                  <c:v>17.2</c:v>
                </c:pt>
              </c:numCache>
            </c:numRef>
          </c:val>
        </c:ser>
        <c:ser>
          <c:idx val="1"/>
          <c:order val="1"/>
          <c:tx>
            <c:strRef>
              <c:f>Sheet1!$C$1</c:f>
              <c:strCache>
                <c:ptCount val="1"/>
                <c:pt idx="0">
                  <c:v>«Mikrokreditbank»</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2.2</c:v>
                </c:pt>
                <c:pt idx="1">
                  <c:v>0.7</c:v>
                </c:pt>
                <c:pt idx="2">
                  <c:v>1.1</c:v>
                </c:pt>
                <c:pt idx="3">
                  <c:v>-45.5</c:v>
                </c:pt>
                <c:pt idx="4">
                  <c:v>3.5</c:v>
                </c:pt>
              </c:numCache>
            </c:numRef>
          </c:val>
        </c:ser>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5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2026-10-11T06:00:36Z</dcterms:created>
  <dcterms:modified xsi:type="dcterms:W3CDTF">2026-10-11T06:00:36Z</dcterms:modified>
</cp:coreProperties>
</file>

<file path=docProps/custom.xml><?xml version="1.0" encoding="utf-8"?>
<Properties xmlns="http://schemas.openxmlformats.org/officeDocument/2006/custom-properties" xmlns:vt="http://schemas.openxmlformats.org/officeDocument/2006/docPropsVTypes"/>
</file>