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kirish"/>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0"/>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1"/>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22"/>
      </w:r>
      <w:r>
        <w:rPr>
          <w:rFonts w:ascii="Times New Roman" w:hAnsi="Times New Roman" w:cs="Times New Roman" w:eastAsia="Times New Roman"/>
          <w:sz w:val="28"/>
        </w:rPr>
        <w:t xml:space="preserve">, Buyuk Britaniyada esa ularni joriy etish 2027-yilga ko‘chirildi</w:t>
      </w:r>
      <w:r>
        <w:rPr>
          <w:rStyle w:val="FootnoteReference"/>
        </w:rPr>
        <w:footnoteReference w:id="23"/>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24"/>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25"/>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26"/>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27"/>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28"/>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29"/>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30"/>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31"/>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32"/>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33"/>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34"/>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35"/>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36"/>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39"/>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40"/>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41"/>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44"/>
      </w:r>
      <w:r>
        <w:rPr>
          <w:rStyle w:val="FootnoteReference"/>
        </w:rPr>
        <w:footnoteReference w:id="45"/>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46"/>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47"/>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50"/>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rPr>
          <w:rStyle w:val="FootnoteReference"/>
        </w:rPr>
        <w:footnoteReference w:id="56"/>
      </w:r>
      <w:r>
        <w:rPr>
          <w:rStyle w:val="FootnoteReference"/>
        </w:rPr>
        <w:footnoteReference w:id="57"/>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63"/>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69"/>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asosiy matni 229 betni tashkil etadi, unda 60 dan ortiq jadval va rasm keltirilgan, foydalanilgan adabiyotlar ro‘yxati 174 ta manbani o‘z ichiga oladi, ilovalar esa 12 betni tashkil etadi.</w:t>
      </w:r>
    </w:p>
    <w:bookmarkEnd w:id="7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
    <w:p>
      <w:pPr>
        <w:pStyle w:val="FootnoteText"/>
      </w:pPr>
      <w:r>
        <w:rPr>
          <w:rStyle w:val="FootnoteReference"/>
        </w:rPr>
        <w:footnoteRef/>
      </w:r>
      <w:r>
        <w:t xml:space="preserve"> </w:t>
      </w:r>
      <w:r>
        <w:t xml:space="preserve">European Banking Authority. 2025 EU-wide stress test: Results. – Paris: EBA, 1 August 2025.</w:t>
      </w:r>
    </w:p>
  </w:footnote>
  <w:footnote w:id="22">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3">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4">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5">
    <w:p>
      <w:pPr>
        <w:pStyle w:val="FootnoteText"/>
      </w:pPr>
      <w:r>
        <w:rPr>
          <w:rStyle w:val="FootnoteReference"/>
        </w:rPr>
        <w:footnoteRef/>
      </w:r>
      <w:r>
        <w:t xml:space="preserve"> </w:t>
      </w:r>
      <w:r>
        <w:t xml:space="preserve">IFRS 9 Financial Instruments. – London: International Accounting Standards Board, 2014.</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The Central Bank of the Republic of Uzbekistan. Financial Stability Report for 2025. – Tashkent, 2026.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3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3">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34">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36">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8">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39">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40">
    <w:p>
      <w:pPr>
        <w:pStyle w:val="FootnoteText"/>
      </w:pPr>
      <w:r>
        <w:rPr>
          <w:rStyle w:val="FootnoteReference"/>
        </w:rPr>
        <w:footnoteRef/>
      </w:r>
      <w:r>
        <w:t xml:space="preserve"> </w:t>
      </w:r>
      <w:r>
        <w:t xml:space="preserve">IFRS 9 Financial Instruments. – London: International Accounting Standards Board, 2014.</w:t>
      </w:r>
    </w:p>
  </w:footnote>
  <w:footnote w:id="41">
    <w:p>
      <w:pPr>
        <w:pStyle w:val="FootnoteText"/>
      </w:pPr>
      <w:r>
        <w:rPr>
          <w:rStyle w:val="FootnoteReference"/>
        </w:rPr>
        <w:footnoteRef/>
      </w:r>
      <w:r>
        <w:t xml:space="preserve"> </w:t>
      </w:r>
      <w:r>
        <w:t xml:space="preserve">Basel Committee on Banking Supervision. Report on the 2023 banking turmoil. – Basel: BIS, October 2023.</w:t>
      </w:r>
    </w:p>
  </w:footnote>
  <w:footnote w:id="4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43">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44">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45">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46">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4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9">
    <w:p>
      <w:pPr>
        <w:pStyle w:val="FootnoteText"/>
      </w:pPr>
      <w:r>
        <w:rPr>
          <w:rStyle w:val="FootnoteReference"/>
        </w:rPr>
        <w:footnoteRef/>
      </w:r>
      <w:r>
        <w:t xml:space="preserve"> </w:t>
      </w:r>
      <w:r>
        <w:t xml:space="preserve">World Bank. Republic of Uzbekistan: Financial Sector Assessment. – Washington, DC: World Bank, 2025.</w:t>
      </w:r>
    </w:p>
  </w:footnote>
  <w:footnote w:id="50">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1">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54">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5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5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57">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58">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9">
    <w:p>
      <w:pPr>
        <w:pStyle w:val="FootnoteText"/>
      </w:pPr>
      <w:r>
        <w:rPr>
          <w:rStyle w:val="FootnoteReference"/>
        </w:rPr>
        <w:footnoteRef/>
      </w:r>
      <w:r>
        <w:t xml:space="preserve"> </w:t>
      </w:r>
      <w:r>
        <w:t xml:space="preserve">Adrian T., Brunnermeier M.K. CoVaR // American Economic Review. – 2016. – Vol. 106, No. 7. – P. 1705–1741.</w:t>
      </w:r>
    </w:p>
  </w:footnote>
  <w:footnote w:id="6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61">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6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6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6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65">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66">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67">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69">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2026-10-12T02:33:09Z</dcterms:created>
  <dcterms:modified xsi:type="dcterms:W3CDTF">2026-10-12T02:33:09Z</dcterms:modified>
</cp:coreProperties>
</file>

<file path=docProps/custom.xml><?xml version="1.0" encoding="utf-8"?>
<Properties xmlns="http://schemas.openxmlformats.org/officeDocument/2006/custom-properties" xmlns:vt="http://schemas.openxmlformats.org/officeDocument/2006/docPropsVTypes"/>
</file>