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lsx" ContentType="application/vnd.openxmlformats-officedocument.spreadsheetml.sheet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charts/chart1.xml" ContentType="application/vnd.openxmlformats-officedocument.drawingml.chart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keepNext/>
        <w:spacing w:line="240" w:lineRule="auto" w:before="0" w:after="0"/>
        <w:ind w:firstLine="0"/>
        <w:jc w:val="center"/>
      </w:pPr>
      <w:r xmlns:a="http://schemas.openxmlformats.org/drawingml/2006/main" xmlns:c="http://schemas.openxmlformats.org/drawingml/2006/chart">
        <w:rPr>
          <w:noProof/>
        </w:rPr>
        <w:drawing>
          <wp:inline distT="0" distB="0" distL="0" distR="0">
            <wp:extent cx="5940000" cy="2340000"/>
            <wp:effectExtent l="0" t="0" r="0" b="0"/>
            <wp:docPr id="1001" name="2.2.7-rasm"/>
            <wp:cNvGraphicFramePr/>
            <a:graphic>
              <a:graphicData uri="http://schemas.openxmlformats.org/drawingml/2006/chart">
                <c:chart r:id="rId9"/>
              </a:graphicData>
            </a:graphic>
          </wp:inline>
        </w:drawing>
      </w:r>
    </w:p>
    <w:tbl>
      <w:tblPr>
        <w:tblStyle w:val="TableGrid"/>
        <w:jc w:val="center"/>
        <w:tblLayout w:type="fixed"/>
        <w:tblLook w:firstColumn="1" w:firstRow="1" w:lastColumn="0" w:lastRow="0" w:noHBand="0" w:noVBand="1" w:val="04A0"/>
        <w:tblLayout w:type="fixed"/>
        <w:tblW w:w="9263" w:type="dxa"/>
      </w:tblPr>
      <w:tblGrid>
        <w:gridCol w:w="3368"/>
        <w:gridCol w:w="1179"/>
        <w:gridCol w:w="1179"/>
        <w:gridCol w:w="1179"/>
        <w:gridCol w:w="1179"/>
        <w:gridCol w:w="1179"/>
      </w:tblGrid>
      <w:tr>
        <w:tc>
          <w:tcPr>
            <w:tcW w:type="dxa" w:w="3368"/>
          </w:tcPr>
          <w:p>
            <w:pPr>
              <w:spacing w:before="0" w:after="0" w:line="240" w:lineRule="auto"/>
              <w:ind w:firstLine="0"/>
              <w:jc w:val="left"/>
            </w:pPr>
            <w:r>
              <w:rPr>
                <w:rFonts w:ascii="Times New Roman" w:hAnsi="Times New Roman"/>
                <w:b/>
                <w:sz w:val="19"/>
              </w:rPr>
            </w:r>
          </w:p>
        </w:tc>
        <w:tc>
          <w:tcPr>
            <w:tcW w:type="dxa" w:w="1179"/>
          </w:tcPr>
          <w:p>
            <w:pPr>
              <w:spacing w:before="0" w:after="0" w:line="240" w:lineRule="auto"/>
              <w:ind w:firstLine="0"/>
              <w:jc w:val="center"/>
            </w:pPr>
            <w:r>
              <w:rPr>
                <w:rFonts w:ascii="Times New Roman" w:hAnsi="Times New Roman"/>
                <w:b/>
                <w:sz w:val="19"/>
              </w:rPr>
              <w:t>2021</w:t>
            </w:r>
          </w:p>
        </w:tc>
        <w:tc>
          <w:tcPr>
            <w:tcW w:type="dxa" w:w="1179"/>
          </w:tcPr>
          <w:p>
            <w:pPr>
              <w:spacing w:before="0" w:after="0" w:line="240" w:lineRule="auto"/>
              <w:ind w:firstLine="0"/>
              <w:jc w:val="center"/>
            </w:pPr>
            <w:r>
              <w:rPr>
                <w:rFonts w:ascii="Times New Roman" w:hAnsi="Times New Roman"/>
                <w:b/>
                <w:sz w:val="19"/>
              </w:rPr>
              <w:t>2022</w:t>
            </w:r>
          </w:p>
        </w:tc>
        <w:tc>
          <w:tcPr>
            <w:tcW w:type="dxa" w:w="1179"/>
          </w:tcPr>
          <w:p>
            <w:pPr>
              <w:spacing w:before="0" w:after="0" w:line="240" w:lineRule="auto"/>
              <w:ind w:firstLine="0"/>
              <w:jc w:val="center"/>
            </w:pPr>
            <w:r>
              <w:rPr>
                <w:rFonts w:ascii="Times New Roman" w:hAnsi="Times New Roman"/>
                <w:b/>
                <w:sz w:val="19"/>
              </w:rPr>
              <w:t>2023</w:t>
            </w:r>
          </w:p>
        </w:tc>
        <w:tc>
          <w:tcPr>
            <w:tcW w:type="dxa" w:w="1179"/>
          </w:tcPr>
          <w:p>
            <w:pPr>
              <w:spacing w:before="0" w:after="0" w:line="240" w:lineRule="auto"/>
              <w:ind w:firstLine="0"/>
              <w:jc w:val="center"/>
            </w:pPr>
            <w:r>
              <w:rPr>
                <w:rFonts w:ascii="Times New Roman" w:hAnsi="Times New Roman"/>
                <w:b/>
                <w:sz w:val="19"/>
              </w:rPr>
              <w:t>2024</w:t>
            </w:r>
          </w:p>
        </w:tc>
        <w:tc>
          <w:tcPr>
            <w:tcW w:type="dxa" w:w="1179"/>
          </w:tcPr>
          <w:p>
            <w:pPr>
              <w:spacing w:before="0" w:after="0" w:line="240" w:lineRule="auto"/>
              <w:ind w:firstLine="0"/>
              <w:jc w:val="center"/>
            </w:pPr>
            <w:r>
              <w:rPr>
                <w:rFonts w:ascii="Times New Roman" w:hAnsi="Times New Roman"/>
                <w:b/>
                <w:sz w:val="19"/>
              </w:rPr>
              <w:t>2025</w:t>
            </w:r>
          </w:p>
        </w:tc>
      </w:tr>
      <w:tr>
        <w:tc>
          <w:tcPr>
            <w:tcW w:type="dxa" w:w="3368"/>
          </w:tcPr>
          <w:p>
            <w:pPr>
              <w:spacing w:before="0" w:after="0" w:line="240" w:lineRule="auto"/>
              <w:ind w:firstLine="0"/>
              <w:jc w:val="left"/>
            </w:pPr>
            <w:r>
              <w:rPr>
                <w:rFonts w:ascii="Times New Roman" w:hAnsi="Times New Roman"/>
                <w:b/>
                <w:color w:val="5B9BD5"/>
                <w:sz w:val="19"/>
              </w:rPr>
              <w:t xml:space="preserve">– – ●  </w:t>
            </w:r>
            <w:r>
              <w:rPr>
                <w:rFonts w:ascii="Times New Roman" w:hAnsi="Times New Roman"/>
                <w:b/>
                <w:sz w:val="19"/>
              </w:rPr>
              <w:t>SQB: rasmiy muammoli</w:t>
            </w:r>
          </w:p>
        </w:tc>
        <w:tc>
          <w:tcPr>
            <w:tcW w:type="dxa" w:w="1179"/>
          </w:tcPr>
          <w:p>
            <w:pPr>
              <w:spacing w:before="0" w:after="0" w:line="240" w:lineRule="auto"/>
              <w:ind w:firstLine="0"/>
              <w:jc w:val="center"/>
            </w:pPr>
            <w:r>
              <w:rPr>
                <w:rFonts w:ascii="Times New Roman" w:hAnsi="Times New Roman"/>
                <w:b/>
                <w:sz w:val="19"/>
              </w:rPr>
              <w:t>3,8</w:t>
            </w:r>
          </w:p>
        </w:tc>
        <w:tc>
          <w:tcPr>
            <w:tcW w:type="dxa" w:w="1179"/>
          </w:tcPr>
          <w:p>
            <w:pPr>
              <w:spacing w:before="0" w:after="0" w:line="240" w:lineRule="auto"/>
              <w:ind w:firstLine="0"/>
              <w:jc w:val="center"/>
            </w:pPr>
            <w:r>
              <w:rPr>
                <w:rFonts w:ascii="Times New Roman" w:hAnsi="Times New Roman"/>
                <w:b/>
                <w:sz w:val="19"/>
              </w:rPr>
              <w:t>2,8</w:t>
            </w:r>
          </w:p>
        </w:tc>
        <w:tc>
          <w:tcPr>
            <w:tcW w:type="dxa" w:w="1179"/>
          </w:tcPr>
          <w:p>
            <w:pPr>
              <w:spacing w:before="0" w:after="0" w:line="240" w:lineRule="auto"/>
              <w:ind w:firstLine="0"/>
              <w:jc w:val="center"/>
            </w:pPr>
            <w:r>
              <w:rPr>
                <w:rFonts w:ascii="Times New Roman" w:hAnsi="Times New Roman"/>
                <w:b/>
                <w:sz w:val="19"/>
              </w:rPr>
              <w:t>2,2</w:t>
            </w:r>
          </w:p>
        </w:tc>
        <w:tc>
          <w:tcPr>
            <w:tcW w:type="dxa" w:w="1179"/>
          </w:tcPr>
          <w:p>
            <w:pPr>
              <w:spacing w:before="0" w:after="0" w:line="240" w:lineRule="auto"/>
              <w:ind w:firstLine="0"/>
              <w:jc w:val="center"/>
            </w:pPr>
            <w:r>
              <w:rPr>
                <w:rFonts w:ascii="Times New Roman" w:hAnsi="Times New Roman"/>
                <w:b/>
                <w:sz w:val="19"/>
              </w:rPr>
              <w:t>2,8</w:t>
            </w:r>
          </w:p>
        </w:tc>
        <w:tc>
          <w:tcPr>
            <w:tcW w:type="dxa" w:w="1179"/>
          </w:tcPr>
          <w:p>
            <w:pPr>
              <w:spacing w:before="0" w:after="0" w:line="240" w:lineRule="auto"/>
              <w:ind w:firstLine="0"/>
              <w:jc w:val="center"/>
            </w:pPr>
            <w:r>
              <w:rPr>
                <w:rFonts w:ascii="Times New Roman" w:hAnsi="Times New Roman"/>
                <w:b/>
                <w:sz w:val="19"/>
              </w:rPr>
              <w:t>2,5</w:t>
            </w:r>
          </w:p>
        </w:tc>
      </w:tr>
      <w:tr>
        <w:tc>
          <w:tcPr>
            <w:tcW w:type="dxa" w:w="3368"/>
          </w:tcPr>
          <w:p>
            <w:pPr>
              <w:spacing w:before="0" w:after="0" w:line="240" w:lineRule="auto"/>
              <w:ind w:firstLine="0"/>
              <w:jc w:val="left"/>
            </w:pPr>
            <w:r>
              <w:rPr>
                <w:rFonts w:ascii="Times New Roman" w:hAnsi="Times New Roman"/>
                <w:b/>
                <w:color w:val="1F4E79"/>
                <w:sz w:val="19"/>
              </w:rPr>
              <w:t xml:space="preserve">——●  </w:t>
            </w:r>
            <w:r>
              <w:rPr>
                <w:rFonts w:ascii="Times New Roman" w:hAnsi="Times New Roman"/>
                <w:b/>
                <w:sz w:val="19"/>
              </w:rPr>
              <w:t>SQB: 3-bosqich (MHXS)</w:t>
            </w:r>
          </w:p>
        </w:tc>
        <w:tc>
          <w:tcPr>
            <w:tcW w:type="dxa" w:w="1179"/>
          </w:tcPr>
          <w:p>
            <w:pPr>
              <w:spacing w:before="0" w:after="0" w:line="240" w:lineRule="auto"/>
              <w:ind w:firstLine="0"/>
              <w:jc w:val="center"/>
            </w:pPr>
            <w:r>
              <w:rPr>
                <w:rFonts w:ascii="Times New Roman" w:hAnsi="Times New Roman"/>
                <w:b/>
                <w:sz w:val="19"/>
              </w:rPr>
              <w:t>6,2</w:t>
            </w:r>
          </w:p>
        </w:tc>
        <w:tc>
          <w:tcPr>
            <w:tcW w:type="dxa" w:w="1179"/>
          </w:tcPr>
          <w:p>
            <w:pPr>
              <w:spacing w:before="0" w:after="0" w:line="240" w:lineRule="auto"/>
              <w:ind w:firstLine="0"/>
              <w:jc w:val="center"/>
            </w:pPr>
            <w:r>
              <w:rPr>
                <w:rFonts w:ascii="Times New Roman" w:hAnsi="Times New Roman"/>
                <w:b/>
                <w:sz w:val="19"/>
              </w:rPr>
              <w:t>7,4</w:t>
            </w:r>
          </w:p>
        </w:tc>
        <w:tc>
          <w:tcPr>
            <w:tcW w:type="dxa" w:w="1179"/>
          </w:tcPr>
          <w:p>
            <w:pPr>
              <w:spacing w:before="0" w:after="0" w:line="240" w:lineRule="auto"/>
              <w:ind w:firstLine="0"/>
              <w:jc w:val="center"/>
            </w:pPr>
            <w:r>
              <w:rPr>
                <w:rFonts w:ascii="Times New Roman" w:hAnsi="Times New Roman"/>
                <w:b/>
                <w:sz w:val="19"/>
              </w:rPr>
              <w:t>4,8</w:t>
            </w:r>
          </w:p>
        </w:tc>
        <w:tc>
          <w:tcPr>
            <w:tcW w:type="dxa" w:w="1179"/>
          </w:tcPr>
          <w:p>
            <w:pPr>
              <w:spacing w:before="0" w:after="0" w:line="240" w:lineRule="auto"/>
              <w:ind w:firstLine="0"/>
              <w:jc w:val="center"/>
            </w:pPr>
            <w:r>
              <w:rPr>
                <w:rFonts w:ascii="Times New Roman" w:hAnsi="Times New Roman"/>
                <w:b/>
                <w:sz w:val="19"/>
              </w:rPr>
              <w:t>5,9</w:t>
            </w:r>
          </w:p>
        </w:tc>
        <w:tc>
          <w:tcPr>
            <w:tcW w:type="dxa" w:w="1179"/>
          </w:tcPr>
          <w:p>
            <w:pPr>
              <w:spacing w:before="0" w:after="0" w:line="240" w:lineRule="auto"/>
              <w:ind w:firstLine="0"/>
              <w:jc w:val="center"/>
            </w:pPr>
            <w:r>
              <w:rPr>
                <w:rFonts w:ascii="Times New Roman" w:hAnsi="Times New Roman"/>
                <w:b/>
                <w:sz w:val="19"/>
              </w:rPr>
              <w:t>7,5</w:t>
            </w:r>
          </w:p>
        </w:tc>
      </w:tr>
      <w:tr>
        <w:tc>
          <w:tcPr>
            <w:tcW w:type="dxa" w:w="3368"/>
          </w:tcPr>
          <w:p>
            <w:pPr>
              <w:spacing w:before="0" w:after="0" w:line="240" w:lineRule="auto"/>
              <w:ind w:firstLine="0"/>
              <w:jc w:val="left"/>
            </w:pPr>
            <w:r>
              <w:rPr>
                <w:rFonts w:ascii="Times New Roman" w:hAnsi="Times New Roman"/>
                <w:b/>
                <w:color w:val="70AD47"/>
                <w:sz w:val="19"/>
              </w:rPr>
              <w:t xml:space="preserve">– – ●  </w:t>
            </w:r>
            <w:r>
              <w:rPr>
                <w:rFonts w:ascii="Times New Roman" w:hAnsi="Times New Roman"/>
                <w:b/>
                <w:sz w:val="19"/>
              </w:rPr>
              <w:t>MKB: rasmiy muammoli</w:t>
            </w:r>
          </w:p>
        </w:tc>
        <w:tc>
          <w:tcPr>
            <w:tcW w:type="dxa" w:w="1179"/>
          </w:tcPr>
          <w:p>
            <w:pPr>
              <w:spacing w:before="0" w:after="0" w:line="240" w:lineRule="auto"/>
              <w:ind w:firstLine="0"/>
              <w:jc w:val="center"/>
            </w:pPr>
            <w:r>
              <w:rPr>
                <w:rFonts w:ascii="Times New Roman" w:hAnsi="Times New Roman"/>
                <w:b/>
                <w:sz w:val="19"/>
              </w:rPr>
              <w:t>5,9</w:t>
            </w:r>
          </w:p>
        </w:tc>
        <w:tc>
          <w:tcPr>
            <w:tcW w:type="dxa" w:w="1179"/>
          </w:tcPr>
          <w:p>
            <w:pPr>
              <w:spacing w:before="0" w:after="0" w:line="240" w:lineRule="auto"/>
              <w:ind w:firstLine="0"/>
              <w:jc w:val="center"/>
            </w:pPr>
            <w:r>
              <w:rPr>
                <w:rFonts w:ascii="Times New Roman" w:hAnsi="Times New Roman"/>
                <w:b/>
                <w:sz w:val="19"/>
              </w:rPr>
              <w:t>4,8</w:t>
            </w:r>
          </w:p>
        </w:tc>
        <w:tc>
          <w:tcPr>
            <w:tcW w:type="dxa" w:w="1179"/>
          </w:tcPr>
          <w:p>
            <w:pPr>
              <w:spacing w:before="0" w:after="0" w:line="240" w:lineRule="auto"/>
              <w:ind w:firstLine="0"/>
              <w:jc w:val="center"/>
            </w:pPr>
            <w:r>
              <w:rPr>
                <w:rFonts w:ascii="Times New Roman" w:hAnsi="Times New Roman"/>
                <w:b/>
                <w:sz w:val="19"/>
              </w:rPr>
              <w:t>6,0</w:t>
            </w:r>
          </w:p>
        </w:tc>
        <w:tc>
          <w:tcPr>
            <w:tcW w:type="dxa" w:w="1179"/>
          </w:tcPr>
          <w:p>
            <w:pPr>
              <w:spacing w:before="0" w:after="0" w:line="240" w:lineRule="auto"/>
              <w:ind w:firstLine="0"/>
              <w:jc w:val="center"/>
            </w:pPr>
            <w:r>
              <w:rPr>
                <w:rFonts w:ascii="Times New Roman" w:hAnsi="Times New Roman"/>
                <w:b/>
                <w:sz w:val="19"/>
              </w:rPr>
              <w:t>4,6</w:t>
            </w:r>
          </w:p>
        </w:tc>
        <w:tc>
          <w:tcPr>
            <w:tcW w:type="dxa" w:w="1179"/>
          </w:tcPr>
          <w:p>
            <w:pPr>
              <w:spacing w:before="0" w:after="0" w:line="240" w:lineRule="auto"/>
              <w:ind w:firstLine="0"/>
              <w:jc w:val="center"/>
            </w:pPr>
            <w:r>
              <w:rPr>
                <w:rFonts w:ascii="Times New Roman" w:hAnsi="Times New Roman"/>
                <w:b/>
                <w:sz w:val="19"/>
              </w:rPr>
              <w:t>4,4</w:t>
            </w:r>
          </w:p>
        </w:tc>
      </w:tr>
      <w:tr>
        <w:tc>
          <w:tcPr>
            <w:tcW w:type="dxa" w:w="3368"/>
          </w:tcPr>
          <w:p>
            <w:pPr>
              <w:spacing w:before="0" w:after="0" w:line="240" w:lineRule="auto"/>
              <w:ind w:firstLine="0"/>
              <w:jc w:val="left"/>
            </w:pPr>
            <w:r>
              <w:rPr>
                <w:rFonts w:ascii="Times New Roman" w:hAnsi="Times New Roman"/>
                <w:b/>
                <w:color w:val="375623"/>
                <w:sz w:val="19"/>
              </w:rPr>
              <w:t xml:space="preserve">——●  </w:t>
            </w:r>
            <w:r>
              <w:rPr>
                <w:rFonts w:ascii="Times New Roman" w:hAnsi="Times New Roman"/>
                <w:b/>
                <w:sz w:val="19"/>
              </w:rPr>
              <w:t>MKB: 3-bosqich (MHXS)</w:t>
            </w:r>
          </w:p>
        </w:tc>
        <w:tc>
          <w:tcPr>
            <w:tcW w:type="dxa" w:w="1179"/>
          </w:tcPr>
          <w:p>
            <w:pPr>
              <w:spacing w:before="0" w:after="0" w:line="240" w:lineRule="auto"/>
              <w:ind w:firstLine="0"/>
              <w:jc w:val="center"/>
            </w:pPr>
            <w:r>
              <w:rPr>
                <w:rFonts w:ascii="Times New Roman" w:hAnsi="Times New Roman"/>
                <w:b/>
                <w:sz w:val="19"/>
              </w:rPr>
              <w:t>17,4</w:t>
            </w:r>
          </w:p>
        </w:tc>
        <w:tc>
          <w:tcPr>
            <w:tcW w:type="dxa" w:w="1179"/>
          </w:tcPr>
          <w:p>
            <w:pPr>
              <w:spacing w:before="0" w:after="0" w:line="240" w:lineRule="auto"/>
              <w:ind w:firstLine="0"/>
              <w:jc w:val="center"/>
            </w:pPr>
            <w:r>
              <w:rPr>
                <w:rFonts w:ascii="Times New Roman" w:hAnsi="Times New Roman"/>
                <w:b/>
                <w:sz w:val="19"/>
              </w:rPr>
              <w:t>13,5</w:t>
            </w:r>
          </w:p>
        </w:tc>
        <w:tc>
          <w:tcPr>
            <w:tcW w:type="dxa" w:w="1179"/>
          </w:tcPr>
          <w:p>
            <w:pPr>
              <w:spacing w:before="0" w:after="0" w:line="240" w:lineRule="auto"/>
              <w:ind w:firstLine="0"/>
              <w:jc w:val="center"/>
            </w:pPr>
            <w:r>
              <w:rPr>
                <w:rFonts w:ascii="Times New Roman" w:hAnsi="Times New Roman"/>
                <w:b/>
                <w:sz w:val="19"/>
              </w:rPr>
              <w:t>16,6</w:t>
            </w:r>
          </w:p>
        </w:tc>
        <w:tc>
          <w:tcPr>
            <w:tcW w:type="dxa" w:w="1179"/>
          </w:tcPr>
          <w:p>
            <w:pPr>
              <w:spacing w:before="0" w:after="0" w:line="240" w:lineRule="auto"/>
              <w:ind w:firstLine="0"/>
              <w:jc w:val="center"/>
            </w:pPr>
            <w:r>
              <w:rPr>
                <w:rFonts w:ascii="Times New Roman" w:hAnsi="Times New Roman"/>
                <w:b/>
                <w:sz w:val="19"/>
              </w:rPr>
              <w:t>15,2</w:t>
            </w:r>
          </w:p>
        </w:tc>
        <w:tc>
          <w:tcPr>
            <w:tcW w:type="dxa" w:w="1179"/>
          </w:tcPr>
          <w:p>
            <w:pPr>
              <w:spacing w:before="0" w:after="0" w:line="240" w:lineRule="auto"/>
              <w:ind w:firstLine="0"/>
              <w:jc w:val="center"/>
            </w:pPr>
            <w:r>
              <w:rPr>
                <w:rFonts w:ascii="Times New Roman" w:hAnsi="Times New Roman"/>
                <w:b/>
                <w:sz w:val="19"/>
              </w:rPr>
              <w:t>12,3</w:t>
            </w:r>
          </w:p>
        </w:tc>
      </w:tr>
      <w:tr>
        <w:tc>
          <w:tcPr>
            <w:tcW w:type="dxa" w:w="3368"/>
          </w:tcPr>
          <w:p>
            <w:pPr>
              <w:spacing w:before="0" w:after="0" w:line="240" w:lineRule="auto"/>
              <w:ind w:firstLine="0"/>
              <w:jc w:val="left"/>
            </w:pPr>
            <w:r>
              <w:rPr>
                <w:rFonts w:ascii="Times New Roman" w:hAnsi="Times New Roman"/>
                <w:b/>
                <w:color w:val="ED7D31"/>
                <w:sz w:val="19"/>
              </w:rPr>
              <w:t xml:space="preserve">– – ●  </w:t>
            </w:r>
            <w:r>
              <w:rPr>
                <w:rFonts w:ascii="Times New Roman" w:hAnsi="Times New Roman"/>
                <w:b/>
                <w:sz w:val="19"/>
              </w:rPr>
              <w:t>Aloqabank: rasmiy muammoli</w:t>
            </w:r>
          </w:p>
        </w:tc>
        <w:tc>
          <w:tcPr>
            <w:tcW w:type="dxa" w:w="1179"/>
          </w:tcPr>
          <w:p>
            <w:pPr>
              <w:spacing w:before="0" w:after="0" w:line="240" w:lineRule="auto"/>
              <w:ind w:firstLine="0"/>
              <w:jc w:val="center"/>
            </w:pPr>
            <w:r>
              <w:rPr>
                <w:rFonts w:ascii="Times New Roman" w:hAnsi="Times New Roman"/>
                <w:b/>
                <w:sz w:val="19"/>
              </w:rPr>
              <w:t>4,1</w:t>
            </w:r>
          </w:p>
        </w:tc>
        <w:tc>
          <w:tcPr>
            <w:tcW w:type="dxa" w:w="1179"/>
          </w:tcPr>
          <w:p>
            <w:pPr>
              <w:spacing w:before="0" w:after="0" w:line="240" w:lineRule="auto"/>
              <w:ind w:firstLine="0"/>
              <w:jc w:val="center"/>
            </w:pPr>
            <w:r>
              <w:rPr>
                <w:rFonts w:ascii="Times New Roman" w:hAnsi="Times New Roman"/>
                <w:b/>
                <w:sz w:val="19"/>
              </w:rPr>
              <w:t>2,0</w:t>
            </w:r>
          </w:p>
        </w:tc>
        <w:tc>
          <w:tcPr>
            <w:tcW w:type="dxa" w:w="1179"/>
          </w:tcPr>
          <w:p>
            <w:pPr>
              <w:spacing w:before="0" w:after="0" w:line="240" w:lineRule="auto"/>
              <w:ind w:firstLine="0"/>
              <w:jc w:val="center"/>
            </w:pPr>
            <w:r>
              <w:rPr>
                <w:rFonts w:ascii="Times New Roman" w:hAnsi="Times New Roman"/>
                <w:b/>
                <w:sz w:val="19"/>
              </w:rPr>
              <w:t>1,5</w:t>
            </w:r>
          </w:p>
        </w:tc>
        <w:tc>
          <w:tcPr>
            <w:tcW w:type="dxa" w:w="1179"/>
          </w:tcPr>
          <w:p>
            <w:pPr>
              <w:spacing w:before="0" w:after="0" w:line="240" w:lineRule="auto"/>
              <w:ind w:firstLine="0"/>
              <w:jc w:val="center"/>
            </w:pPr>
            <w:r>
              <w:rPr>
                <w:rFonts w:ascii="Times New Roman" w:hAnsi="Times New Roman"/>
                <w:b/>
                <w:sz w:val="19"/>
              </w:rPr>
              <w:t>1,9</w:t>
            </w:r>
          </w:p>
        </w:tc>
        <w:tc>
          <w:tcPr>
            <w:tcW w:type="dxa" w:w="1179"/>
          </w:tcPr>
          <w:p>
            <w:pPr>
              <w:spacing w:before="0" w:after="0" w:line="240" w:lineRule="auto"/>
              <w:ind w:firstLine="0"/>
              <w:jc w:val="center"/>
            </w:pPr>
            <w:r>
              <w:rPr>
                <w:rFonts w:ascii="Times New Roman" w:hAnsi="Times New Roman"/>
                <w:b/>
                <w:sz w:val="19"/>
              </w:rPr>
              <w:t>2,5</w:t>
            </w:r>
          </w:p>
        </w:tc>
      </w:tr>
      <w:tr>
        <w:tc>
          <w:tcPr>
            <w:tcW w:type="dxa" w:w="3368"/>
          </w:tcPr>
          <w:p>
            <w:pPr>
              <w:spacing w:before="0" w:after="0" w:line="240" w:lineRule="auto"/>
              <w:ind w:firstLine="0"/>
              <w:jc w:val="left"/>
            </w:pPr>
            <w:r>
              <w:rPr>
                <w:rFonts w:ascii="Times New Roman" w:hAnsi="Times New Roman"/>
                <w:b/>
                <w:color w:val="C00000"/>
                <w:sz w:val="19"/>
              </w:rPr>
              <w:t xml:space="preserve">——●  </w:t>
            </w:r>
            <w:r>
              <w:rPr>
                <w:rFonts w:ascii="Times New Roman" w:hAnsi="Times New Roman"/>
                <w:b/>
                <w:sz w:val="19"/>
              </w:rPr>
              <w:t>Aloqabank: 3-bosqich (MHXS)</w:t>
            </w:r>
          </w:p>
        </w:tc>
        <w:tc>
          <w:tcPr>
            <w:tcW w:type="dxa" w:w="1179"/>
          </w:tcPr>
          <w:p>
            <w:pPr>
              <w:spacing w:before="0" w:after="0" w:line="240" w:lineRule="auto"/>
              <w:ind w:firstLine="0"/>
              <w:jc w:val="center"/>
            </w:pPr>
            <w:r>
              <w:rPr>
                <w:rFonts w:ascii="Times New Roman" w:hAnsi="Times New Roman"/>
                <w:b/>
                <w:sz w:val="19"/>
              </w:rPr>
              <w:t>10,0</w:t>
            </w:r>
          </w:p>
        </w:tc>
        <w:tc>
          <w:tcPr>
            <w:tcW w:type="dxa" w:w="1179"/>
          </w:tcPr>
          <w:p>
            <w:pPr>
              <w:spacing w:before="0" w:after="0" w:line="240" w:lineRule="auto"/>
              <w:ind w:firstLine="0"/>
              <w:jc w:val="center"/>
            </w:pPr>
            <w:r>
              <w:rPr>
                <w:rFonts w:ascii="Times New Roman" w:hAnsi="Times New Roman"/>
                <w:b/>
                <w:sz w:val="19"/>
              </w:rPr>
              <w:t>9,9</w:t>
            </w:r>
          </w:p>
        </w:tc>
        <w:tc>
          <w:tcPr>
            <w:tcW w:type="dxa" w:w="1179"/>
          </w:tcPr>
          <w:p>
            <w:pPr>
              <w:spacing w:before="0" w:after="0" w:line="240" w:lineRule="auto"/>
              <w:ind w:firstLine="0"/>
              <w:jc w:val="center"/>
            </w:pPr>
            <w:r>
              <w:rPr>
                <w:rFonts w:ascii="Times New Roman" w:hAnsi="Times New Roman"/>
                <w:b/>
                <w:sz w:val="19"/>
              </w:rPr>
              <w:t>6,1</w:t>
            </w:r>
          </w:p>
        </w:tc>
        <w:tc>
          <w:tcPr>
            <w:tcW w:type="dxa" w:w="1179"/>
          </w:tcPr>
          <w:p>
            <w:pPr>
              <w:spacing w:before="0" w:after="0" w:line="240" w:lineRule="auto"/>
              <w:ind w:firstLine="0"/>
              <w:jc w:val="center"/>
            </w:pPr>
            <w:r>
              <w:rPr>
                <w:rFonts w:ascii="Times New Roman" w:hAnsi="Times New Roman"/>
                <w:b/>
                <w:sz w:val="19"/>
              </w:rPr>
              <w:t>7,5</w:t>
            </w:r>
          </w:p>
        </w:tc>
        <w:tc>
          <w:tcPr>
            <w:tcW w:type="dxa" w:w="1179"/>
          </w:tcPr>
          <w:p>
            <w:pPr>
              <w:spacing w:before="0" w:after="0" w:line="240" w:lineRule="auto"/>
              <w:ind w:firstLine="0"/>
              <w:jc w:val="center"/>
            </w:pPr>
            <w:r>
              <w:rPr>
                <w:rFonts w:ascii="Times New Roman" w:hAnsi="Times New Roman"/>
                <w:b/>
                <w:sz w:val="19"/>
              </w:rPr>
              <w:t>7,2</w:t>
            </w:r>
          </w:p>
        </w:tc>
      </w:tr>
    </w:tbl>
    <w:p>
      <w:pPr>
        <w:jc w:val="center"/>
      </w:pPr>
      <w:r>
        <w:rPr>
          <w:rFonts w:ascii="Times New Roman" w:hAnsi="Times New Roman"/>
          <w:b/>
          <w:sz w:val="24"/>
        </w:rPr>
        <w:t>2.2.7-rasm. «O‘zsanoatqurilishbank» ATB, «Mikrokreditbank» ATB va «Aloqabank» ATB da MHXS 9 bo‘yicha 3-bosqich kreditlari va rasmiy muammoli kreditlar ulushi, %</w:t>
      </w:r>
    </w:p>
    <w:p>
      <w:r>
        <w:rPr>
          <w:rFonts w:ascii="Times New Roman" w:hAnsi="Times New Roman"/>
          <w:i/>
          <w:sz w:val="22"/>
        </w:rPr>
        <w:t>Namuna (ko‘rish uchun): uzuq chiziq – rasmiy muammoli kreditlar, to‘liq chiziq – MHXS 9 bo‘yicha 3-bosqich kreditlari. Aloqabank ma’lumotlari: muallif hisob-kitobi (prudensial shakllar va MHXS hisobotlari).</w:t>
      </w:r>
    </w:p>
    <w:sectPr w:rsidR="00FC693F" w:rsidRPr="0006063C" w:rsidSect="00034616">
      <w:pgSz w:w="11906" w:h="16838"/>
      <w:pgMar w:top="1440" w:right="850" w:bottom="1440" w:left="1701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Relationship Id="rId9" Type="http://schemas.openxmlformats.org/officeDocument/2006/relationships/chart" Target="charts/chart1.xml"/></Relationships>
</file>

<file path=word/charts/_rels/chart1.xml.rels><?xml version='1.0' encoding='UTF-8' standalone='yes'?>
<Relationships xmlns="http://schemas.openxmlformats.org/package/2006/relationships"><Relationship Id="rId1" Type="http://schemas.openxmlformats.org/officeDocument/2006/relationships/package" Target="../embeddings/Microsoft_Excel_Worksheet1.xlsx"/></Relationships>
</file>

<file path=word/charts/chart1.xml><?xml version="1.0" encoding="utf-8"?>
<c:chartSpace xmlns:c="http://schemas.openxmlformats.org/drawingml/2006/chart" xmlns:a="http://schemas.openxmlformats.org/drawingml/2006/main" xmlns:r="http://schemas.openxmlformats.org/officeDocument/2006/relationships">
  <c:date1904 val="0"/>
  <c:lang val="uz-Latn-UZ"/>
  <c:roundedCorners val="0"/>
  <c:chart>
    <c:autoTitleDeleted val="1"/>
    <c:plotArea>
      <c:layout>
        <c:manualLayout>
          <c:layoutTarget val="inner"/>
          <c:xMode val="edge"/>
          <c:yMode val="edge"/>
          <c:x val="0.36"/>
          <c:y val="0.04"/>
          <c:w val="0.63"/>
          <c:h val="0.92"/>
        </c:manualLayout>
      </c:layout>
      <c:lineChart>
        <c:grouping val="standard"/>
        <c:varyColors val="0"/>
        <c:ser>
          <c:idx val="0"/>
          <c:order val="0"/>
          <c:tx>
            <c:strRef>
              <c:f>Sheet1!$B$1</c:f>
              <c:strCache>
                <c:ptCount val="1"/>
                <c:pt idx="0">
                  <c:v>SQB: rasmiy muammoli</c:v>
                </c:pt>
              </c:strCache>
            </c:strRef>
          </c:tx>
          <c:spPr>
            <a:ln w="28575">
              <a:solidFill>
                <a:srgbClr val="5B9BD5"/>
              </a:solidFill>
              <a:prstDash val="dash"/>
            </a:ln>
          </c:spPr>
          <c:marker>
            <c:symbol val="circle"/>
            <c:size val="5"/>
            <c:spPr>
              <a:solidFill>
                <a:srgbClr val="5B9BD5"/>
              </a:solidFill>
              <a:ln>
                <a:noFill/>
              </a:ln>
            </c:spPr>
          </c:marker>
          <c:cat>
            <c:strRef>
              <c:f>Sheet1!$A$2:$A$6</c:f>
              <c:strCache>
                <c:ptCount val="5"/>
                <c:pt idx="0">
                  <c:v>2021</c:v>
                </c:pt>
                <c:pt idx="1">
                  <c:v>2022</c:v>
                </c:pt>
                <c:pt idx="2">
                  <c:v>2023</c:v>
                </c:pt>
                <c:pt idx="3">
                  <c:v>2024</c:v>
                </c:pt>
                <c:pt idx="4">
                  <c:v>2025</c:v>
                </c:pt>
              </c:strCache>
            </c:strRef>
          </c:cat>
          <c:val>
            <c:numRef>
              <c:f>Sheet1!$B$2:$B$6</c:f>
              <c:numCache>
                <c:formatCode>0.0</c:formatCode>
                <c:ptCount val="5"/>
                <c:pt idx="0">
                  <c:v>3.8</c:v>
                </c:pt>
                <c:pt idx="1">
                  <c:v>2.8</c:v>
                </c:pt>
                <c:pt idx="2">
                  <c:v>2.2</c:v>
                </c:pt>
                <c:pt idx="3">
                  <c:v>2.8</c:v>
                </c:pt>
                <c:pt idx="4">
                  <c:v>2.5</c:v>
                </c:pt>
              </c:numCache>
            </c:numRef>
          </c:val>
          <c:smooth val="0"/>
        </c:ser>
        <c:ser>
          <c:idx val="1"/>
          <c:order val="1"/>
          <c:tx>
            <c:strRef>
              <c:f>Sheet1!$C$1</c:f>
              <c:strCache>
                <c:ptCount val="1"/>
                <c:pt idx="0">
                  <c:v>SQB: 3-bosqich (MHXS)</c:v>
                </c:pt>
              </c:strCache>
            </c:strRef>
          </c:tx>
          <c:spPr>
            <a:ln w="28575">
              <a:solidFill>
                <a:srgbClr val="1F4E79"/>
              </a:solidFill>
            </a:ln>
          </c:spPr>
          <c:marker>
            <c:symbol val="circle"/>
            <c:size val="5"/>
            <c:spPr>
              <a:solidFill>
                <a:srgbClr val="1F4E79"/>
              </a:solidFill>
              <a:ln>
                <a:noFill/>
              </a:ln>
            </c:spPr>
          </c:marker>
          <c:cat>
            <c:strRef>
              <c:f>Sheet1!$A$2:$A$6</c:f>
              <c:strCache>
                <c:ptCount val="5"/>
                <c:pt idx="0">
                  <c:v>2021</c:v>
                </c:pt>
                <c:pt idx="1">
                  <c:v>2022</c:v>
                </c:pt>
                <c:pt idx="2">
                  <c:v>2023</c:v>
                </c:pt>
                <c:pt idx="3">
                  <c:v>2024</c:v>
                </c:pt>
                <c:pt idx="4">
                  <c:v>2025</c:v>
                </c:pt>
              </c:strCache>
            </c:strRef>
          </c:cat>
          <c:val>
            <c:numRef>
              <c:f>Sheet1!$C$2:$C$6</c:f>
              <c:numCache>
                <c:formatCode>0.0</c:formatCode>
                <c:ptCount val="5"/>
                <c:pt idx="0">
                  <c:v>6.2</c:v>
                </c:pt>
                <c:pt idx="1">
                  <c:v>7.4</c:v>
                </c:pt>
                <c:pt idx="2">
                  <c:v>4.8</c:v>
                </c:pt>
                <c:pt idx="3">
                  <c:v>5.9</c:v>
                </c:pt>
                <c:pt idx="4">
                  <c:v>7.5</c:v>
                </c:pt>
              </c:numCache>
            </c:numRef>
          </c:val>
          <c:smooth val="0"/>
        </c:ser>
        <c:ser>
          <c:idx val="2"/>
          <c:order val="2"/>
          <c:tx>
            <c:strRef>
              <c:f>Sheet1!$D$1</c:f>
              <c:strCache>
                <c:ptCount val="1"/>
                <c:pt idx="0">
                  <c:v>MKB: rasmiy muammoli</c:v>
                </c:pt>
              </c:strCache>
            </c:strRef>
          </c:tx>
          <c:spPr>
            <a:ln w="28575">
              <a:solidFill>
                <a:srgbClr val="70AD47"/>
              </a:solidFill>
              <a:prstDash val="dash"/>
            </a:ln>
          </c:spPr>
          <c:marker>
            <c:symbol val="circle"/>
            <c:size val="5"/>
            <c:spPr>
              <a:solidFill>
                <a:srgbClr val="70AD47"/>
              </a:solidFill>
              <a:ln>
                <a:noFill/>
              </a:ln>
            </c:spPr>
          </c:marker>
          <c:cat>
            <c:strRef>
              <c:f>Sheet1!$A$2:$A$6</c:f>
              <c:strCache>
                <c:ptCount val="5"/>
                <c:pt idx="0">
                  <c:v>2021</c:v>
                </c:pt>
                <c:pt idx="1">
                  <c:v>2022</c:v>
                </c:pt>
                <c:pt idx="2">
                  <c:v>2023</c:v>
                </c:pt>
                <c:pt idx="3">
                  <c:v>2024</c:v>
                </c:pt>
                <c:pt idx="4">
                  <c:v>2025</c:v>
                </c:pt>
              </c:strCache>
            </c:strRef>
          </c:cat>
          <c:val>
            <c:numRef>
              <c:f>Sheet1!$D$2:$D$6</c:f>
              <c:numCache>
                <c:formatCode>0.0</c:formatCode>
                <c:ptCount val="5"/>
                <c:pt idx="0">
                  <c:v>5.9</c:v>
                </c:pt>
                <c:pt idx="1">
                  <c:v>4.8</c:v>
                </c:pt>
                <c:pt idx="2">
                  <c:v>6.0</c:v>
                </c:pt>
                <c:pt idx="3">
                  <c:v>4.6</c:v>
                </c:pt>
                <c:pt idx="4">
                  <c:v>4.4</c:v>
                </c:pt>
              </c:numCache>
            </c:numRef>
          </c:val>
          <c:smooth val="0"/>
        </c:ser>
        <c:ser>
          <c:idx val="3"/>
          <c:order val="3"/>
          <c:tx>
            <c:strRef>
              <c:f>Sheet1!$E$1</c:f>
              <c:strCache>
                <c:ptCount val="1"/>
                <c:pt idx="0">
                  <c:v>MKB: 3-bosqich (MHXS)</c:v>
                </c:pt>
              </c:strCache>
            </c:strRef>
          </c:tx>
          <c:spPr>
            <a:ln w="28575">
              <a:solidFill>
                <a:srgbClr val="375623"/>
              </a:solidFill>
            </a:ln>
          </c:spPr>
          <c:marker>
            <c:symbol val="circle"/>
            <c:size val="5"/>
            <c:spPr>
              <a:solidFill>
                <a:srgbClr val="375623"/>
              </a:solidFill>
              <a:ln>
                <a:noFill/>
              </a:ln>
            </c:spPr>
          </c:marker>
          <c:cat>
            <c:strRef>
              <c:f>Sheet1!$A$2:$A$6</c:f>
              <c:strCache>
                <c:ptCount val="5"/>
                <c:pt idx="0">
                  <c:v>2021</c:v>
                </c:pt>
                <c:pt idx="1">
                  <c:v>2022</c:v>
                </c:pt>
                <c:pt idx="2">
                  <c:v>2023</c:v>
                </c:pt>
                <c:pt idx="3">
                  <c:v>2024</c:v>
                </c:pt>
                <c:pt idx="4">
                  <c:v>2025</c:v>
                </c:pt>
              </c:strCache>
            </c:strRef>
          </c:cat>
          <c:val>
            <c:numRef>
              <c:f>Sheet1!$E$2:$E$6</c:f>
              <c:numCache>
                <c:formatCode>0.0</c:formatCode>
                <c:ptCount val="5"/>
                <c:pt idx="0">
                  <c:v>17.4</c:v>
                </c:pt>
                <c:pt idx="1">
                  <c:v>13.5</c:v>
                </c:pt>
                <c:pt idx="2">
                  <c:v>16.6</c:v>
                </c:pt>
                <c:pt idx="3">
                  <c:v>15.2</c:v>
                </c:pt>
                <c:pt idx="4">
                  <c:v>12.3</c:v>
                </c:pt>
              </c:numCache>
            </c:numRef>
          </c:val>
          <c:smooth val="0"/>
        </c:ser>
        <c:ser>
          <c:idx val="4"/>
          <c:order val="4"/>
          <c:tx>
            <c:strRef>
              <c:f>Sheet1!$F$1</c:f>
              <c:strCache>
                <c:ptCount val="1"/>
                <c:pt idx="0">
                  <c:v>Aloqabank: rasmiy muammoli</c:v>
                </c:pt>
              </c:strCache>
            </c:strRef>
          </c:tx>
          <c:spPr>
            <a:ln w="28575">
              <a:solidFill>
                <a:srgbClr val="ED7D31"/>
              </a:solidFill>
              <a:prstDash val="dash"/>
            </a:ln>
          </c:spPr>
          <c:marker>
            <c:symbol val="circle"/>
            <c:size val="5"/>
            <c:spPr>
              <a:solidFill>
                <a:srgbClr val="ED7D31"/>
              </a:solidFill>
              <a:ln>
                <a:noFill/>
              </a:ln>
            </c:spPr>
          </c:marker>
          <c:cat>
            <c:strRef>
              <c:f>Sheet1!$A$2:$A$6</c:f>
              <c:strCache>
                <c:ptCount val="5"/>
                <c:pt idx="0">
                  <c:v>2021</c:v>
                </c:pt>
                <c:pt idx="1">
                  <c:v>2022</c:v>
                </c:pt>
                <c:pt idx="2">
                  <c:v>2023</c:v>
                </c:pt>
                <c:pt idx="3">
                  <c:v>2024</c:v>
                </c:pt>
                <c:pt idx="4">
                  <c:v>2025</c:v>
                </c:pt>
              </c:strCache>
            </c:strRef>
          </c:cat>
          <c:val>
            <c:numRef>
              <c:f>Sheet1!$F$2:$F$6</c:f>
              <c:numCache>
                <c:formatCode>0.0</c:formatCode>
                <c:ptCount val="5"/>
                <c:pt idx="0">
                  <c:v>4.1</c:v>
                </c:pt>
                <c:pt idx="1">
                  <c:v>2.0</c:v>
                </c:pt>
                <c:pt idx="2">
                  <c:v>1.5</c:v>
                </c:pt>
                <c:pt idx="3">
                  <c:v>1.9</c:v>
                </c:pt>
                <c:pt idx="4">
                  <c:v>2.5</c:v>
                </c:pt>
              </c:numCache>
            </c:numRef>
          </c:val>
          <c:smooth val="0"/>
        </c:ser>
        <c:ser>
          <c:idx val="5"/>
          <c:order val="5"/>
          <c:tx>
            <c:strRef>
              <c:f>Sheet1!$G$1</c:f>
              <c:strCache>
                <c:ptCount val="1"/>
                <c:pt idx="0">
                  <c:v>Aloqabank: 3-bosqich (MHXS)</c:v>
                </c:pt>
              </c:strCache>
            </c:strRef>
          </c:tx>
          <c:spPr>
            <a:ln w="28575">
              <a:solidFill>
                <a:srgbClr val="C00000"/>
              </a:solidFill>
            </a:ln>
          </c:spPr>
          <c:marker>
            <c:symbol val="circle"/>
            <c:size val="5"/>
            <c:spPr>
              <a:solidFill>
                <a:srgbClr val="C00000"/>
              </a:solidFill>
              <a:ln>
                <a:noFill/>
              </a:ln>
            </c:spPr>
          </c:marker>
          <c:cat>
            <c:strRef>
              <c:f>Sheet1!$A$2:$A$6</c:f>
              <c:strCache>
                <c:ptCount val="5"/>
                <c:pt idx="0">
                  <c:v>2021</c:v>
                </c:pt>
                <c:pt idx="1">
                  <c:v>2022</c:v>
                </c:pt>
                <c:pt idx="2">
                  <c:v>2023</c:v>
                </c:pt>
                <c:pt idx="3">
                  <c:v>2024</c:v>
                </c:pt>
                <c:pt idx="4">
                  <c:v>2025</c:v>
                </c:pt>
              </c:strCache>
            </c:strRef>
          </c:cat>
          <c:val>
            <c:numRef>
              <c:f>Sheet1!$G$2:$G$6</c:f>
              <c:numCache>
                <c:formatCode>0.0</c:formatCode>
                <c:ptCount val="5"/>
                <c:pt idx="0">
                  <c:v>10.0</c:v>
                </c:pt>
                <c:pt idx="1">
                  <c:v>9.9</c:v>
                </c:pt>
                <c:pt idx="2">
                  <c:v>6.1</c:v>
                </c:pt>
                <c:pt idx="3">
                  <c:v>7.5</c:v>
                </c:pt>
                <c:pt idx="4">
                  <c:v>7.2</c:v>
                </c:pt>
              </c:numCache>
            </c:numRef>
          </c:val>
          <c:smooth val="0"/>
        </c:ser>
        <c:marker val="1"/>
        <c:axId val="111"/>
        <c:axId val="222"/>
      </c:lineChart>
      <c:catAx>
        <c:axId val="111"/>
        <c:scaling>
          <c:orientation val="minMax"/>
        </c:scaling>
        <c:delete val="0"/>
        <c:axPos val="b"/>
        <c:numFmt formatCode="General" sourceLinked="0"/>
        <c:majorTickMark val="none"/>
        <c:minorTickMark val="none"/>
        <c:tickLblPos val="none"/>
        <c:spPr>
          <a:ln w="9525">
            <a:solidFill>
              <a:srgbClr val="595959"/>
            </a:solidFill>
          </a:ln>
        </c:spPr>
        <c:txPr>
          <a:bodyPr rot="0" vert="horz"/>
          <a:lstStyle/>
          <a:p>
            <a:pPr>
              <a:defRPr sz="1100" b="0">
                <a:solidFill>
                  <a:srgbClr val="000000"/>
                </a:solidFill>
                <a:latin typeface="Times New Roman"/>
                <a:cs typeface="Times New Roman"/>
              </a:defRPr>
            </a:pPr>
            <a:endParaRPr lang="uz-Latn-UZ"/>
          </a:p>
        </c:txPr>
        <c:crossAx val="222"/>
        <c:crosses val="autoZero"/>
        <c:auto val="1"/>
        <c:lblAlgn val="ctr"/>
        <c:lblOffset val="100"/>
        <c:tickLblSkip val="1"/>
        <c:noMultiLvlLbl val="0"/>
      </c:catAx>
      <c:valAx>
        <c:axId val="222"/>
        <c:scaling>
          <c:orientation val="minMax"/>
          <c:max val="20"/>
          <c:min val="0"/>
        </c:scaling>
        <c:delete val="0"/>
        <c:axPos val="l"/>
        <c:majorGridlines>
          <c:spPr>
            <a:ln w="6350">
              <a:solidFill>
                <a:srgbClr val="D9D9D9"/>
              </a:solidFill>
            </a:ln>
          </c:spPr>
        </c:majorGridlines>
        <c:numFmt formatCode="0" sourceLinked="0"/>
        <c:majorTickMark val="out"/>
        <c:minorTickMark val="none"/>
        <c:tickLblPos val="low"/>
        <c:spPr>
          <a:ln w="9525">
            <a:solidFill>
              <a:srgbClr val="595959"/>
            </a:solidFill>
          </a:ln>
        </c:spPr>
        <c:txPr>
          <a:bodyPr/>
          <a:lstStyle/>
          <a:p>
            <a:pPr>
              <a:defRPr sz="1100" b="0">
                <a:solidFill>
                  <a:srgbClr val="000000"/>
                </a:solidFill>
                <a:latin typeface="Times New Roman"/>
                <a:cs typeface="Times New Roman"/>
              </a:defRPr>
            </a:pPr>
            <a:endParaRPr lang="uz-Latn-UZ"/>
          </a:p>
        </c:txPr>
        <c:crossAx val="111"/>
        <c:crosses val="autoZero"/>
        <c:crossBetween val="between"/>
        <c:majorUnit val="4"/>
      </c:valAx>
      <c:spPr>
        <a:noFill/>
        <a:ln>
          <a:noFill/>
        </a:ln>
      </c:spPr>
    </c:plotArea>
    <c:plotVisOnly val="1"/>
    <c:dispBlanksAs val="gap"/>
  </c:chart>
  <c:spPr>
    <a:solidFill>
      <a:srgbClr val="FFFFFF"/>
    </a:solidFill>
    <a:ln>
      <a:noFill/>
    </a:ln>
  </c:spPr>
  <c:txPr>
    <a:bodyPr/>
    <a:lstStyle/>
    <a:p>
      <a:pPr>
        <a:defRPr sz="1100" b="0">
          <a:solidFill>
            <a:srgbClr val="000000"/>
          </a:solidFill>
          <a:latin typeface="Times New Roman"/>
          <a:cs typeface="Times New Roman"/>
        </a:defRPr>
      </a:pPr>
      <a:endParaRPr lang="uz-Latn-UZ"/>
    </a:p>
  </c:txPr>
  <c:externalData r:id="rId1">
    <c:autoUpdate val="0"/>
  </c:externalData>
</c:chartSpace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