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38</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56</w:t>
      </w:r>
    </w:p>
    <w:p w:rsidR="005603EC" w:rsidRDefault="00AB61AC">
      <w:pPr>
        <w:tabs>
          <w:tab w:val="right" w:leader="dot" w:pos="9354"/>
        </w:tabs>
        <w:spacing w:after="80" w:line="240" w:lineRule="auto"/>
        <w:ind w:left="454"/>
      </w:pPr>
      <w:r>
        <w:rPr>
          <w:sz w:val="26"/>
        </w:rPr>
        <w:t>I bob bo‘yicha xulosalar</w:t>
      </w:r>
      <w:r>
        <w:rPr>
          <w:sz w:val="26"/>
        </w:rPr>
        <w:tab/>
        <w:t>79</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82</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82</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94</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111</w:t>
      </w:r>
    </w:p>
    <w:p w:rsidR="005603EC" w:rsidRDefault="00AB61AC">
      <w:pPr>
        <w:tabs>
          <w:tab w:val="right" w:leader="dot" w:pos="9354"/>
        </w:tabs>
        <w:spacing w:after="80" w:line="240" w:lineRule="auto"/>
        <w:ind w:left="454"/>
      </w:pPr>
      <w:r>
        <w:rPr>
          <w:sz w:val="26"/>
        </w:rPr>
        <w:t>II bob bo‘yicha xulosalar</w:t>
      </w:r>
      <w:r>
        <w:rPr>
          <w:sz w:val="26"/>
        </w:rPr>
        <w:tab/>
        <w:t>134</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137</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137</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189</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192</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192</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235</w:t>
      </w:r>
    </w:p>
    <w:p w:rsidR="005603EC" w:rsidRDefault="00AB61AC">
      <w:pPr>
        <w:tabs>
          <w:tab w:val="right" w:leader="dot" w:pos="9354"/>
        </w:tabs>
        <w:spacing w:after="80" w:line="240" w:lineRule="auto"/>
      </w:pPr>
      <w:r>
        <w:rPr>
          <w:b/>
          <w:sz w:val="26"/>
        </w:rPr>
        <w:t>XULOSA</w:t>
      </w:r>
      <w:r>
        <w:rPr>
          <w:b/>
          <w:sz w:val="26"/>
        </w:rPr>
        <w:tab/>
        <w:t>238</w:t>
      </w:r>
    </w:p>
    <w:p w:rsidR="005603EC" w:rsidRDefault="00AB61AC">
      <w:pPr>
        <w:tabs>
          <w:tab w:val="right" w:leader="dot" w:pos="9354"/>
        </w:tabs>
        <w:spacing w:after="80" w:line="240" w:lineRule="auto"/>
      </w:pPr>
      <w:r>
        <w:rPr>
          <w:b/>
          <w:sz w:val="26"/>
        </w:rPr>
        <w:t>FOYDALANILGAN ADABIYOTLAR RO‘YXATI</w:t>
      </w:r>
      <w:r>
        <w:rPr>
          <w:b/>
          <w:sz w:val="26"/>
        </w:rPr>
        <w:tab/>
        <w:t>244</w:t>
      </w:r>
    </w:p>
    <w:p w:rsidR="005603EC" w:rsidRDefault="00AB61AC">
      <w:pPr>
        <w:tabs>
          <w:tab w:val="right" w:leader="dot" w:pos="9354"/>
        </w:tabs>
        <w:spacing w:after="80" w:line="240" w:lineRule="auto"/>
      </w:pPr>
      <w:r>
        <w:rPr>
          <w:b/>
          <w:sz w:val="26"/>
        </w:rPr>
        <w:t>ILOVALAR</w:t>
      </w:r>
      <w:r>
        <w:rPr>
          <w:b/>
          <w:sz w:val="26"/>
        </w:rPr>
        <w:tab/>
        <w:t>265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color w:val="0070C0"/>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240</w:t>
      </w:r>
      <w:r>
        <w:rPr/>
        <w:t xml:space="preserve"> betni</w:t>
      </w:r>
      <w:r>
        <w:t xml:space="preserve"> tashkil etadi, unda 60 dan ortiq jadval va rasm keltirilgan, </w:t>
      </w:r>
      <w:r>
        <w:rPr/>
        <w:t xml:space="preserve">foydalanilgan adabiyotlar ro‘yxati </w:t>
      </w:r>
      <w:r>
        <w:rPr>
          <w:color w:val="0070C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color w:val="0070C0"/>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color w:val="0070C0"/>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color w:val="0070C0"/>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color w:val="0070C0"/>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color w:val="0070C0"/>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color w:val="0070C0"/>
        </w:rPr>
        <w:t xml:space="preserve">barqarorlikni, bir tomondan,</w:t>
      </w:r>
      <w:r>
        <w:t xml:space="preserve"> miqdoriy o‘lchanadigan, ikkinchi </w:t>
      </w:r>
      <w:r>
        <w:rPr>
          <w:color w:val="0070C0"/>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color w:val="0070C0"/>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color w:val="0070C0"/>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spacing w:after="0" w:line="360" w:lineRule="auto"/>
        <w:ind w:firstLine="709"/>
        <w:jc w:val="both"/>
      </w:pPr>
      <w:r>
        <w:rPr>
          <w:color w:val="0070C0"/>
        </w:rPr>
        <w:t xml:space="preserve">1.2.1-rasmdan </w:t>
      </w:r>
      <w:r>
        <w:t xml:space="preserve">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r>
      <w:r>
        <w:t>ichki modellari bir xil kreditlar uchun minus 30 foizdan plyus 190 foizgacha farq qiladigan kapital talabini bergan</w:t>
      </w:r>
      <w:r>
        <w:rPr>
          <w:rStyle w:val="aff8"/>
        </w:rPr>
        <w:footnoteReference w:id="139"/>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40"/>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spacing w:after="0" w:line="360" w:lineRule="auto"/>
        <w:ind w:firstLine="709"/>
        <w:jc w:val="both"/>
      </w:pPr>
      <w:r>
        <w:rPr>
          <w:color w:val="0070C0"/>
        </w:rPr>
        <w:t xml:space="preserve">1.2.4-rasmdan </w:t>
      </w:r>
      <w:r>
        <w:t xml:space="preserve">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color w:val="0070C0"/>
        </w:rPr>
        <w:t xml:space="preserve">oshadi</w:t>
      </w:r>
      <w:r>
        <w:rPr>
          <w:rStyle w:val="aff8"/>
        </w:rPr>
        <w:footnoteReference w:id="159"/>
      </w:r>
      <w:r>
        <w:rPr>
          <w:color w:val="0070C0"/>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62"/>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spacing w:after="0" w:line="360" w:lineRule="auto"/>
        <w:ind w:firstLine="709"/>
        <w:jc w:val="both"/>
      </w:pPr>
      <w:r>
        <w:rPr>
          <w:color w:val="0070C0"/>
        </w:rPr>
        <w:t xml:space="preserve">1.2.5-jadvaldan </w:t>
      </w:r>
      <w:r>
        <w:rPr/>
        <w:t xml:space="preserve">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t xml:space="preserve"> Bu esa O‘zbekiston sharoitida valyuta riskiga sezgirlikni integral bahoning alohida bloki sifatida ajratish zarurligini ko‘rsatadi.</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spacing w:after="0" w:line="360" w:lineRule="auto"/>
        <w:ind w:firstLine="709"/>
        <w:jc w:val="both"/>
      </w:pPr>
      <w:r>
        <w:rPr>
          <w:color w:val="0070C0"/>
        </w:rPr>
        <w:t xml:space="preserve">1.3.1-rasmdagi tasnifdan ko‘rinib</w:t>
      </w:r>
      <w:r>
        <w:t xml:space="preserve">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r>
        <w:rPr/>
        <w:t xml:space="preserve">.</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spacing w:after="0" w:line="360" w:lineRule="auto"/>
        <w:ind w:firstLine="709"/>
        <w:jc w:val="both"/>
      </w:pPr>
      <w:r>
        <w:rPr>
          <w:color w:val="0070C0"/>
        </w:rPr>
        <w:t xml:space="preserve">1.3.4-rasmdan </w:t>
      </w:r>
      <w:r>
        <w:rPr/>
        <w:t xml:space="preserve">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6"/>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color w:val="0070C0"/>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
      </w:r>
      <w:r>
        <w:rPr>
          <w:rStyle w:val="aff8"/>
        </w:rPr>
        <w:footnoteReference w:id="219"/>
      </w:r>
      <w:r>
        <w:rPr/>
        <w:t xml:space="preserve">.</w:t>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color w:val="0070C0"/>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color w:val="0070C0"/>
        </w:rPr>
        <w:t xml:space="preserve">yetadi</w:t>
      </w:r>
      <w:r>
        <w:rPr>
          <w:rStyle w:val="aff8"/>
        </w:rPr>
        <w:footnoteReference w:id="237"/>
      </w:r>
      <w:r>
        <w:rPr>
          <w:color w:val="0070C0"/>
        </w:rPr>
        <w:t xml:space="preserve">. B. Charoenwong, M. Miao</w:t>
      </w:r>
      <w:r>
        <w:t xml:space="preserve"> va T. Ruan esa banklar muammoli kreditlarni o‘zlariga bog‘liq tomonlarga “sotib”, ularning riskini amalda </w:t>
      </w:r>
      <w:r>
        <w:rPr>
          <w:color w:val="0070C0"/>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color w:val="0070C0"/>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color w:val="0070C0"/>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color w:val="0070C0"/>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spacing w:after="0" w:line="360" w:lineRule="auto"/>
        <w:ind w:firstLine="709"/>
        <w:jc w:val="both"/>
      </w:pPr>
      <w:r>
        <w:rPr>
          <w:color w:val="0070C0"/>
        </w:rPr>
        <w:t xml:space="preserve">2.1.1-rasmdan </w:t>
      </w:r>
      <w:r>
        <w:t xml:space="preserve">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7"/>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color w:val="0070C0"/>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color w:val="0070C0"/>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color w:val="0070C0"/>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color w:val="0070C0"/>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color w:val="0070C0"/>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color w:val="0070C0"/>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color w:val="0070C0"/>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color w:val="0070C0"/>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spacing w:after="0" w:line="360" w:lineRule="auto"/>
        <w:ind w:firstLine="709"/>
        <w:jc w:val="both"/>
      </w:pPr>
      <w:r>
        <w:rPr>
          <w:color w:val="0070C0"/>
        </w:rPr>
        <w:t xml:space="preserve">2.2.2-rasmdan </w:t>
      </w:r>
      <w:r>
        <w:rPr/>
        <w:t xml:space="preserve">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0"/>
      </w:r>
      <w:r>
        <w:t xml:space="preserve">. CAMELS tizimida eng yuqori, ya’ni </w:t>
      </w:r>
      <w:r>
        <w:rPr>
          <w:color w:val="0070C0"/>
        </w:rPr>
        <w:t xml:space="preserve">1-reyting,</w:t>
      </w:r>
      <w:r>
        <w:t xml:space="preserve"> kapital koeffitsiyentlari 4 va 8 foizlik chegaralardan ancha yuqori bo‘lganda beriladi</w:t>
      </w:r>
      <w:r>
        <w:rPr>
          <w:rStyle w:val="aff8"/>
        </w:rPr>
        <w:footnoteReference w:id="291"/>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5"/>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10"/>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5"/>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color w:val="0070C0"/>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color w:val="0070C0"/>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color w:val="0070C0"/>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color w:val="0070C0"/>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spacing w:after="0" w:line="360" w:lineRule="auto"/>
        <w:ind w:firstLine="709"/>
        <w:jc w:val="both"/>
      </w:pPr>
      <w:r>
        <w:rPr>
          <w:color w:val="0070C0"/>
        </w:rPr>
        <w:t xml:space="preserve">2.3.1-jadval ma’lumotlari</w:t>
      </w:r>
      <w:r>
        <w:t xml:space="preserve">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5"/>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color w:val="0070C0"/>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rPr>
          <w:color w:val="0070C0"/>
        </w:rPr>
        <w:t xml:space="preserve">2.3.1-rasmdan </w:t>
      </w:r>
      <w:r>
        <w:t xml:space="preserve">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spacing w:after="0" w:line="360" w:lineRule="auto"/>
        <w:ind w:firstLine="709"/>
        <w:jc w:val="both"/>
      </w:pPr>
      <w:r>
        <w:rPr>
          <w:color w:val="0070C0"/>
        </w:rPr>
        <w:t xml:space="preserve">2.3.2-rasmdan </w:t>
      </w:r>
      <w:r>
        <w:t xml:space="preserve">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r>
      <w:r>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6"/>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spacing w:after="0" w:line="360" w:lineRule="auto"/>
        <w:ind w:firstLine="709"/>
        <w:jc w:val="both"/>
      </w:pPr>
      <w:r>
        <w:lastRenderedPageBreak/>
      </w:r>
      <w:r>
        <w:rPr>
          <w:color w:val="0070C0"/>
        </w:rPr>
        <w:t xml:space="preserve">2.3.3-rasm ma’lumotlari</w:t>
      </w:r>
      <w:r>
        <w:t xml:space="preserve">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color w:val="0070C0"/>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spacing w:after="0" w:line="360" w:lineRule="auto"/>
        <w:ind w:firstLine="709"/>
        <w:jc w:val="both"/>
      </w:pPr>
      <w:r>
        <w:rPr>
          <w:color w:val="0070C0"/>
        </w:rPr>
        <w:t xml:space="preserve">2.3.4-rasm ma’lumotlari</w:t>
      </w:r>
      <w:r>
        <w:t xml:space="preserve">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50"/>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color w:val="0070C0"/>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color w:val="0070C0"/>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color w:val="0070C0"/>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color w:val="0070C0"/>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color w:val="0070C0"/>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spacing w:after="0" w:line="360" w:lineRule="auto"/>
        <w:ind w:firstLine="709"/>
        <w:jc w:val="both"/>
      </w:pPr>
      <w:r>
        <w:rPr>
          <w:color w:val="0070C0"/>
        </w:rPr>
        <w:t xml:space="preserve">2.3.7-rasmdan </w:t>
      </w:r>
      <w:r>
        <w:t xml:space="preserve">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color w:val="0070C0"/>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ya’ni MHXS 9 bo‘yicha 3-bosqich kreditlari ulushining milliy tasnifdagi muammoli kreditlar ulushiga </w:t>
      </w:r>
      <w:r>
        <w:rPr>
          <w:color w:val="0070C0"/>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color w:val="0070C0"/>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color w:val="0070C0"/>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color w:val="0070C0"/>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color w:val="0070C0"/>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color w:val="0070C0"/>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color w:val="0070C0"/>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r>
      <w:r>
        <w:t xml:space="preserve">Vaznlar tanlovi indeks natijalariga qanchalik ta’sir qilishini aniqlash uchun beshta bankning integral indeksi har bir usul vaznlari bo‘yicha </w:t>
      </w:r>
      <w:r>
        <w:rPr>
          <w:color w:val="0070C0"/>
        </w:rPr>
        <w:t xml:space="preserve">qayta hisoblandi (3.2.3-jadval). Bunda “Aloqabank” ATB tanlanmadan tashqari tekshiruv uchun qo‘shildi, jadvalning quyi qatorlarida esa har bir usul bo‘yicha 2021–2025-yillardagi 25 ta kuzatuvdan sinfi tayanch vaznlardagi bilan mos kelganlari soni, banklar tartibining korrelyatsiyasi va muammo hodisalarini bashorat qilish kuchi keltirilgan. Sinflarning mos kelishi vaznlarga eng sezgir ko‘rsatkich hisoblanadi, chunki tarqoqlikka asoslangan usullar sinf chegarasiga yaqin banklarning bahosini ko‘proq o‘zgartiradi.</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rPr>
          <w:color w:val="0070C0"/>
        </w:rPr>
        <w:t xml:space="preserve">Jadvaldan ko‘rinib</w:t>
      </w:r>
      <w:r>
        <w:t xml:space="preserve">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w:t>
      </w:r>
      <w:r>
        <w:t xml:space="preserve">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spacing w:after="0" w:line="360" w:lineRule="auto"/>
        <w:ind w:firstLine="709"/>
        <w:jc w:val="both"/>
      </w:pPr>
      <w:r>
        <w:rPr>
          <w:color w:val="0070C0"/>
        </w:rPr>
        <w:t xml:space="preserve">3.2.1-rasmdan </w:t>
      </w:r>
      <w:r>
        <w:t xml:space="preserve">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color w:val="0070C0"/>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spacing w:after="0" w:line="360" w:lineRule="auto"/>
        <w:ind w:firstLine="709"/>
        <w:jc w:val="both"/>
      </w:pPr>
      <w:r>
        <w:rPr>
          <w:color w:val="0070C0"/>
        </w:rPr>
        <w:t xml:space="preserve">3.2.2-rasmdan </w:t>
      </w:r>
      <w:r>
        <w:t xml:space="preserve">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7"/>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color w:val="0070C0"/>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spacing w:after="0" w:line="360" w:lineRule="auto"/>
        <w:ind w:firstLine="709"/>
        <w:jc w:val="both"/>
      </w:pPr>
      <w:r>
        <w:rPr>
          <w:color w:val="0070C0"/>
        </w:rPr>
        <w:t xml:space="preserve">3.3.1-jadvalda </w:t>
      </w:r>
      <w:r>
        <w:t xml:space="preserve">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3"/>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4"/>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color w:val="0070C0"/>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color w:val="0070C0"/>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color w:val="0070C0"/>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color w:val="0070C0"/>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spacing w:after="0" w:line="360" w:lineRule="auto"/>
        <w:ind w:firstLine="709"/>
        <w:jc w:val="both"/>
      </w:pPr>
      <w:r>
        <w:rPr>
          <w:color w:val="0070C0"/>
        </w:rPr>
        <w:t xml:space="preserve">4.1.1-jadvaldan </w:t>
      </w:r>
      <w:r>
        <w:t xml:space="preserve">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r>
      <w:r>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color w:val="0070C0"/>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color w:val="0070C0"/>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color w:val="0070C0"/>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spacing w:after="0" w:line="360" w:lineRule="auto"/>
        <w:ind w:firstLine="709"/>
        <w:jc w:val="both"/>
      </w:pPr>
      <w:r>
        <w:rPr>
          <w:color w:val="0070C0"/>
        </w:rPr>
        <w:t xml:space="preserve">4.1.2-rasmdan </w:t>
      </w:r>
      <w:r>
        <w:t xml:space="preserve">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0"/>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1"/>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color w:val="0070C0"/>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color w:val="0070C0"/>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spacing w:after="0" w:line="360" w:lineRule="auto"/>
        <w:ind w:firstLine="709"/>
        <w:jc w:val="both"/>
      </w:pPr>
      <w:r>
        <w:rPr>
          <w:color w:val="0070C0"/>
        </w:rPr>
        <w:t xml:space="preserve">4.1.3-rasmdan </w:t>
      </w:r>
      <w:r>
        <w:t xml:space="preserve">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rPr>
          <w:color w:val="0070C0"/>
        </w:rPr>
        <w:t xml:space="preserve">4.1.4-rasmdan ko‘rinib</w:t>
      </w:r>
      <w:r>
        <w:t xml:space="preserve">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spacing w:after="0" w:line="360" w:lineRule="auto"/>
        <w:ind w:firstLine="709"/>
        <w:jc w:val="both"/>
      </w:pPr>
      <w:r>
        <w:rPr>
          <w:color w:val="0070C0"/>
        </w:rPr>
        <w:t xml:space="preserve">4.1.6-jadvaldan </w:t>
      </w:r>
      <w:r>
        <w:t xml:space="preserve">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color w:val="0070C0"/>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w:t>
      </w:r>
      <w:r>
        <w:rPr>
          <w:color w:val="0070C0"/>
        </w:rPr>
        <w:t xml:space="preserve">jiddiy bo‘lishi</w:t>
      </w:r>
      <w:r>
        <w:rPr>
          <w:color w:val="0070C0"/>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color w:val="0070C0"/>
        </w:rPr>
        <w:t xml:space="preserve">inflyatsiya,</w:t>
      </w:r>
      <w:r>
        <w:t xml:space="preserve">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4.2.2-rasm.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1"/>
      </w:r>
    </w:p>
    <w:p w:rsidR="005603EC" w:rsidRDefault="00AB61AC">
      <w:pPr>
        <w:pStyle w:val="af"/>
        <w:spacing w:after="0" w:line="360" w:lineRule="auto"/>
        <w:ind w:firstLine="709"/>
        <w:jc w:val="both"/>
      </w:pPr>
      <w: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color w:val="0070C0"/>
        </w:rPr>
        <w:t xml:space="preserve">kamaytirib</w:t>
      </w:r>
      <w:r>
        <w:t xml:space="preserve">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4.2.6-jadvalda keltirilgan</w:t>
      </w:r>
      <w:r>
        <w:t xml:space="preserve">.</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color w:val="0070C0"/>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color w:val="0070C0"/>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w:t>
      </w:r>
      <w:r>
        <w:rPr>
          <w:color w:val="0070C0"/>
        </w:rPr>
        <w:t xml:space="preserve">kamaytirib</w:t>
      </w:r>
      <w:r>
        <w:t xml:space="preserve">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color w:val="0070C0"/>
        </w:rPr>
        <w:t xml:space="preserve">banklarining,</w:t>
      </w:r>
      <w:r>
        <w:t xml:space="preserve">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27"/>
      </w:r>
      <w:r>
        <w:t xml:space="preserve">. Hatto asosiy ssenariyda ham to‘qqizta davlat bankidan beshtasi, jumladan ikkita tizimli ahamiyatga molik </w:t>
      </w:r>
      <w:r>
        <w:rPr>
          <w:color w:val="0070C0"/>
        </w:rPr>
        <w:t xml:space="preserve">bank,</w:t>
      </w:r>
      <w:r>
        <w:t xml:space="preserve">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29"/>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color w:val="0070C0"/>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color w:val="0070C0"/>
        </w:rPr>
        <w:t xml:space="preserve">choralari,</w:t>
      </w:r>
      <w:r>
        <w:t xml:space="preserve"> belgilanadi</w:t>
      </w:r>
      <w:r>
        <w:rPr>
          <w:rStyle w:val="aff8"/>
        </w:rPr>
        <w:footnoteReference w:id="536"/>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color w:val="0070C0"/>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spacing w:after="0" w:line="360" w:lineRule="auto"/>
        <w:ind w:firstLine="709"/>
        <w:jc w:val="both"/>
      </w:pPr>
      <w:r>
        <w:rPr>
          <w:color w:val="0070C0"/>
        </w:rPr>
        <w:t xml:space="preserve">4.3.4-jadvaldan </w:t>
      </w:r>
      <w:r>
        <w:t xml:space="preserve">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color w:val="0070C0"/>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color w:val="0070C0"/>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color w:val="0070C0"/>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color w:val="0070C0"/>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color w:val="0070C0"/>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color w:val="0070C0"/>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color w:val="0070C0"/>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color w:val="0070C0"/>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w:t>
      </w:r>
      <w:r>
        <w:rPr>
          <w:color w:val="0070C0"/>
        </w:rPr>
        <w:t xml:space="preserve">Tadqiqotlar jarayonida muallif tomonidan tuzilgan.</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color w:val="0070C0"/>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color w:val="0070C0"/>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t xml:space="preserve"> </w:t>
      </w:r>
      <w:r>
        <w:rPr>
          <w:color w:val="0070C0"/>
        </w:rPr>
        <w:t xml:space="preserve">Tadqiqotlar jarayonida muallif tomonidan tuzilgan.</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color w:val="0070C0"/>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Tadqiqot natijasida muallif tomonidan ishlab chiqildi.</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color w:val="0070C0"/>
        </w:rPr>
        <w:t xml:space="preserve">Tadqiqotlar jarayonida muallif tomonidan tuzilgan.</w:t>
      </w:r>
    </w:p>
  </w:footnote>
  <w:footnote w:id="172">
    <w:p w:rsidR="00AB61AC" w:rsidRDefault="00AB61AC">
      <w:pPr>
        <w:pStyle w:val="aff9"/>
      </w:pPr>
      <w:r>
        <w:rPr>
          <w:rStyle w:val="aff8"/>
        </w:rPr>
        <w:footnoteRef/>
      </w:r>
      <w:r>
        <w:t xml:space="preserve"> </w:t>
      </w:r>
      <w:r>
        <w:rPr>
          <w:color w:val="0070C0"/>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color w:val="0070C0"/>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color w:val="0070C0"/>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w:t>
      </w:r>
      <w:r>
        <w:rPr>
          <w:color w:val="0070C0"/>
        </w:rPr>
        <w:t xml:space="preserve">Tadqiqotlar jarayonida muallif tomonidan tuzilgan.</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color w:val="0070C0"/>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color w:val="0070C0"/>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color w:val="0070C0"/>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0070C0"/>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0070C0"/>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color w:val="0070C0"/>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95">
    <w:p w:rsidR="00AB61AC" w:rsidRDefault="00AB61AC">
      <w:pPr>
        <w:pStyle w:val="aff9"/>
      </w:pPr>
      <w:r>
        <w:rPr>
          <w:rStyle w:val="aff8"/>
        </w:rPr>
        <w:footnoteRef/>
      </w:r>
      <w:r>
        <w:t xml:space="preserve"> </w:t>
      </w:r>
      <w:r>
        <w:rPr>
          <w:color w:val="0070C0"/>
        </w:rPr>
        <w:t xml:space="preserve">Tadqiqotlar jarayonida muallif tomonidan tuzilgan.</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2.2.1-jadval ma’lumotlari asosida ishlab chiqildi.</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color w:val="0070C0"/>
        </w:rPr>
        <w:t xml:space="preserve">Tadqiqotlar jarayonida muallif tomonidan tuzilgan.</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w:t>
      </w:r>
      <w:r>
        <w:rPr>
          <w:color w:val="0070C0"/>
        </w:rPr>
        <w:t xml:space="preserve">Tadqiqotlar jarayonida muallif tomonidan tuzilgan.</w:t>
      </w:r>
    </w:p>
  </w:footnote>
  <w:footnote w:id="347">
    <w:p w:rsidR="00AB61AC" w:rsidRDefault="00AB61AC">
      <w:pPr>
        <w:pStyle w:val="aff9"/>
      </w:pPr>
      <w:r>
        <w:rPr>
          <w:rStyle w:val="aff8"/>
        </w:rPr>
        <w:footnoteRef/>
      </w:r>
      <w:r>
        <w:t xml:space="preserve"> </w:t>
      </w:r>
      <w:r>
        <w:rPr>
          <w:color w:val="0070C0"/>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Default="00AB61AC">
      <w:pPr>
        <w:pStyle w:val="aff9"/>
      </w:pPr>
      <w:r>
        <w:rPr>
          <w:rStyle w:val="aff8"/>
        </w:rPr>
        <w:footnoteRef/>
      </w:r>
      <w:r>
        <w:t xml:space="preserve"> </w:t>
      </w:r>
      <w:r>
        <w:rPr>
          <w:color w:val="0070C0"/>
        </w:rPr>
        <w:t xml:space="preserve">Tadqiqotlar jarayonida muallif tomonidan tuzilgan.</w:t>
      </w:r>
    </w:p>
  </w:footnote>
  <w:footnote w:id="35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color w:val="0070C0"/>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color w:val="0070C0"/>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color w:val="0070C0"/>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color w:val="0070C0"/>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412">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3">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color w:val="0070C0"/>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color w:val="0070C0"/>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color w:val="0070C0"/>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color w:val="0070C0"/>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color w:val="0070C0"/>
        </w:rPr>
        <w:t xml:space="preserve">Tadqiqotlar jarayonida muallif tomonidan tuzilgan.</w:t>
      </w:r>
    </w:p>
  </w:footnote>
  <w:footnote w:id="434">
    <w:p w:rsidR="00AB61AC" w:rsidRDefault="00AB61AC">
      <w:pPr>
        <w:pStyle w:val="aff9"/>
      </w:pPr>
      <w:r>
        <w:rPr>
          <w:rStyle w:val="aff8"/>
        </w:rPr>
        <w:footnoteRef/>
      </w:r>
      <w:r>
        <w:t xml:space="preserve"> </w:t>
      </w:r>
      <w:r>
        <w:rPr>
          <w:color w:val="0070C0"/>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w:t>
      </w:r>
      <w:r>
        <w:rPr>
          <w:color w:val="0070C0"/>
        </w:rPr>
        <w:t xml:space="preserve">Tadqiqotlar jarayonida muallif tomonidan tuzilgan.</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color w:val="0070C0"/>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w:t>
      </w:r>
      <w:r>
        <w:rPr>
          <w:color w:val="0070C0"/>
        </w:rPr>
        <w:t xml:space="preserve">Tadqiqotlar jarayonida muallif tomonidan tuzilgan.</w:t>
      </w:r>
    </w:p>
  </w:footnote>
  <w:footnote w:id="490">
    <w:p w:rsidR="00AB61AC" w:rsidRDefault="00AB61AC">
      <w:pPr>
        <w:pStyle w:val="aff9"/>
      </w:pPr>
      <w:r>
        <w:rPr>
          <w:rStyle w:val="aff8"/>
        </w:rPr>
        <w:footnoteRef/>
      </w:r>
      <w:r>
        <w:t xml:space="preserve"> </w:t>
      </w:r>
      <w:r>
        <w:rPr>
          <w:color w:val="0070C0"/>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t xml:space="preserve"> </w:t>
      </w:r>
      <w:r>
        <w:rPr>
          <w:color w:val="0070C0"/>
        </w:rPr>
        <w:t xml:space="preserve">Tadqiqotlar jarayonida muallif tomonidan tuzilgan.</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w:t>
      </w:r>
    </w:p>
  </w:footnote>
  <w:footnote w:id="530">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1">
    <w:p w:rsidR="00AB61AC" w:rsidRDefault="00AB61AC">
      <w:pPr>
        <w:pStyle w:val="aff9"/>
      </w:pPr>
      <w:r>
        <w:rPr>
          <w:rStyle w:val="aff8"/>
        </w:rPr>
        <w:footnoteRef/>
      </w:r>
      <w:r>
        <w:t xml:space="preserve"> </w:t>
      </w:r>
      <w:r>
        <w:rPr>
          <w:color w:val="0070C0"/>
        </w:rPr>
        <w:t xml:space="preserve">Tadqiqotlar jarayonida muallif tomonidan tuzilgan.</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w:t>
      </w:r>
      <w:r>
        <w:rPr>
          <w:color w:val="0070C0"/>
        </w:rPr>
        <w:t xml:space="preserve">Tadqiqotlar jarayonida muallif tomonidan tuzilgan.</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7-tadbir</w:t>
      </w:r>
      <w:r>
        <w:t xml:space="preserve">.</w:t>
      </w:r>
    </w:p>
  </w:footnote>
  <w:footnote w:id="544">
    <w:p w:rsidR="00AB61AC" w:rsidRDefault="00AB61AC">
      <w:pPr>
        <w:pStyle w:val="aff9"/>
      </w:pPr>
      <w:r>
        <w:rPr>
          <w:rStyle w:val="aff8"/>
        </w:rPr>
        <w:footnoteRef/>
      </w:r>
      <w:r>
        <w:t xml:space="preserve"> </w:t>
      </w:r>
      <w:r>
        <w:rPr>
          <w:color w:val="0070C0"/>
        </w:rPr>
        <w:t xml:space="preserve">Tadqiqotlar jarayonida muallif tomonidan tuzilgan.</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w:t>
      </w:r>
      <w:r>
        <w:rPr>
          <w:color w:val="0070C0"/>
        </w:rPr>
        <w:t xml:space="preserve">Tadqiqotlar jarayonida muallif tomonidan tuzilgan.</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MBII-8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