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DENOV TADBIRKORLIK VA PEDAGOGIKA UNIVERSITETI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116</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159</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172</w:t>
      </w:r>
    </w:p>
    <w:p w:rsidR="005603EC" w:rsidRDefault="00AB61AC">
      <w:pPr>
        <w:tabs>
          <w:tab w:val="right" w:leader="dot" w:pos="9354"/>
        </w:tabs>
        <w:spacing w:after="80" w:line="240" w:lineRule="auto"/>
        <w:ind w:left="454"/>
      </w:pPr>
      <w:r>
        <w:rPr>
          <w:sz w:val="26"/>
        </w:rPr>
        <w:t>III bob bo‘yicha xulosalar</w:t>
      </w:r>
      <w:r>
        <w:rPr>
          <w:sz w:val="26"/>
        </w:rPr>
        <w:tab/>
        <w:t>190</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193</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193</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209</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221</w:t>
      </w:r>
    </w:p>
    <w:p w:rsidR="005603EC" w:rsidRDefault="00AB61AC">
      <w:pPr>
        <w:tabs>
          <w:tab w:val="right" w:leader="dot" w:pos="9354"/>
        </w:tabs>
        <w:spacing w:after="80" w:line="240" w:lineRule="auto"/>
        <w:ind w:left="454"/>
      </w:pPr>
      <w:r>
        <w:rPr>
          <w:sz w:val="26"/>
        </w:rPr>
        <w:t>IV bob bo‘yicha xulosalar</w:t>
      </w:r>
      <w:r>
        <w:rPr>
          <w:sz w:val="26"/>
        </w:rPr>
        <w:tab/>
        <w:t>234</w:t>
      </w:r>
    </w:p>
    <w:p w:rsidR="005603EC" w:rsidRDefault="00AB61AC">
      <w:pPr>
        <w:tabs>
          <w:tab w:val="right" w:leader="dot" w:pos="9354"/>
        </w:tabs>
        <w:spacing w:after="80" w:line="240" w:lineRule="auto"/>
      </w:pPr>
      <w:r>
        <w:rPr>
          <w:b/>
          <w:sz w:val="26"/>
        </w:rPr>
        <w:t>XULOSA</w:t>
      </w:r>
      <w:r>
        <w:rPr>
          <w:b/>
          <w:sz w:val="26"/>
        </w:rPr>
        <w:tab/>
        <w:t>237</w:t>
      </w:r>
    </w:p>
    <w:p w:rsidR="005603EC" w:rsidRDefault="00AB61AC">
      <w:pPr>
        <w:tabs>
          <w:tab w:val="right" w:leader="dot" w:pos="9354"/>
        </w:tabs>
        <w:spacing w:after="80" w:line="240" w:lineRule="auto"/>
      </w:pPr>
      <w:r>
        <w:rPr>
          <w:b/>
          <w:sz w:val="26"/>
        </w:rPr>
        <w:t>FOYDALANILGAN ADABIYOTLAR RO‘YXATI</w:t>
      </w:r>
      <w:r>
        <w:rPr>
          <w:b/>
          <w:sz w:val="26"/>
        </w:rPr>
        <w:tab/>
        <w:t>242</w:t>
      </w:r>
    </w:p>
    <w:p w:rsidR="005603EC" w:rsidRDefault="00AB61AC">
      <w:pPr>
        <w:tabs>
          <w:tab w:val="right" w:leader="dot" w:pos="9354"/>
        </w:tabs>
        <w:spacing w:after="80" w:line="240" w:lineRule="auto"/>
      </w:pPr>
      <w:r>
        <w:rPr>
          <w:b/>
          <w:sz w:val="26"/>
        </w:rPr>
        <w:t>ILOVALAR</w:t>
      </w:r>
      <w:r>
        <w:rPr>
          <w:b/>
          <w:sz w:val="26"/>
        </w:rPr>
        <w:tab/>
        <w:t>262</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pedagogika universiteti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color w:val="FF0000"/>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238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color w:val="FF0000"/>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color w:val="FF0000"/>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color w:val="FF0000"/>
                <w:sz w:val="22"/>
              </w:rPr>
              <w:t xml:space="preserve">Restrukturizatsiya qilingan kreditlar</w:t>
            </w:r>
          </w:p>
        </w:tc>
        <w:tc>
          <w:tcPr>
            <w:tcW w:w="2494" w:type="dxa"/>
          </w:tcPr>
          <w:p w:rsidR="005603EC" w:rsidRDefault="00AB61AC">
            <w:pPr>
              <w:pStyle w:val="Compact"/>
              <w:spacing w:line="240" w:lineRule="auto"/>
            </w:pPr>
            <w:r>
              <w:rPr>
                <w:color w:val="FF0000"/>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color w:val="FF0000"/>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color w:val="FF0000"/>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color w:val="FF0000"/>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color w:val="FF0000"/>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color w:val="FF0000"/>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color w:val="FF0000"/>
        </w:rPr>
        <w:t xml:space="preserve"> – MHXS 9 bo‘yicha bosqichlarga taqsimlangan, ya’ni amortizatsiyalangan qiymatda baholanadigan kreditlar (brutto), </w:t>
      </w:r>
      <w:r>
        <w:rPr>
          <w:i/>
          <w:iCs/>
        </w:rPr>
        <w:t>L</w:t>
      </w:r>
      <w:r>
        <w:rPr>
          <w:vertAlign w:val="subscript"/>
        </w:rPr>
        <w:t>milliy</w:t>
      </w:r>
      <w:r>
        <w:rPr>
          <w:color w:val="FF0000"/>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color w:val="FF0000"/>
        </w:rPr>
        <w:t xml:space="preserve">tarkibi, 2021–2025-yillar, %</w:t>
      </w:r>
      <w:r>
        <w:rPr>
          <w:rStyle w:val="aff8"/>
        </w:rPr>
        <w:footnoteReference w:id="348"/>
      </w:r>
    </w:p>
    <w:p w:rsidR="005603EC" w:rsidRDefault="00AB61AC">
      <w:pPr>
        <w:pStyle w:val="af"/>
        <w:spacing w:before="120" w:after="240" w:line="240" w:lineRule="auto"/>
        <w:jc w:val="center"/>
      </w:pPr>
      <w:r>
        <w:rPr>
          <w:i/>
          <w:color w:val="FF0000"/>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color w:val="FF0000"/>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color w:val="FF0000"/>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color w:val="FF0000"/>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color w:val="FF0000"/>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color w:val="FF0000"/>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color w:val="FF0000"/>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color w:val="FF0000"/>
                <w:sz w:val="22"/>
              </w:rPr>
              <w:t xml:space="preserve">tahlil qilingan banklarda </w:t>
            </w:r>
            <w:r>
              <w:rPr>
                <w:sz w:val="22"/>
              </w:rPr>
              <w:t xml:space="preserve">yashirin kredit riski koeffitsiyenti </w:t>
            </w:r>
            <w:r>
              <w:rPr>
                <w:color w:val="FF0000"/>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color w:val="FF0000"/>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color w:val="FF0000"/>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color w:val="FF0000"/>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color w:val="FF0000"/>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color w:val="FF0000"/>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color w:val="FF0000"/>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color w:val="FF000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color w:val="FF0000"/>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color w:val="FF0000"/>
        </w:rPr>
        <w:footnoteReference w:id="400"/>
      </w:r>
      <w:r>
        <w:rPr>
          <w:color w:val="FF0000"/>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color w:val="FF0000"/>
        </w:rPr>
        <w:t xml:space="preserve">, uzluksiz shkalada esa mos ravishda 3,96 va 3,04 ball oladi</w:t>
      </w:r>
      <w:r>
        <w:t xml:space="preserve">, holbuki ularning barqarorligi sezilarli farq qiladi. Uzluksiz shkalada esa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color w:val="FF0000"/>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color w:val="FF0000"/>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color w:val="FF0000"/>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 xml:space="preserve">asosan </w:t>
      </w:r>
      <w:r>
        <w:rPr>
          <w:color w:val="FF0000"/>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color w:val="FF0000"/>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color w:val="FF0000"/>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color w:val="FF0000"/>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color w:val="FF0000"/>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color w:val="FF0000"/>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“O‘zsanoatqurilishbank” ATB va “Mikrokreditbank” ATB ko‘rsatkichlari va ballari,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190"/>
        <w:gridCol w:w="1538"/>
        <w:gridCol w:w="1539"/>
        <w:gridCol w:w="1539"/>
        <w:gridCol w:w="153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175" w:type="dxa"/>
            <w:shd w:val="clear" w:color="auto" w:fill="DEEBF7"/>
          </w:tcPr>
          <w:p w:rsidR="005603EC" w:rsidRDefault="00AB61AC">
            <w:pPr>
              <w:pStyle w:val="Compact"/>
              <w:spacing w:line="240" w:lineRule="auto"/>
              <w:jc w:val="center"/>
            </w:pPr>
            <w:r>
              <w:rPr>
                <w:b/>
                <w:sz w:val="22"/>
              </w:rPr>
              <w:t>Ko‘rsatkich</w:t>
            </w:r>
          </w:p>
        </w:tc>
        <w:tc>
          <w:tcPr>
            <w:tcW w:w="1531" w:type="dxa"/>
            <w:shd w:val="clear" w:color="auto" w:fill="DEEBF7"/>
          </w:tcPr>
          <w:p w:rsidR="005603EC" w:rsidRDefault="00AB61AC">
            <w:pPr>
              <w:pStyle w:val="Compact"/>
              <w:spacing w:line="240" w:lineRule="auto"/>
              <w:jc w:val="center"/>
            </w:pPr>
            <w:r>
              <w:rPr>
                <w:b/>
                <w:sz w:val="22"/>
              </w:rPr>
              <w:t>SQB: milliy</w:t>
            </w:r>
          </w:p>
        </w:tc>
        <w:tc>
          <w:tcPr>
            <w:tcW w:w="1531" w:type="dxa"/>
            <w:shd w:val="clear" w:color="auto" w:fill="DEEBF7"/>
          </w:tcPr>
          <w:p w:rsidR="005603EC" w:rsidRDefault="00AB61AC">
            <w:pPr>
              <w:pStyle w:val="Compact"/>
              <w:spacing w:line="240" w:lineRule="auto"/>
              <w:jc w:val="center"/>
            </w:pPr>
            <w:r>
              <w:rPr>
                <w:b/>
                <w:sz w:val="22"/>
              </w:rPr>
              <w:t>SQB: MHXS</w:t>
            </w:r>
          </w:p>
        </w:tc>
        <w:tc>
          <w:tcPr>
            <w:tcW w:w="1531" w:type="dxa"/>
            <w:shd w:val="clear" w:color="auto" w:fill="DEEBF7"/>
          </w:tcPr>
          <w:p w:rsidR="005603EC" w:rsidRDefault="00AB61AC">
            <w:pPr>
              <w:pStyle w:val="Compact"/>
              <w:spacing w:line="240" w:lineRule="auto"/>
              <w:jc w:val="center"/>
            </w:pPr>
            <w:r>
              <w:rPr>
                <w:b/>
                <w:sz w:val="22"/>
              </w:rPr>
              <w:t>MKB: milliy</w:t>
            </w:r>
          </w:p>
        </w:tc>
        <w:tc>
          <w:tcPr>
            <w:tcW w:w="1531" w:type="dxa"/>
            <w:shd w:val="clear" w:color="auto" w:fill="DEEBF7"/>
          </w:tcPr>
          <w:p w:rsidR="005603EC" w:rsidRDefault="00AB61AC">
            <w:pPr>
              <w:pStyle w:val="Compact"/>
              <w:spacing w:line="240" w:lineRule="auto"/>
              <w:jc w:val="center"/>
            </w:pPr>
            <w:r>
              <w:rPr>
                <w:b/>
                <w:sz w:val="22"/>
              </w:rPr>
              <w:t>MKB: MHXS</w:t>
            </w:r>
          </w:p>
        </w:tc>
      </w:tr>
      <w:tr w:rsidR="005603EC" w:rsidTr="005603EC">
        <w:trPr>
          <w:cantSplit/>
        </w:trPr>
        <w:tc>
          <w:tcPr>
            <w:tcW w:w="3175" w:type="dxa"/>
          </w:tcPr>
          <w:p w:rsidR="005603EC" w:rsidRDefault="00AB61AC">
            <w:pPr>
              <w:pStyle w:val="Compact"/>
              <w:spacing w:line="240" w:lineRule="auto"/>
            </w:pPr>
            <w:r>
              <w:rPr>
                <w:sz w:val="22"/>
              </w:rPr>
              <w:t>K1. CET1 monandligi, %</w:t>
            </w:r>
          </w:p>
        </w:tc>
        <w:tc>
          <w:tcPr>
            <w:tcW w:w="1531" w:type="dxa"/>
          </w:tcPr>
          <w:p w:rsidR="005603EC" w:rsidRDefault="00AB61AC">
            <w:pPr>
              <w:pStyle w:val="Compact"/>
              <w:spacing w:line="240" w:lineRule="auto"/>
              <w:jc w:val="center"/>
            </w:pPr>
            <w:r>
              <w:rPr>
                <w:sz w:val="22"/>
              </w:rPr>
              <w:t>10,21 (3,88)</w:t>
            </w:r>
          </w:p>
        </w:tc>
        <w:tc>
          <w:tcPr>
            <w:tcW w:w="1531" w:type="dxa"/>
          </w:tcPr>
          <w:p w:rsidR="005603EC" w:rsidRDefault="00AB61AC">
            <w:pPr>
              <w:pStyle w:val="Compact"/>
              <w:spacing w:line="240" w:lineRule="auto"/>
              <w:jc w:val="center"/>
            </w:pPr>
            <w:r>
              <w:rPr>
                <w:sz w:val="22"/>
              </w:rPr>
              <w:t>8,87 (3,35)</w:t>
            </w:r>
          </w:p>
        </w:tc>
        <w:tc>
          <w:tcPr>
            <w:tcW w:w="1531" w:type="dxa"/>
          </w:tcPr>
          <w:p w:rsidR="005603EC" w:rsidRDefault="00AB61AC">
            <w:pPr>
              <w:pStyle w:val="Compact"/>
              <w:spacing w:line="240" w:lineRule="auto"/>
              <w:jc w:val="center"/>
            </w:pPr>
            <w:r>
              <w:rPr>
                <w:sz w:val="22"/>
              </w:rPr>
              <w:t>16,39 (4,00)</w:t>
            </w:r>
          </w:p>
        </w:tc>
        <w:tc>
          <w:tcPr>
            <w:tcW w:w="1531" w:type="dxa"/>
          </w:tcPr>
          <w:p w:rsidR="005603EC" w:rsidRDefault="00AB61AC">
            <w:pPr>
              <w:pStyle w:val="Compact"/>
              <w:spacing w:line="240" w:lineRule="auto"/>
              <w:jc w:val="center"/>
            </w:pPr>
            <w:r>
              <w:rPr>
                <w:sz w:val="22"/>
              </w:rPr>
              <w:t>18,24 (4,00)</w:t>
            </w:r>
          </w:p>
        </w:tc>
      </w:tr>
      <w:tr w:rsidR="005603EC" w:rsidTr="005603EC">
        <w:trPr>
          <w:cantSplit/>
        </w:trPr>
        <w:tc>
          <w:tcPr>
            <w:tcW w:w="3175" w:type="dxa"/>
          </w:tcPr>
          <w:p w:rsidR="005603EC" w:rsidRDefault="00AB61AC">
            <w:pPr>
              <w:pStyle w:val="Compact"/>
              <w:spacing w:line="240" w:lineRule="auto"/>
            </w:pPr>
            <w:r>
              <w:rPr>
                <w:sz w:val="22"/>
              </w:rPr>
              <w:lastRenderedPageBreak/>
              <w:t>K2. Regulyativ kapital monandligi, %</w:t>
            </w:r>
          </w:p>
        </w:tc>
        <w:tc>
          <w:tcPr>
            <w:tcW w:w="1531" w:type="dxa"/>
          </w:tcPr>
          <w:p w:rsidR="005603EC" w:rsidRDefault="00AB61AC">
            <w:pPr>
              <w:pStyle w:val="Compact"/>
              <w:spacing w:line="240" w:lineRule="auto"/>
              <w:jc w:val="center"/>
            </w:pPr>
            <w:r>
              <w:rPr>
                <w:sz w:val="22"/>
              </w:rPr>
              <w:t>17,02 (4,00)</w:t>
            </w:r>
          </w:p>
        </w:tc>
        <w:tc>
          <w:tcPr>
            <w:tcW w:w="1531" w:type="dxa"/>
          </w:tcPr>
          <w:p w:rsidR="005603EC" w:rsidRDefault="00AB61AC">
            <w:pPr>
              <w:pStyle w:val="Compact"/>
              <w:spacing w:line="240" w:lineRule="auto"/>
              <w:jc w:val="center"/>
            </w:pPr>
            <w:r>
              <w:rPr>
                <w:sz w:val="22"/>
              </w:rPr>
              <w:t>15,32 (3,93)</w:t>
            </w:r>
          </w:p>
        </w:tc>
        <w:tc>
          <w:tcPr>
            <w:tcW w:w="1531" w:type="dxa"/>
          </w:tcPr>
          <w:p w:rsidR="005603EC" w:rsidRDefault="00AB61AC">
            <w:pPr>
              <w:pStyle w:val="Compact"/>
              <w:spacing w:line="240" w:lineRule="auto"/>
              <w:jc w:val="center"/>
            </w:pPr>
            <w:r>
              <w:rPr>
                <w:sz w:val="22"/>
              </w:rPr>
              <w:t>18,46 (4,00)</w:t>
            </w:r>
          </w:p>
        </w:tc>
        <w:tc>
          <w:tcPr>
            <w:tcW w:w="1531" w:type="dxa"/>
          </w:tcPr>
          <w:p w:rsidR="005603EC" w:rsidRDefault="00AB61AC">
            <w:pPr>
              <w:pStyle w:val="Compact"/>
              <w:spacing w:line="240" w:lineRule="auto"/>
              <w:jc w:val="center"/>
            </w:pPr>
            <w:r>
              <w:rPr>
                <w:sz w:val="22"/>
              </w:rPr>
              <w:t>19,96 (4,00)</w:t>
            </w:r>
          </w:p>
        </w:tc>
      </w:tr>
      <w:tr w:rsidR="005603EC" w:rsidTr="005603EC">
        <w:trPr>
          <w:cantSplit/>
        </w:trPr>
        <w:tc>
          <w:tcPr>
            <w:tcW w:w="3175" w:type="dxa"/>
          </w:tcPr>
          <w:p w:rsidR="005603EC" w:rsidRDefault="00AB61AC">
            <w:pPr>
              <w:pStyle w:val="Compact"/>
              <w:spacing w:line="240" w:lineRule="auto"/>
            </w:pPr>
            <w:r>
              <w:rPr>
                <w:sz w:val="22"/>
              </w:rPr>
              <w:t>K3. Kapital / aktivlar, %</w:t>
            </w:r>
          </w:p>
        </w:tc>
        <w:tc>
          <w:tcPr>
            <w:tcW w:w="1531" w:type="dxa"/>
          </w:tcPr>
          <w:p w:rsidR="005603EC" w:rsidRDefault="00AB61AC">
            <w:pPr>
              <w:pStyle w:val="Compact"/>
              <w:spacing w:line="240" w:lineRule="auto"/>
              <w:jc w:val="center"/>
            </w:pPr>
            <w:r>
              <w:rPr>
                <w:sz w:val="22"/>
              </w:rPr>
              <w:t>11,6 (4,00)</w:t>
            </w:r>
          </w:p>
        </w:tc>
        <w:tc>
          <w:tcPr>
            <w:tcW w:w="1531" w:type="dxa"/>
          </w:tcPr>
          <w:p w:rsidR="005603EC" w:rsidRDefault="00AB61AC">
            <w:pPr>
              <w:pStyle w:val="Compact"/>
              <w:spacing w:line="240" w:lineRule="auto"/>
              <w:jc w:val="center"/>
            </w:pPr>
            <w:r>
              <w:rPr>
                <w:sz w:val="22"/>
              </w:rPr>
              <w:t>10,6 (4,00)</w:t>
            </w:r>
          </w:p>
        </w:tc>
        <w:tc>
          <w:tcPr>
            <w:tcW w:w="1531" w:type="dxa"/>
          </w:tcPr>
          <w:p w:rsidR="005603EC" w:rsidRDefault="00AB61AC">
            <w:pPr>
              <w:pStyle w:val="Compact"/>
              <w:spacing w:line="240" w:lineRule="auto"/>
              <w:jc w:val="center"/>
            </w:pPr>
            <w:r>
              <w:rPr>
                <w:sz w:val="22"/>
              </w:rPr>
              <w:t>18,7 (4,00)</w:t>
            </w:r>
          </w:p>
        </w:tc>
        <w:tc>
          <w:tcPr>
            <w:tcW w:w="1531" w:type="dxa"/>
          </w:tcPr>
          <w:p w:rsidR="005603EC" w:rsidRDefault="00AB61AC">
            <w:pPr>
              <w:pStyle w:val="Compact"/>
              <w:spacing w:line="240" w:lineRule="auto"/>
              <w:jc w:val="center"/>
            </w:pPr>
            <w:r>
              <w:rPr>
                <w:sz w:val="22"/>
              </w:rPr>
              <w:t>20,2 (4,00)</w:t>
            </w:r>
          </w:p>
        </w:tc>
      </w:tr>
      <w:tr w:rsidR="005603EC" w:rsidTr="005603EC">
        <w:trPr>
          <w:cantSplit/>
        </w:trPr>
        <w:tc>
          <w:tcPr>
            <w:tcW w:w="3175" w:type="dxa"/>
          </w:tcPr>
          <w:p w:rsidR="005603EC" w:rsidRDefault="00AB61AC">
            <w:pPr>
              <w:pStyle w:val="Compact"/>
              <w:spacing w:line="240" w:lineRule="auto"/>
            </w:pPr>
            <w:r>
              <w:rPr>
                <w:sz w:val="22"/>
              </w:rPr>
              <w:t>A1. Muammoli / 3-bosqich kreditlar, %</w:t>
            </w:r>
          </w:p>
        </w:tc>
        <w:tc>
          <w:tcPr>
            <w:tcW w:w="1531" w:type="dxa"/>
          </w:tcPr>
          <w:p w:rsidR="005603EC" w:rsidRDefault="00AB61AC">
            <w:pPr>
              <w:pStyle w:val="Compact"/>
              <w:spacing w:line="240" w:lineRule="auto"/>
              <w:jc w:val="center"/>
            </w:pPr>
            <w:r>
              <w:rPr>
                <w:sz w:val="22"/>
              </w:rPr>
              <w:t>2,5 (4,00)</w:t>
            </w:r>
          </w:p>
        </w:tc>
        <w:tc>
          <w:tcPr>
            <w:tcW w:w="1531" w:type="dxa"/>
          </w:tcPr>
          <w:p w:rsidR="005603EC" w:rsidRDefault="00AB61AC">
            <w:pPr>
              <w:pStyle w:val="Compact"/>
              <w:spacing w:line="240" w:lineRule="auto"/>
              <w:jc w:val="center"/>
            </w:pPr>
            <w:r>
              <w:rPr>
                <w:sz w:val="22"/>
              </w:rPr>
              <w:t>7,5 (2,50)</w:t>
            </w:r>
          </w:p>
        </w:tc>
        <w:tc>
          <w:tcPr>
            <w:tcW w:w="1531" w:type="dxa"/>
          </w:tcPr>
          <w:p w:rsidR="005603EC" w:rsidRDefault="00AB61AC">
            <w:pPr>
              <w:pStyle w:val="Compact"/>
              <w:spacing w:line="240" w:lineRule="auto"/>
              <w:jc w:val="center"/>
            </w:pPr>
            <w:r>
              <w:rPr>
                <w:sz w:val="22"/>
              </w:rPr>
              <w:t>4,4 (3,30)</w:t>
            </w:r>
          </w:p>
        </w:tc>
        <w:tc>
          <w:tcPr>
            <w:tcW w:w="1531" w:type="dxa"/>
          </w:tcPr>
          <w:p w:rsidR="005603EC" w:rsidRDefault="00AB61AC">
            <w:pPr>
              <w:pStyle w:val="Compact"/>
              <w:spacing w:line="240" w:lineRule="auto"/>
              <w:jc w:val="center"/>
            </w:pPr>
            <w:r>
              <w:rPr>
                <w:sz w:val="22"/>
              </w:rPr>
              <w:t>12,3 (1,53)</w:t>
            </w:r>
          </w:p>
        </w:tc>
      </w:tr>
      <w:tr w:rsidR="005603EC" w:rsidTr="005603EC">
        <w:trPr>
          <w:cantSplit/>
        </w:trPr>
        <w:tc>
          <w:tcPr>
            <w:tcW w:w="3175" w:type="dxa"/>
          </w:tcPr>
          <w:p w:rsidR="005603EC" w:rsidRDefault="00AB61AC">
            <w:pPr>
              <w:pStyle w:val="Compact"/>
              <w:spacing w:line="240" w:lineRule="auto"/>
            </w:pPr>
            <w:r>
              <w:rPr>
                <w:sz w:val="22"/>
              </w:rPr>
              <w:t>A2. Substandart / 2-bosqich kreditlar, %</w:t>
            </w:r>
          </w:p>
        </w:tc>
        <w:tc>
          <w:tcPr>
            <w:tcW w:w="1531" w:type="dxa"/>
          </w:tcPr>
          <w:p w:rsidR="005603EC" w:rsidRDefault="00AB61AC">
            <w:pPr>
              <w:pStyle w:val="Compact"/>
              <w:spacing w:line="240" w:lineRule="auto"/>
              <w:jc w:val="center"/>
            </w:pPr>
            <w:r>
              <w:rPr>
                <w:sz w:val="22"/>
              </w:rPr>
              <w:t>18,4 (2,66)</w:t>
            </w:r>
          </w:p>
        </w:tc>
        <w:tc>
          <w:tcPr>
            <w:tcW w:w="1531" w:type="dxa"/>
          </w:tcPr>
          <w:p w:rsidR="005603EC" w:rsidRDefault="00AB61AC">
            <w:pPr>
              <w:pStyle w:val="Compact"/>
              <w:spacing w:line="240" w:lineRule="auto"/>
              <w:jc w:val="center"/>
            </w:pPr>
            <w:r>
              <w:rPr>
                <w:sz w:val="22"/>
              </w:rPr>
              <w:t>35,7 (1,00)</w:t>
            </w:r>
          </w:p>
        </w:tc>
        <w:tc>
          <w:tcPr>
            <w:tcW w:w="1531" w:type="dxa"/>
          </w:tcPr>
          <w:p w:rsidR="005603EC" w:rsidRDefault="00AB61AC">
            <w:pPr>
              <w:pStyle w:val="Compact"/>
              <w:spacing w:line="240" w:lineRule="auto"/>
              <w:jc w:val="center"/>
            </w:pPr>
            <w:r>
              <w:rPr>
                <w:sz w:val="22"/>
              </w:rPr>
              <w:t>9,0 (4,00)</w:t>
            </w:r>
          </w:p>
        </w:tc>
        <w:tc>
          <w:tcPr>
            <w:tcW w:w="1531" w:type="dxa"/>
          </w:tcPr>
          <w:p w:rsidR="005603EC" w:rsidRDefault="00AB61AC">
            <w:pPr>
              <w:pStyle w:val="Compact"/>
              <w:spacing w:line="240" w:lineRule="auto"/>
              <w:jc w:val="center"/>
            </w:pPr>
            <w:r>
              <w:rPr>
                <w:sz w:val="22"/>
              </w:rPr>
              <w:t>25,3 (1,97)</w:t>
            </w:r>
          </w:p>
        </w:tc>
      </w:tr>
      <w:tr w:rsidR="005603EC" w:rsidTr="005603EC">
        <w:trPr>
          <w:cantSplit/>
        </w:trPr>
        <w:tc>
          <w:tcPr>
            <w:tcW w:w="3175" w:type="dxa"/>
          </w:tcPr>
          <w:p w:rsidR="005603EC" w:rsidRDefault="00AB61AC">
            <w:pPr>
              <w:pStyle w:val="Compact"/>
              <w:spacing w:line="240" w:lineRule="auto"/>
            </w:pPr>
            <w:r>
              <w:rPr>
                <w:sz w:val="22"/>
              </w:rPr>
              <w:t>A3. Qoplanmagan muammoli kreditlar / kapital, %</w:t>
            </w:r>
          </w:p>
        </w:tc>
        <w:tc>
          <w:tcPr>
            <w:tcW w:w="1531" w:type="dxa"/>
          </w:tcPr>
          <w:p w:rsidR="005603EC" w:rsidRDefault="00AB61AC">
            <w:pPr>
              <w:pStyle w:val="Compact"/>
              <w:spacing w:line="240" w:lineRule="auto"/>
              <w:jc w:val="center"/>
            </w:pPr>
            <w:r>
              <w:rPr>
                <w:sz w:val="22"/>
              </w:rPr>
              <w:t>−8,1 (4,00)</w:t>
            </w:r>
          </w:p>
        </w:tc>
        <w:tc>
          <w:tcPr>
            <w:tcW w:w="1531" w:type="dxa"/>
          </w:tcPr>
          <w:p w:rsidR="005603EC" w:rsidRDefault="00AB61AC">
            <w:pPr>
              <w:pStyle w:val="Compact"/>
              <w:spacing w:line="240" w:lineRule="auto"/>
              <w:jc w:val="center"/>
            </w:pPr>
            <w:r>
              <w:rPr>
                <w:sz w:val="22"/>
              </w:rPr>
              <w:t>6,5 (3,35)</w:t>
            </w:r>
          </w:p>
        </w:tc>
        <w:tc>
          <w:tcPr>
            <w:tcW w:w="1531" w:type="dxa"/>
          </w:tcPr>
          <w:p w:rsidR="005603EC" w:rsidRDefault="00AB61AC">
            <w:pPr>
              <w:pStyle w:val="Compact"/>
              <w:spacing w:line="240" w:lineRule="auto"/>
              <w:jc w:val="center"/>
            </w:pPr>
            <w:r>
              <w:rPr>
                <w:sz w:val="22"/>
              </w:rPr>
              <w:t>10,3 (2,97)</w:t>
            </w:r>
          </w:p>
        </w:tc>
        <w:tc>
          <w:tcPr>
            <w:tcW w:w="1531" w:type="dxa"/>
          </w:tcPr>
          <w:p w:rsidR="005603EC" w:rsidRDefault="00AB61AC">
            <w:pPr>
              <w:pStyle w:val="Compact"/>
              <w:spacing w:line="240" w:lineRule="auto"/>
              <w:jc w:val="center"/>
            </w:pPr>
            <w:r>
              <w:rPr>
                <w:sz w:val="22"/>
              </w:rPr>
              <w:t>29,1 (1,09)</w:t>
            </w:r>
          </w:p>
        </w:tc>
      </w:tr>
      <w:tr w:rsidR="005603EC" w:rsidTr="005603EC">
        <w:trPr>
          <w:cantSplit/>
        </w:trPr>
        <w:tc>
          <w:tcPr>
            <w:tcW w:w="3175" w:type="dxa"/>
          </w:tcPr>
          <w:p w:rsidR="005603EC" w:rsidRDefault="00AB61AC">
            <w:pPr>
              <w:pStyle w:val="Compact"/>
              <w:spacing w:line="240" w:lineRule="auto"/>
            </w:pPr>
            <w:r>
              <w:rPr>
                <w:sz w:val="22"/>
              </w:rPr>
              <w:t>L1. Yuqori likvid aktivlar / aktivlar, %</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18,3 (3,66)</w:t>
            </w:r>
          </w:p>
        </w:tc>
        <w:tc>
          <w:tcPr>
            <w:tcW w:w="1531" w:type="dxa"/>
          </w:tcPr>
          <w:p w:rsidR="005603EC" w:rsidRDefault="00AB61AC">
            <w:pPr>
              <w:pStyle w:val="Compact"/>
              <w:spacing w:line="240" w:lineRule="auto"/>
              <w:jc w:val="center"/>
            </w:pPr>
            <w:r>
              <w:rPr>
                <w:sz w:val="22"/>
              </w:rPr>
              <w:t>15,5 (3,09)</w:t>
            </w:r>
          </w:p>
        </w:tc>
        <w:tc>
          <w:tcPr>
            <w:tcW w:w="1531" w:type="dxa"/>
          </w:tcPr>
          <w:p w:rsidR="005603EC" w:rsidRDefault="00AB61AC">
            <w:pPr>
              <w:pStyle w:val="Compact"/>
              <w:spacing w:line="240" w:lineRule="auto"/>
              <w:jc w:val="center"/>
            </w:pPr>
            <w:r>
              <w:rPr>
                <w:sz w:val="22"/>
              </w:rPr>
              <w:t>15,5 (3,09)</w:t>
            </w:r>
          </w:p>
        </w:tc>
      </w:tr>
      <w:tr w:rsidR="005603EC" w:rsidTr="005603EC">
        <w:trPr>
          <w:cantSplit/>
        </w:trPr>
        <w:tc>
          <w:tcPr>
            <w:tcW w:w="3175" w:type="dxa"/>
          </w:tcPr>
          <w:p w:rsidR="005603EC" w:rsidRDefault="00AB61AC">
            <w:pPr>
              <w:pStyle w:val="Compact"/>
              <w:spacing w:line="240" w:lineRule="auto"/>
            </w:pPr>
            <w:r>
              <w:rPr>
                <w:sz w:val="22"/>
              </w:rPr>
              <w:t>L2. Kreditlar / depozitlar, %</w:t>
            </w:r>
          </w:p>
        </w:tc>
        <w:tc>
          <w:tcPr>
            <w:tcW w:w="1531" w:type="dxa"/>
          </w:tcPr>
          <w:p w:rsidR="005603EC" w:rsidRDefault="00AB61AC">
            <w:pPr>
              <w:pStyle w:val="Compact"/>
              <w:spacing w:line="240" w:lineRule="auto"/>
              <w:jc w:val="center"/>
            </w:pPr>
            <w:r>
              <w:rPr>
                <w:sz w:val="22"/>
              </w:rPr>
              <w:t>206,5 (1,00)</w:t>
            </w:r>
          </w:p>
        </w:tc>
        <w:tc>
          <w:tcPr>
            <w:tcW w:w="1531" w:type="dxa"/>
          </w:tcPr>
          <w:p w:rsidR="005603EC" w:rsidRDefault="00AB61AC">
            <w:pPr>
              <w:pStyle w:val="Compact"/>
              <w:spacing w:line="240" w:lineRule="auto"/>
              <w:jc w:val="center"/>
            </w:pPr>
            <w:r>
              <w:rPr>
                <w:sz w:val="22"/>
              </w:rPr>
              <w:t>221,0 (1,00)</w:t>
            </w:r>
          </w:p>
        </w:tc>
        <w:tc>
          <w:tcPr>
            <w:tcW w:w="1531" w:type="dxa"/>
          </w:tcPr>
          <w:p w:rsidR="005603EC" w:rsidRDefault="00AB61AC">
            <w:pPr>
              <w:pStyle w:val="Compact"/>
              <w:spacing w:line="240" w:lineRule="auto"/>
              <w:jc w:val="center"/>
            </w:pPr>
            <w:r>
              <w:rPr>
                <w:sz w:val="22"/>
              </w:rPr>
              <w:t>208,5 (1,00)</w:t>
            </w:r>
          </w:p>
        </w:tc>
        <w:tc>
          <w:tcPr>
            <w:tcW w:w="1531" w:type="dxa"/>
          </w:tcPr>
          <w:p w:rsidR="005603EC" w:rsidRDefault="00AB61AC">
            <w:pPr>
              <w:pStyle w:val="Compact"/>
              <w:spacing w:line="240" w:lineRule="auto"/>
              <w:jc w:val="center"/>
            </w:pPr>
            <w:r>
              <w:rPr>
                <w:sz w:val="22"/>
              </w:rPr>
              <w:t>324,5 (1,00)</w:t>
            </w:r>
          </w:p>
        </w:tc>
      </w:tr>
      <w:tr w:rsidR="005603EC" w:rsidTr="005603EC">
        <w:trPr>
          <w:cantSplit/>
        </w:trPr>
        <w:tc>
          <w:tcPr>
            <w:tcW w:w="3175" w:type="dxa"/>
          </w:tcPr>
          <w:p w:rsidR="005603EC" w:rsidRDefault="00AB61AC">
            <w:pPr>
              <w:pStyle w:val="Compact"/>
              <w:spacing w:line="240" w:lineRule="auto"/>
            </w:pPr>
            <w:r>
              <w:rPr>
                <w:sz w:val="22"/>
              </w:rPr>
              <w:t>D1. ROA, %</w:t>
            </w:r>
          </w:p>
        </w:tc>
        <w:tc>
          <w:tcPr>
            <w:tcW w:w="1531" w:type="dxa"/>
          </w:tcPr>
          <w:p w:rsidR="005603EC" w:rsidRDefault="00AB61AC">
            <w:pPr>
              <w:pStyle w:val="Compact"/>
              <w:spacing w:line="240" w:lineRule="auto"/>
              <w:jc w:val="center"/>
            </w:pPr>
            <w:r>
              <w:rPr>
                <w:sz w:val="22"/>
              </w:rPr>
              <w:t>2,0 (3,96)</w:t>
            </w:r>
          </w:p>
        </w:tc>
        <w:tc>
          <w:tcPr>
            <w:tcW w:w="1531" w:type="dxa"/>
          </w:tcPr>
          <w:p w:rsidR="005603EC" w:rsidRDefault="00AB61AC">
            <w:pPr>
              <w:pStyle w:val="Compact"/>
              <w:spacing w:line="240" w:lineRule="auto"/>
              <w:jc w:val="center"/>
            </w:pPr>
            <w:r>
              <w:rPr>
                <w:sz w:val="22"/>
              </w:rPr>
              <w:t>1,7 (3,49)</w:t>
            </w:r>
          </w:p>
        </w:tc>
        <w:tc>
          <w:tcPr>
            <w:tcW w:w="1531" w:type="dxa"/>
          </w:tcPr>
          <w:p w:rsidR="005603EC" w:rsidRDefault="00AB61AC">
            <w:pPr>
              <w:pStyle w:val="Compact"/>
              <w:spacing w:line="240" w:lineRule="auto"/>
              <w:jc w:val="center"/>
            </w:pPr>
            <w:r>
              <w:rPr>
                <w:sz w:val="22"/>
              </w:rPr>
              <w:t>0,6 (1,85)</w:t>
            </w:r>
          </w:p>
        </w:tc>
        <w:tc>
          <w:tcPr>
            <w:tcW w:w="1531" w:type="dxa"/>
          </w:tcPr>
          <w:p w:rsidR="005603EC" w:rsidRDefault="00AB61AC">
            <w:pPr>
              <w:pStyle w:val="Compact"/>
              <w:spacing w:line="240" w:lineRule="auto"/>
              <w:jc w:val="center"/>
            </w:pPr>
            <w:r>
              <w:rPr>
                <w:sz w:val="22"/>
              </w:rPr>
              <w:t>0,2 (1,22)</w:t>
            </w:r>
          </w:p>
        </w:tc>
      </w:tr>
      <w:tr w:rsidR="005603EC" w:rsidTr="005603EC">
        <w:trPr>
          <w:cantSplit/>
        </w:trPr>
        <w:tc>
          <w:tcPr>
            <w:tcW w:w="3175" w:type="dxa"/>
          </w:tcPr>
          <w:p w:rsidR="005603EC" w:rsidRDefault="00AB61AC">
            <w:pPr>
              <w:pStyle w:val="Compact"/>
              <w:spacing w:line="240" w:lineRule="auto"/>
            </w:pPr>
            <w:r>
              <w:rPr>
                <w:sz w:val="22"/>
              </w:rPr>
              <w:t>D2. ROE, %</w:t>
            </w:r>
          </w:p>
        </w:tc>
        <w:tc>
          <w:tcPr>
            <w:tcW w:w="1531" w:type="dxa"/>
          </w:tcPr>
          <w:p w:rsidR="005603EC" w:rsidRDefault="00AB61AC">
            <w:pPr>
              <w:pStyle w:val="Compact"/>
              <w:spacing w:line="240" w:lineRule="auto"/>
              <w:jc w:val="center"/>
            </w:pPr>
            <w:r>
              <w:rPr>
                <w:sz w:val="22"/>
              </w:rPr>
              <w:t>17,2 (4,00)</w:t>
            </w:r>
          </w:p>
        </w:tc>
        <w:tc>
          <w:tcPr>
            <w:tcW w:w="1531" w:type="dxa"/>
          </w:tcPr>
          <w:p w:rsidR="005603EC" w:rsidRDefault="00AB61AC">
            <w:pPr>
              <w:pStyle w:val="Compact"/>
              <w:spacing w:line="240" w:lineRule="auto"/>
              <w:jc w:val="center"/>
            </w:pPr>
            <w:r>
              <w:rPr>
                <w:sz w:val="22"/>
              </w:rPr>
              <w:t>15,7 (4,00)</w:t>
            </w:r>
          </w:p>
        </w:tc>
        <w:tc>
          <w:tcPr>
            <w:tcW w:w="1531" w:type="dxa"/>
          </w:tcPr>
          <w:p w:rsidR="005603EC" w:rsidRDefault="00AB61AC">
            <w:pPr>
              <w:pStyle w:val="Compact"/>
              <w:spacing w:line="240" w:lineRule="auto"/>
              <w:jc w:val="center"/>
            </w:pPr>
            <w:r>
              <w:rPr>
                <w:sz w:val="22"/>
              </w:rPr>
              <w:t>3,5 (1,69)</w:t>
            </w:r>
          </w:p>
        </w:tc>
        <w:tc>
          <w:tcPr>
            <w:tcW w:w="1531" w:type="dxa"/>
          </w:tcPr>
          <w:p w:rsidR="005603EC" w:rsidRDefault="00AB61AC">
            <w:pPr>
              <w:pStyle w:val="Compact"/>
              <w:spacing w:line="240" w:lineRule="auto"/>
              <w:jc w:val="center"/>
            </w:pPr>
            <w:r>
              <w:rPr>
                <w:sz w:val="22"/>
              </w:rPr>
              <w:t>0,8 (1,16)</w:t>
            </w:r>
          </w:p>
        </w:tc>
      </w:tr>
      <w:tr w:rsidR="005603EC" w:rsidTr="005603EC">
        <w:trPr>
          <w:cantSplit/>
        </w:trPr>
        <w:tc>
          <w:tcPr>
            <w:tcW w:w="3175" w:type="dxa"/>
          </w:tcPr>
          <w:p w:rsidR="005603EC" w:rsidRDefault="00AB61AC">
            <w:pPr>
              <w:pStyle w:val="Compact"/>
              <w:spacing w:line="240" w:lineRule="auto"/>
            </w:pPr>
            <w:r>
              <w:rPr>
                <w:sz w:val="22"/>
              </w:rPr>
              <w:t>D3. Xarajatlar / daromadlar, %</w:t>
            </w:r>
          </w:p>
        </w:tc>
        <w:tc>
          <w:tcPr>
            <w:tcW w:w="1531" w:type="dxa"/>
          </w:tcPr>
          <w:p w:rsidR="005603EC" w:rsidRDefault="00AB61AC">
            <w:pPr>
              <w:pStyle w:val="Compact"/>
              <w:spacing w:line="240" w:lineRule="auto"/>
              <w:jc w:val="center"/>
            </w:pPr>
            <w:r>
              <w:rPr>
                <w:sz w:val="22"/>
              </w:rPr>
              <w:t>36,5 (4,00)</w:t>
            </w:r>
          </w:p>
        </w:tc>
        <w:tc>
          <w:tcPr>
            <w:tcW w:w="1531" w:type="dxa"/>
          </w:tcPr>
          <w:p w:rsidR="005603EC" w:rsidRDefault="00AB61AC">
            <w:pPr>
              <w:pStyle w:val="Compact"/>
              <w:spacing w:line="240" w:lineRule="auto"/>
              <w:jc w:val="center"/>
            </w:pPr>
            <w:r>
              <w:rPr>
                <w:sz w:val="22"/>
              </w:rPr>
              <w:t>41,5 (4,00)</w:t>
            </w:r>
          </w:p>
        </w:tc>
        <w:tc>
          <w:tcPr>
            <w:tcW w:w="1531" w:type="dxa"/>
          </w:tcPr>
          <w:p w:rsidR="005603EC" w:rsidRDefault="00AB61AC">
            <w:pPr>
              <w:pStyle w:val="Compact"/>
              <w:spacing w:line="240" w:lineRule="auto"/>
              <w:jc w:val="center"/>
            </w:pPr>
            <w:r>
              <w:rPr>
                <w:sz w:val="22"/>
              </w:rPr>
              <w:t>65,5 (2,72)</w:t>
            </w:r>
          </w:p>
        </w:tc>
        <w:tc>
          <w:tcPr>
            <w:tcW w:w="1531" w:type="dxa"/>
          </w:tcPr>
          <w:p w:rsidR="005603EC" w:rsidRDefault="00AB61AC">
            <w:pPr>
              <w:pStyle w:val="Compact"/>
              <w:spacing w:line="240" w:lineRule="auto"/>
              <w:jc w:val="center"/>
            </w:pPr>
            <w:r>
              <w:rPr>
                <w:sz w:val="22"/>
              </w:rPr>
              <w:t>87,6 (1,62)</w:t>
            </w:r>
          </w:p>
        </w:tc>
      </w:tr>
      <w:tr w:rsidR="005603EC" w:rsidTr="005603EC">
        <w:trPr>
          <w:cantSplit/>
        </w:trPr>
        <w:tc>
          <w:tcPr>
            <w:tcW w:w="3175" w:type="dxa"/>
          </w:tcPr>
          <w:p w:rsidR="005603EC" w:rsidRDefault="00AB61AC">
            <w:pPr>
              <w:pStyle w:val="Compact"/>
              <w:spacing w:line="240" w:lineRule="auto"/>
            </w:pPr>
            <w:r>
              <w:rPr>
                <w:sz w:val="22"/>
              </w:rPr>
              <w:t>V1. Xorijiy valyutadagi kreditlar, %</w:t>
            </w:r>
          </w:p>
        </w:tc>
        <w:tc>
          <w:tcPr>
            <w:tcW w:w="1531" w:type="dxa"/>
          </w:tcPr>
          <w:p w:rsidR="005603EC" w:rsidRDefault="00AB61AC">
            <w:pPr>
              <w:pStyle w:val="Compact"/>
              <w:spacing w:line="240" w:lineRule="auto"/>
              <w:jc w:val="center"/>
            </w:pPr>
            <w:r>
              <w:rPr>
                <w:sz w:val="22"/>
              </w:rPr>
              <w:t>60,1 (1,33)</w:t>
            </w:r>
          </w:p>
        </w:tc>
        <w:tc>
          <w:tcPr>
            <w:tcW w:w="1531" w:type="dxa"/>
          </w:tcPr>
          <w:p w:rsidR="005603EC" w:rsidRDefault="00AB61AC">
            <w:pPr>
              <w:pStyle w:val="Compact"/>
              <w:spacing w:line="240" w:lineRule="auto"/>
              <w:jc w:val="center"/>
            </w:pPr>
            <w:r>
              <w:rPr>
                <w:sz w:val="22"/>
              </w:rPr>
              <w:t>61,2 (1,25)</w:t>
            </w:r>
          </w:p>
        </w:tc>
        <w:tc>
          <w:tcPr>
            <w:tcW w:w="1531" w:type="dxa"/>
          </w:tcPr>
          <w:p w:rsidR="005603EC" w:rsidRDefault="00AB61AC">
            <w:pPr>
              <w:pStyle w:val="Compact"/>
              <w:spacing w:line="240" w:lineRule="auto"/>
              <w:jc w:val="center"/>
            </w:pPr>
            <w:r>
              <w:rPr>
                <w:sz w:val="22"/>
              </w:rPr>
              <w:t>18,4 (4,00)</w:t>
            </w:r>
          </w:p>
        </w:tc>
        <w:tc>
          <w:tcPr>
            <w:tcW w:w="1531" w:type="dxa"/>
          </w:tcPr>
          <w:p w:rsidR="005603EC" w:rsidRDefault="00AB61AC">
            <w:pPr>
              <w:pStyle w:val="Compact"/>
              <w:spacing w:line="240" w:lineRule="auto"/>
              <w:jc w:val="center"/>
            </w:pPr>
            <w:r>
              <w:rPr>
                <w:sz w:val="22"/>
              </w:rPr>
              <w:t>–</w:t>
            </w:r>
          </w:p>
        </w:tc>
      </w:tr>
      <w:tr w:rsidR="005603EC" w:rsidTr="005603EC">
        <w:trPr>
          <w:cantSplit/>
        </w:trPr>
        <w:tc>
          <w:tcPr>
            <w:tcW w:w="3175" w:type="dxa"/>
          </w:tcPr>
          <w:p w:rsidR="005603EC" w:rsidRDefault="00AB61AC">
            <w:pPr>
              <w:pStyle w:val="Compact"/>
              <w:spacing w:line="240" w:lineRule="auto"/>
            </w:pPr>
            <w:r>
              <w:rPr>
                <w:sz w:val="22"/>
              </w:rPr>
              <w:t>V2. Xorijiy valyutadagi majburiyatlar, %</w:t>
            </w:r>
          </w:p>
        </w:tc>
        <w:tc>
          <w:tcPr>
            <w:tcW w:w="1531" w:type="dxa"/>
          </w:tcPr>
          <w:p w:rsidR="005603EC" w:rsidRDefault="00AB61AC">
            <w:pPr>
              <w:pStyle w:val="Compact"/>
              <w:spacing w:line="240" w:lineRule="auto"/>
              <w:jc w:val="center"/>
            </w:pPr>
            <w:r>
              <w:rPr>
                <w:sz w:val="22"/>
              </w:rPr>
              <w:t>60,9 (1,61)</w:t>
            </w:r>
          </w:p>
        </w:tc>
        <w:tc>
          <w:tcPr>
            <w:tcW w:w="1531" w:type="dxa"/>
          </w:tcPr>
          <w:p w:rsidR="005603EC" w:rsidRDefault="00AB61AC">
            <w:pPr>
              <w:pStyle w:val="Compact"/>
              <w:spacing w:line="240" w:lineRule="auto"/>
              <w:jc w:val="center"/>
            </w:pPr>
            <w:r>
              <w:rPr>
                <w:sz w:val="22"/>
              </w:rPr>
              <w:t>60,4 (1,64)</w:t>
            </w:r>
          </w:p>
        </w:tc>
        <w:tc>
          <w:tcPr>
            <w:tcW w:w="1531" w:type="dxa"/>
          </w:tcPr>
          <w:p w:rsidR="005603EC" w:rsidRDefault="00AB61AC">
            <w:pPr>
              <w:pStyle w:val="Compact"/>
              <w:spacing w:line="240" w:lineRule="auto"/>
              <w:jc w:val="center"/>
            </w:pPr>
            <w:r>
              <w:rPr>
                <w:sz w:val="22"/>
              </w:rPr>
              <w:t>31,4 (3,57)</w:t>
            </w:r>
          </w:p>
        </w:tc>
        <w:tc>
          <w:tcPr>
            <w:tcW w:w="1531" w:type="dxa"/>
          </w:tcPr>
          <w:p w:rsidR="005603EC" w:rsidRDefault="00AB61AC">
            <w:pPr>
              <w:pStyle w:val="Compact"/>
              <w:spacing w:line="240" w:lineRule="auto"/>
              <w:jc w:val="center"/>
            </w:pPr>
            <w:r>
              <w:rPr>
                <w:sz w:val="22"/>
              </w:rPr>
              <w:t>22,4 (4,00)</w:t>
            </w:r>
          </w:p>
        </w:tc>
      </w:tr>
      <w:tr w:rsidR="005603EC" w:rsidTr="005603EC">
        <w:trPr>
          <w:cantSplit/>
        </w:trPr>
        <w:tc>
          <w:tcPr>
            <w:tcW w:w="3175" w:type="dxa"/>
          </w:tcPr>
          <w:p w:rsidR="005603EC" w:rsidRDefault="00AB61AC">
            <w:pPr>
              <w:pStyle w:val="Compact"/>
              <w:spacing w:line="240" w:lineRule="auto"/>
            </w:pPr>
            <w:r>
              <w:rPr>
                <w:b/>
                <w:bCs/>
                <w:sz w:val="22"/>
              </w:rPr>
              <w:t>MBII</w:t>
            </w:r>
          </w:p>
        </w:tc>
        <w:tc>
          <w:tcPr>
            <w:tcW w:w="1531" w:type="dxa"/>
          </w:tcPr>
          <w:p w:rsidR="005603EC" w:rsidRDefault="00AB61AC">
            <w:pPr>
              <w:pStyle w:val="Compact"/>
              <w:spacing w:line="240" w:lineRule="auto"/>
              <w:jc w:val="center"/>
            </w:pPr>
            <w:r>
              <w:rPr>
                <w:b/>
                <w:bCs/>
                <w:sz w:val="22"/>
              </w:rPr>
              <w:t>3,27</w:t>
            </w:r>
          </w:p>
        </w:tc>
        <w:tc>
          <w:tcPr>
            <w:tcW w:w="1531" w:type="dxa"/>
          </w:tcPr>
          <w:p w:rsidR="005603EC" w:rsidRDefault="00AB61AC">
            <w:pPr>
              <w:pStyle w:val="Compact"/>
              <w:spacing w:line="240" w:lineRule="auto"/>
              <w:jc w:val="center"/>
            </w:pPr>
            <w:r>
              <w:rPr>
                <w:b/>
                <w:bCs/>
                <w:sz w:val="22"/>
              </w:rPr>
              <w:t>2,81</w:t>
            </w:r>
          </w:p>
        </w:tc>
        <w:tc>
          <w:tcPr>
            <w:tcW w:w="1531" w:type="dxa"/>
          </w:tcPr>
          <w:p w:rsidR="005603EC" w:rsidRDefault="00AB61AC">
            <w:pPr>
              <w:pStyle w:val="Compact"/>
              <w:spacing w:line="240" w:lineRule="auto"/>
              <w:jc w:val="center"/>
            </w:pPr>
            <w:r>
              <w:rPr>
                <w:b/>
                <w:bCs/>
                <w:sz w:val="22"/>
              </w:rPr>
              <w:t>3,13</w:t>
            </w:r>
          </w:p>
        </w:tc>
        <w:tc>
          <w:tcPr>
            <w:tcW w:w="1531" w:type="dxa"/>
          </w:tcPr>
          <w:p w:rsidR="005603EC" w:rsidRDefault="00AB61AC">
            <w:pPr>
              <w:pStyle w:val="Compact"/>
              <w:spacing w:line="240" w:lineRule="auto"/>
              <w:jc w:val="center"/>
            </w:pPr>
            <w:r>
              <w:rPr>
                <w:b/>
                <w:bCs/>
                <w:sz w:val="22"/>
              </w:rPr>
              <w:t>2,47</w:t>
            </w:r>
          </w:p>
        </w:tc>
      </w:tr>
      <w:tr w:rsidR="005603EC" w:rsidTr="005603EC">
        <w:trPr>
          <w:cantSplit/>
        </w:trPr>
        <w:tc>
          <w:tcPr>
            <w:tcW w:w="3175" w:type="dxa"/>
          </w:tcPr>
          <w:p w:rsidR="005603EC" w:rsidRDefault="00AB61AC">
            <w:pPr>
              <w:pStyle w:val="Compact"/>
              <w:spacing w:line="240" w:lineRule="auto"/>
            </w:pPr>
            <w:r>
              <w:rPr>
                <w:b/>
                <w:bCs/>
                <w:sz w:val="22"/>
              </w:rPr>
              <w:t>Sinf</w:t>
            </w:r>
          </w:p>
        </w:tc>
        <w:tc>
          <w:tcPr>
            <w:tcW w:w="1531" w:type="dxa"/>
          </w:tcPr>
          <w:p w:rsidR="005603EC" w:rsidRDefault="00AB61AC">
            <w:pPr>
              <w:pStyle w:val="Compact"/>
              <w:spacing w:line="240" w:lineRule="auto"/>
              <w:jc w:val="center"/>
            </w:pPr>
            <w:r>
              <w:rPr>
                <w:b/>
                <w:bCs/>
                <w:sz w:val="22"/>
              </w:rPr>
              <w:t>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w:t>
            </w:r>
          </w:p>
        </w:tc>
        <w:tc>
          <w:tcPr>
            <w:tcW w:w="1531" w:type="dxa"/>
          </w:tcPr>
          <w:p w:rsidR="005603EC" w:rsidRDefault="00AB61AC">
            <w:pPr>
              <w:pStyle w:val="Compact"/>
              <w:spacing w:line="240" w:lineRule="auto"/>
              <w:jc w:val="center"/>
            </w:pPr>
            <w:r>
              <w:rPr>
                <w:b/>
                <w:bCs/>
                <w:sz w:val="22"/>
              </w:rPr>
              <w:t>III</w:t>
            </w:r>
          </w:p>
        </w:tc>
      </w:tr>
    </w:tbl>
    <w:p w:rsidR="005603EC" w:rsidRDefault="00AB61AC">
      <w:pPr>
        <w:pStyle w:val="af"/>
        <w:spacing w:after="0" w:line="360" w:lineRule="auto"/>
        <w:ind w:firstLine="709"/>
        <w:jc w:val="both"/>
      </w:pPr>
      <w:r>
        <w:rPr>
          <w:i/>
          <w:iCs/>
        </w:rPr>
        <w:t xml:space="preserve">Izoh: qavs ichida – ball. </w:t>
      </w:r>
      <w:r>
        <w:rPr>
          <w:i/>
          <w:iCs/>
        </w:rPr>
        <w:t>MHXS variantida CET1 va regulyativ kapital monandligi 2.3-paragrafda Markaziy bank metodikasi bo‘yicha MHXS ma’lumotlari asosida qayta hisoblangan qiymatlarda olindi (2.3.4-jadval va “Mikrokreditbank” ATB bo‘yicha jadval), chunki banklar MHXS hisobotida oshkor qiladigan kapital koeffitsiyentlari milliy buxgalteriya hisobi ma’lumotlari asosida hisoblanadi</w:t>
      </w:r>
      <w:r>
        <w:rPr>
          <w:i/>
          <w:iCs/>
        </w:rPr>
        <w:t>; yuqori likvid aktivlar ulushi ikki variantda bir xil (milliy balans); “Mikrokreditbank” ATB ning MHXS hisobotida xorijiy valyutadagi kreditlar ulushi oshkor qilinmagan, shu sababli valyuta bloki bitta ko‘rsatkich bo‘yicha baholandi.</w:t>
      </w:r>
      <w:r>
        <w:rPr>
          <w:i/>
          <w:iCs/>
        </w:rPr>
        <w:t xml:space="preserve"> Yuqori likvid aktivlar MHXS hisobotlarida alohida oshkor qilinmagani sababli L1 ko‘rsatkichi ikkala variantda milliy balans asosida olindi, shu sababli likvidlik </w:t>
      </w:r>
      <w:r>
        <w:rPr>
          <w:i/>
          <w:iCs/>
        </w:rPr>
        <w:lastRenderedPageBreak/>
        <w:t>blokidagi ΔMBII faqat L2 ko‘rsatkichi hisobiga shakllanadi va hisobot standartining likvidlikka ta’siri to‘liq aks etmaydi.</w:t>
      </w:r>
    </w:p>
    <w:p w:rsidR="005603EC" w:rsidRDefault="00AB61AC">
      <w:pPr>
        <w:pStyle w:val="af"/>
        <w:spacing w:after="0" w:line="360" w:lineRule="auto"/>
        <w:ind w:firstLine="709"/>
        <w:jc w:val="both"/>
      </w:pPr>
      <w:r>
        <w:t xml:space="preserve">Jadval ma’lumotlari metodikaning asosiy afzalligini yaqqol ko‘rsatadi. Milliy hisobot ma’lumotlari bo‘yicha “O‘zsanoatqurilishbank” ATB ning indeksi 3,27 ni tashkil etib, I sinfga, ya’ni barqaror banklar qatoriga kiradi, “Mikrokreditbank” ATB niki esa 3,13 ga teng bo‘lib, II sinfning yuqori chegarasiga yaqin turadi. MHXS ma’lumotlari asosida esa ikkala bank ham bir sinf pastga tushadi: “O‘zsanoatqurilishbank” ATB ning </w:t>
      </w:r>
      <w:r>
        <w:rPr/>
        <w:t>indeksi 2,81 ni</w:t>
      </w:r>
      <w:r>
        <w:t xml:space="preserve">, ya’ni II sinfni, “Mikrokreditbank” ATB niki esa 2,47 ni, ya’ni III sinfni tashkil etadi. Boshqacha aytganda, ΔMBII “O‘zsanoatqurilishbank” ATB </w:t>
      </w:r>
      <w:r>
        <w:rPr/>
        <w:t>uchun −0,46 ni</w:t>
      </w:r>
      <w:r>
        <w:t>, “Mikrokreditbank” ATB uchun esa −0,66 ni tashkil etadi va bu farq ikkala bankda ham barqarorlik sinfini o‘zgartirish uchun yetarli. Indeksning pasayishiga qaysi bloklar sabab bo‘lganini aniqlash uchun bloklar ballari solishtirildi (3.1.3-rasm).</w:t>
      </w:r>
    </w:p>
    <w:p w:rsidR="005603EC" w:rsidRDefault="00AB61AC">
      <w:pPr>
        <w:pStyle w:val="af"/>
        <w:keepNext/>
        <w:spacing w:after="0" w:line="240" w:lineRule="auto"/>
        <w:jc w:val="center"/>
      </w:pPr>
      <w:r>
        <w:rPr>
          <w:noProof/>
          <w:lang w:val="ru-RU" w:eastAsia="ru-RU"/>
        </w:rPr>
        <w:drawing>
          <wp:inline distT="0" distB="0" distL="0" distR="0" wp14:anchorId="5D2D5344" wp14:editId="2EE03630">
            <wp:extent cx="5760000" cy="2880000"/>
            <wp:effectExtent l="0" t="0" r="0" b="0"/>
            <wp:docPr id="122468168" name="3.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p w:rsidR="005603EC" w:rsidRDefault="00AB61AC">
      <w:pPr>
        <w:pStyle w:val="af"/>
        <w:spacing w:before="120" w:after="240" w:line="240" w:lineRule="auto"/>
        <w:jc w:val="center"/>
      </w:pPr>
      <w:r>
        <w:rPr>
          <w:b/>
        </w:rPr>
        <w:t>3.1.3-rasm. “O‘zsanoatqurilishbank” ATB va “Mikrokreditbank” ATB da integral indeks bloklari ballari: milliy hisobot va MHXS, 2025-yil</w:t>
      </w:r>
      <w:r>
        <w:rPr>
          <w:rStyle w:val="aff8"/>
        </w:rPr>
        <w:footnoteReference w:id="411"/>
      </w:r>
    </w:p>
    <w:p w:rsidR="005603EC" w:rsidRDefault="00AB61AC">
      <w:pPr>
        <w:pStyle w:val="af"/>
        <w:spacing w:after="0" w:line="360" w:lineRule="auto"/>
        <w:ind w:firstLine="709"/>
        <w:jc w:val="both"/>
      </w:pPr>
      <w:r>
        <w:t xml:space="preserve">Rasmdan ko‘rinib turibdiki, ikkala bankda ham indeks pasayishining asosiy sababi aktivlar sifati blokidir: “O‘zsanoatqurilishbank” ATB da bu blok bali 3,55 dan 2,28 ga, “Mikrokreditbank” ATB da esa 3,42 dan 1,53 ga tushgan. Aktivlar sifati blokining vazni 0,30 bo‘lgani sababli bu o‘zgarish indeksni mos ravishda 0,38 va </w:t>
      </w:r>
      <w:r>
        <w:lastRenderedPageBreak/>
        <w:t xml:space="preserve">0,57 ballga pasaytiradi, ya’ni </w:t>
      </w:r>
      <w:r>
        <w:rPr/>
        <w:t>ΔMBII ning 83–86 foizi</w:t>
      </w:r>
      <w:r>
        <w:t xml:space="preserve">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rsidR="005603EC" w:rsidRDefault="00AB61AC">
      <w:pPr>
        <w:pStyle w:val="af"/>
        <w:spacing w:after="0" w:line="360" w:lineRule="auto"/>
        <w:ind w:firstLine="709"/>
        <w:jc w:val="both"/>
      </w:pPr>
      <w:r>
        <w:t>Shu bilan birga, bloklar ballari ikki bankning risk profili tubdan farq qilishini ham ko‘rsatadi. “O‘zsanoatqurilishbank” ATB kapital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rsidR="005603EC" w:rsidRDefault="00AB61AC">
      <w:pPr>
        <w:pStyle w:val="af"/>
        <w:spacing w:after="0" w:line="360" w:lineRule="auto"/>
        <w:ind w:firstLine="709"/>
        <w:jc w:val="both"/>
      </w:pPr>
      <w:r>
        <w:t>Metodika natijalarining ishonchliligini tekshirish uchun indeks uch xil vaznlar tizimi bo‘yicha qayta hisoblandi: taklif etilayotgan vaznlar, teng vaznlar va O‘zbekistonda CAMEL tizimi uchun keltirilgan nisbat (3.1.4-rasm).</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3.1.4-rasm.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t>Rasm ma’lumotlari muhim xulosaga olib keladi. MHXS asosidagi indeks bo‘yicha banklarning tartibi uchala vaznlar tizimida ham o‘zgarmaydi: “O‘zsanoatqurilishbank” ATB har doim “Mikrokreditbank” ATB dan yuqori, “Mikrokreditbank” ATB esa taklif etilgan va CAMEL vaznlarida III sinfda, teng vaznlarda II sinfning quyi chegarasida (2,58) bo‘ladi. Milliy hisobot asosidagi indeksda esa teng vaznlar qo‘llanganda banklar tartibi o‘zgaradi: “Mikrokreditbank” ATB ning indeksi 3,07 ni, “O‘zsanoatqurilishbank” ATB niki 3,06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Taklif etilayotgan metodikaning mavjud yondashuvlardan farqini aniqlash uchun u xalqaro va xorijiy amaliyotda keng qo‘llanadigan metodikalar bilan solishtirildi (3.1.6-jadval).</w:t>
      </w:r>
    </w:p>
    <w:p w:rsidR="005603EC" w:rsidRDefault="00AB61AC">
      <w:pPr>
        <w:pStyle w:val="af"/>
        <w:keepNext/>
        <w:spacing w:before="120" w:after="0" w:line="360" w:lineRule="auto"/>
        <w:jc w:val="right"/>
      </w:pPr>
      <w:r>
        <w:rPr>
          <w:i/>
        </w:rPr>
        <w:lastRenderedPageBreak/>
        <w:t>3.1.6-jadval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color w:val="FF0000"/>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Metodikani ikki bankka qo‘llash MHXS ma’lumotlari asosida ikkala bank ham milliy hisobotdagiga nisbatan bir sinf pastga tushishini, </w:t>
      </w:r>
      <w:r>
        <w:rPr/>
        <w:t>ΔMBII ning 83–86 foizi</w:t>
      </w:r>
      <w:r>
        <w:t xml:space="preserve"> esa aktivlar sifati blokiga to‘g‘ri kelishini ko‘rsatdi. Sezgirlik tahlili esa MHXS asosidagi indeks vaznlar tanloviga kamroq bog‘liq ekanini tasdiqladi. </w:t>
      </w:r>
      <w:r>
        <w:rPr>
          <w:color w:val="FF0000"/>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color w:val="FF0000"/>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xml:space="preserve">, unda kapital bloki barcha banklarda bir xil ball olgani va valyuta riski bo‘yicha ma’lumotlar mavjud bo‘lmagani sababli bu ikki blok uchun </w:t>
      </w:r>
      <w:r>
        <w:rPr>
          <w:color w:val="FF0000"/>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color w:val="FF0000"/>
        </w:rPr>
        <w:t xml:space="preserve">tayanch va empirik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color w:val="FF0000"/>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color w:val="FF0000"/>
          <w:sz w:val="24"/>
        </w:rPr>
        <w:t xml:space="preserve">tayanch vazn</w:t>
      </w:r>
      <w:r>
        <w:rPr>
          <w:sz w:val="24"/>
        </w:rPr>
        <w:t xml:space="preserve">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color w:val="FF0000"/>
        </w:rPr>
        <w:t xml:space="preserve">tayanch vazn</w:t>
      </w:r>
      <w:r>
        <w:rPr/>
        <w:t xml:space="preserve">iga yaqin yoki undan yuqori vazn bergan</w:t>
      </w:r>
      <w:r>
        <w:t xml:space="preserve">: entropiya, variatsiya koeffitsiyenti va bosh komponentlar usullarida u 0,27–0,32 ni tashkil etib, </w:t>
      </w:r>
      <w:r>
        <w:rPr>
          <w:color w:val="FF0000"/>
        </w:rPr>
        <w:t xml:space="preserve">tayanch vazn</w:t>
      </w:r>
      <w:r>
        <w:t xml:space="preserve">iga (0,30) deyarli teng, logit usulida esa 0,57 gacha oshgan. </w:t>
      </w:r>
      <w:r>
        <w:rPr/>
        <w:t xml:space="preserve">Demak, aktivlar sifati blokining </w:t>
      </w:r>
      <w:r>
        <w:rPr>
          <w:color w:val="FF0000"/>
        </w:rPr>
        <w:t xml:space="preserve">tayanch vazn</w:t>
      </w:r>
      <w:r>
        <w:rPr/>
        <w:t xml:space="preserve">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color w:val="FF0000"/>
        </w:rPr>
        <w:t xml:space="preserve">tayanch vazn</w:t>
      </w:r>
      <w:r>
        <w:t xml:space="preserve">idan ancha past (0,02–0,14), chunki tahlil qilingan banklarda kapital ko‘rsatkichlari me’yordan yuqori va bir-biriga yaqin bo‘lib, ular banklarni farqlamaydi. Eng katta farq likvidlik va daromadlilik bloklarida kuzatiladi: empirik usullar likvidlik blokiga </w:t>
      </w:r>
      <w:r>
        <w:rPr>
          <w:color w:val="FF0000"/>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 xml:space="preserve">3.2.1-rasm. Integral indeks bloklarining </w:t>
      </w:r>
      <w:r>
        <w:rPr>
          <w:b/>
          <w:color w:val="FF0000"/>
        </w:rPr>
        <w:t xml:space="preserve">tayanch va empirik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color w:val="FF0000"/>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 xml:space="preserve">Sinfi </w:t>
            </w:r>
            <w:r>
              <w:rPr>
                <w:color w:val="FF0000"/>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color w:val="FF0000"/>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color w:val="FF0000"/>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w:t>
      </w:r>
      <w:r>
        <w:rPr>
          <w:color w:val="FF0000"/>
        </w:rPr>
        <w:t xml:space="preserve">tayanch vaznlar</w:t>
      </w:r>
      <w:r>
        <w:t xml:space="preserve">dan biroz ustun (AUC 0,864–0,907), biroq farq katta emas, </w:t>
      </w:r>
      <w:r>
        <w:rPr>
          <w:color w:val="FF0000"/>
        </w:rPr>
        <w:t xml:space="preserve">tayanch vaznlar</w:t>
      </w:r>
      <w:r>
        <w:t xml:space="preserve">ning bashorat kuchi esa bosh komponentlar usuli bilan bir xil.</w:t>
      </w:r>
      <w:r>
        <w:rPr/>
        <w:t xml:space="preserve"> Faqat empirik usullar asosidagi o‘rtacha vaznlar bilan indeksning AUC qiymati 0,871 ni tashkil etib, </w:t>
      </w:r>
      <w:r>
        <w:rPr>
          <w:color w:val="FF0000"/>
        </w:rPr>
        <w:t xml:space="preserve">tayanch vaznlar</w:t>
      </w:r>
      <w:r>
        <w:rPr/>
        <w:t xml:space="preserve">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color w:val="FF0000"/>
        </w:rPr>
        <w:t xml:space="preserve">tayanch vaznlar</w:t>
      </w:r>
      <w:r>
        <w:t xml:space="preserve">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color w:val="FF0000"/>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color w:val="FF0000"/>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Bu uchta amaliy natijaga olib keladi. Birinchidan, nazorat organi qaysi banklarga kuchaytirilgan e’tibor qaratish kerakligini aniqlashda </w:t>
      </w:r>
      <w:r>
        <w:rPr>
          <w:color w:val="FF0000"/>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color w:val="FF0000"/>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color w:val="FF0000"/>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color w:val="FF0000"/>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 tashkil etadi. </w:t>
      </w:r>
      <w:r>
        <w:rPr/>
        <w:t>ΔMBII −0,46 va −0,66</w:t>
      </w:r>
      <w:r>
        <w:t xml:space="preserve"> ballga teng bo‘lib, </w:t>
      </w:r>
      <w:r>
        <w:rPr/>
        <w:t>uning 83–86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color w:val="FF0000"/>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color w:val="FF0000"/>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color w:val="FF0000"/>
        </w:rPr>
        <w:t xml:space="preserve">tayanch vazn</w:t>
      </w:r>
      <w:r>
        <w:t xml:space="preserve">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“Mikrokreditbank” ATB da −0,66 ballni tashkil etib, </w:t>
      </w:r>
      <w:r>
        <w:rPr/>
        <w:t>uning 83–86 foizi</w:t>
      </w:r>
      <w:r>
        <w:t xml:space="preserve"> aktivlar sifati blokiga to‘g‘ri keladi, ya’ni milliy hisobot banklar barqarorligini bir sinfga oshirib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color w:val="FF0000"/>
        </w:rPr>
        <w:t xml:space="preserve">tayanch vazn</w:t>
      </w:r>
      <w:r>
        <w:rPr/>
        <w:t xml:space="preserve">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color w:val="FF0000"/>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color w:val="FF0000"/>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color w:val="FF0000"/>
        </w:rPr>
        <w:t xml:space="preserve">P. 37–38; </w:t>
      </w:r>
      <w:r>
        <w:rPr>
          <w:color w:val="FF0000"/>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color w:val="FF0000"/>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48.</w:t>
      </w:r>
    </w:p>
  </w:footnote>
  <w:footnote w:id="411">
    <w:p w:rsidR="00AB61AC" w:rsidRDefault="00AB61AC">
      <w:pPr>
        <w:pStyle w:val="aff9"/>
      </w:pPr>
      <w:r>
        <w:rPr>
          <w:rStyle w:val="aff8"/>
        </w:rPr>
        <w:footnoteRef/>
      </w:r>
      <w:r>
        <w:t xml:space="preserve"> Tadqiqot natijasida muallif tomonidan 3.1.5-jadval ma’lumotlari asosida ishlab chiqildi.</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3.27</c:v>
                </c:pt>
                <c:pt idx="1">
                  <c:v>2.81</c:v>
                </c:pt>
                <c:pt idx="2">
                  <c:v>3.13</c:v>
                </c:pt>
                <c:pt idx="3">
                  <c:v>2.4700000000000002</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3.06</c:v>
                </c:pt>
                <c:pt idx="1">
                  <c:v>2.73</c:v>
                </c:pt>
                <c:pt idx="2">
                  <c:v>3.07</c:v>
                </c:pt>
                <c:pt idx="3">
                  <c:v>2.58</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3.57</c:v>
                </c:pt>
                <c:pt idx="1">
                  <c:v>3.02</c:v>
                </c:pt>
                <c:pt idx="2">
                  <c:v>3.02</c:v>
                </c:pt>
                <c:pt idx="3">
                  <c:v>2.13</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Tayanch</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