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color w:val="FF0000"/>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115</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162</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175</w:t>
      </w:r>
    </w:p>
    <w:p w:rsidR="005603EC" w:rsidRDefault="00AB61AC">
      <w:pPr>
        <w:tabs>
          <w:tab w:val="right" w:leader="dot" w:pos="9354"/>
        </w:tabs>
        <w:spacing w:after="80" w:line="240" w:lineRule="auto"/>
        <w:ind w:left="454"/>
      </w:pPr>
      <w:r>
        <w:rPr>
          <w:sz w:val="26"/>
        </w:rPr>
        <w:t>III bob bo‘yicha xulosalar</w:t>
      </w:r>
      <w:r>
        <w:rPr>
          <w:sz w:val="26"/>
        </w:rPr>
        <w:tab/>
        <w:t>193</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196</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196</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212</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224</w:t>
      </w:r>
    </w:p>
    <w:p w:rsidR="005603EC" w:rsidRDefault="00AB61AC">
      <w:pPr>
        <w:tabs>
          <w:tab w:val="right" w:leader="dot" w:pos="9354"/>
        </w:tabs>
        <w:spacing w:after="80" w:line="240" w:lineRule="auto"/>
        <w:ind w:left="454"/>
      </w:pPr>
      <w:r>
        <w:rPr>
          <w:sz w:val="26"/>
        </w:rPr>
        <w:t>IV bob bo‘yicha xulosalar</w:t>
      </w:r>
      <w:r>
        <w:rPr>
          <w:sz w:val="26"/>
        </w:rPr>
        <w:tab/>
        <w:t>237</w:t>
      </w:r>
    </w:p>
    <w:p w:rsidR="005603EC" w:rsidRDefault="00AB61AC">
      <w:pPr>
        <w:tabs>
          <w:tab w:val="right" w:leader="dot" w:pos="9354"/>
        </w:tabs>
        <w:spacing w:after="80" w:line="240" w:lineRule="auto"/>
      </w:pPr>
      <w:r>
        <w:rPr>
          <w:b/>
          <w:sz w:val="26"/>
        </w:rPr>
        <w:t>XULOSA</w:t>
      </w:r>
      <w:r>
        <w:rPr>
          <w:b/>
          <w:sz w:val="26"/>
        </w:rPr>
        <w:tab/>
        <w:t>240</w:t>
      </w:r>
    </w:p>
    <w:p w:rsidR="005603EC" w:rsidRDefault="00AB61AC">
      <w:pPr>
        <w:tabs>
          <w:tab w:val="right" w:leader="dot" w:pos="9354"/>
        </w:tabs>
        <w:spacing w:after="80" w:line="240" w:lineRule="auto"/>
      </w:pPr>
      <w:r>
        <w:rPr>
          <w:b/>
          <w:sz w:val="26"/>
        </w:rPr>
        <w:t>FOYDALANILGAN ADABIYOTLAR RO‘YXATI</w:t>
      </w:r>
      <w:r>
        <w:rPr>
          <w:b/>
          <w:sz w:val="26"/>
        </w:rPr>
        <w:tab/>
        <w:t>245</w:t>
      </w:r>
    </w:p>
    <w:p w:rsidR="005603EC" w:rsidRDefault="00AB61AC">
      <w:pPr>
        <w:tabs>
          <w:tab w:val="right" w:leader="dot" w:pos="9354"/>
        </w:tabs>
        <w:spacing w:after="80" w:line="240" w:lineRule="auto"/>
      </w:pPr>
      <w:r>
        <w:rPr>
          <w:b/>
          <w:sz w:val="26"/>
        </w:rPr>
        <w:t>ILOVALAR</w:t>
      </w:r>
      <w:r>
        <w:rPr>
          <w:b/>
          <w:sz w:val="26"/>
        </w:rPr>
        <w:tab/>
        <w:t>265</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color w:val="FF0000"/>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color w:val="FF0000"/>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FF0000"/>
        </w:rPr>
        <w:t xml:space="preserve">241</w:t>
      </w:r>
      <w:r>
        <w:rPr/>
        <w:t xml:space="preserve"> betni</w:t>
      </w:r>
      <w:r>
        <w:t xml:space="preserve"> tashkil etadi, unda 60 dan ortiq jadval va rasm keltirilgan, foydalanilgan </w:t>
      </w:r>
      <w:r>
        <w:rPr/>
        <w:t xml:space="preserve">adabiyotlar </w:t>
      </w:r>
      <w:r>
        <w:rPr/>
        <w:t xml:space="preserve">ro‘yxati 197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u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highlight w:val="green"/>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color w:val="FF0000"/>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color w:val="FF0000"/>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color w:val="FF0000"/>
                <w:sz w:val="22"/>
              </w:rPr>
              <w:t xml:space="preserve">Restrukturizatsiya qilingan kreditlar</w:t>
            </w:r>
          </w:p>
        </w:tc>
        <w:tc>
          <w:tcPr>
            <w:tcW w:w="2494" w:type="dxa"/>
          </w:tcPr>
          <w:p w:rsidR="005603EC" w:rsidRDefault="00AB61AC">
            <w:pPr>
              <w:pStyle w:val="Compact"/>
              <w:spacing w:line="240" w:lineRule="auto"/>
            </w:pPr>
            <w:r>
              <w:rPr>
                <w:color w:val="FF0000"/>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color w:val="FF0000"/>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color w:val="FF0000"/>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color w:val="FF0000"/>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color w:val="FF0000"/>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color w:val="FF0000"/>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color w:val="FF0000"/>
        </w:rPr>
        <w:t xml:space="preserve"> – MHXS 9 bo‘yicha bosqichlarga taqsimlangan, ya’ni amortizatsiyalangan qiymatda baholanadigan kreditlar (brutto), </w:t>
      </w:r>
      <w:r>
        <w:rPr>
          <w:i/>
          <w:iCs/>
        </w:rPr>
        <w:t>L</w:t>
      </w:r>
      <w:r>
        <w:rPr>
          <w:vertAlign w:val="subscript"/>
        </w:rPr>
        <w:t>milliy</w:t>
      </w:r>
      <w:r>
        <w:rPr>
          <w:color w:val="FF0000"/>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color w:val="FF0000"/>
        </w:rPr>
        <w:t xml:space="preserve">tarkibi, 2021–2025-yillar, %</w:t>
      </w:r>
      <w:r>
        <w:rPr>
          <w:rStyle w:val="aff8"/>
        </w:rPr>
        <w:footnoteReference w:id="348"/>
      </w:r>
    </w:p>
    <w:p w:rsidR="005603EC" w:rsidRDefault="00AB61AC">
      <w:pPr>
        <w:pStyle w:val="af"/>
        <w:spacing w:before="120" w:after="240" w:line="240" w:lineRule="auto"/>
        <w:jc w:val="center"/>
      </w:pPr>
      <w:r>
        <w:rPr>
          <w:i/>
          <w:color w:val="FF0000"/>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color w:val="FF0000"/>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color w:val="FF0000"/>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color w:val="FF0000"/>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color w:val="FF0000"/>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color w:val="FF0000"/>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color w:val="FF0000"/>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color w:val="FF0000"/>
                <w:sz w:val="22"/>
              </w:rPr>
              <w:t xml:space="preserve">tahlil qilingan banklarda </w:t>
            </w:r>
            <w:r>
              <w:rPr>
                <w:sz w:val="22"/>
              </w:rPr>
              <w:t xml:space="preserve">yashirin kredit riski koeffitsiyenti </w:t>
            </w:r>
            <w:r>
              <w:rPr>
                <w:color w:val="FF0000"/>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color w:val="FF0000"/>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color w:val="FF0000"/>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color w:val="FF0000"/>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color w:val="FF0000"/>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color w:val="FF0000"/>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color w:val="FF0000"/>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color w:val="FF0000"/>
        </w:rPr>
        <w:footnoteReference w:id="400"/>
      </w:r>
      <w:r>
        <w:rPr>
          <w:color w:val="FF0000"/>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color w:val="FF0000"/>
        </w:rPr>
        <w:t xml:space="preserve">, uzluksiz shkalada esa mos ravishda 3,96 va 3,04 ball oladi</w:t>
      </w:r>
      <w:r>
        <w:t xml:space="preserve">, holbuki ularning barqarorligi sezilarli farq qiladi. Uzluksiz shkalada esa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color w:val="FF0000"/>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xml:space="preserve">. Shu sababli taklif etilayotgan vaznlar uch manba</w:t>
      </w:r>
      <w:r>
        <w:rPr>
          <w:color w:val="FF0000"/>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r>
              <w:rPr>
                <w:color w:val="FF0000"/>
                <w:sz w:val="22"/>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highlight w:val="green"/>
        </w:rPr>
        <w:t xml:space="preserve">asosan </w:t>
      </w:r>
      <w:r>
        <w:rPr>
          <w:color w:val="FF0000"/>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color w:val="FF0000"/>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color w:val="FF0000"/>
                <w:sz w:val="22"/>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color w:val="FF0000"/>
                <w:sz w:val="22"/>
              </w:rPr>
              <w:t xml:space="preserve">Ayrim bloklarda zaiflik, ko‘rsatkichlar asosan me’yoriy talablar darajasida (2–3 ball)</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color w:val="FF0000"/>
                <w:sz w:val="22"/>
              </w:rPr>
              <w:t xml:space="preserve">Bir nechta blokda ko‘rsatkichlar me’yorga yaqin yoki undan past (1–2 ball)</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color w:val="FF0000"/>
                <w:sz w:val="22"/>
              </w:rPr>
              <w:t xml:space="preserve">Ko‘rsatkichlarning ko‘pchiligi minimal xalqaro talablardan past (1 ball atrofida)</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color w:val="FF0000"/>
        </w:rPr>
        <w:t xml:space="preserve">uch bankning</w:t>
      </w:r>
      <w:r>
        <w:t xml:space="preserve"> 2025-yil yakunidagi ma’lumotlariga qo‘llandi. </w:t>
      </w:r>
      <w:r>
        <w:rPr>
          <w:color w:val="FF0000"/>
        </w:rPr>
        <w:t xml:space="preserve">Hisob-kitob ikki variantda bajarildi: milliy hisobot va Markaziy bank metodikasi asosida (3.1.5-jadval) hamda MHXS va Bazel III metodikasi asosida (3.1.6-jadval).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color w:val="FF0000"/>
        </w:rPr>
        <w:t xml:space="preserve">Uch bank bo‘yicha integral indeks ko‘rsatkichlari va ballari: milliy hisobot,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color w:val="FF0000"/>
                <w:sz w:val="22"/>
              </w:rPr>
              <w:t xml:space="preserve">Ko‘rsatkich</w:t>
            </w:r>
          </w:p>
        </w:tc>
        <w:tc>
          <w:tcPr>
            <w:tcW w:w="1758" w:type="dxa"/>
            <w:shd w:val="clear" w:color="auto" w:fill="DEEBF7"/>
          </w:tcPr>
          <w:p w:rsidR="005603EC" w:rsidRDefault="00AB61AC">
            <w:pPr>
              <w:pStyle w:val="Compact"/>
              <w:spacing w:line="240" w:lineRule="auto"/>
              <w:jc w:val="center"/>
            </w:pPr>
            <w:r>
              <w:rPr>
                <w:b/>
                <w:color w:val="FF0000"/>
                <w:sz w:val="22"/>
              </w:rPr>
              <w:t xml:space="preserve">SQB</w:t>
            </w:r>
          </w:p>
        </w:tc>
        <w:tc>
          <w:tcPr>
            <w:tcW w:w="1758" w:type="dxa"/>
            <w:shd w:val="clear" w:color="auto" w:fill="DEEBF7"/>
          </w:tcPr>
          <w:p w:rsidR="005603EC" w:rsidRDefault="00AB61AC">
            <w:pPr>
              <w:pStyle w:val="Compact"/>
              <w:spacing w:line="240" w:lineRule="auto"/>
              <w:jc w:val="center"/>
            </w:pPr>
            <w:r>
              <w:rPr>
                <w:b/>
                <w:color w:val="FF0000"/>
                <w:sz w:val="22"/>
              </w:rPr>
              <w:t xml:space="preserve">MKB</w:t>
            </w:r>
          </w:p>
        </w:tc>
        <w:tc>
          <w:tcPr>
            <w:tcW w:w="1758" w:type="dxa"/>
            <w:shd w:val="clear" w:color="auto" w:fill="DEEBF7"/>
          </w:tcPr>
          <w:p w:rsidR="005603EC" w:rsidRDefault="00AB61AC">
            <w:pPr>
              <w:pStyle w:val="Compact"/>
              <w:spacing w:line="240" w:lineRule="auto"/>
              <w:jc w:val="center"/>
            </w:pPr>
            <w:r>
              <w:rPr>
                <w:b/>
                <w:color w:val="FF0000"/>
                <w:sz w:val="22"/>
              </w:rPr>
              <w:t xml:space="preserve">Aloqabank</w:t>
            </w:r>
          </w:p>
        </w:tc>
      </w:tr>
      <w:tr w:rsidR="005603EC" w:rsidTr="005603EC">
        <w:trPr>
          <w:cantSplit/>
        </w:trPr>
        <w:tc>
          <w:tcPr>
            <w:tcW w:w="4082" w:type="dxa"/>
          </w:tcPr>
          <w:p w:rsidR="005603EC" w:rsidRDefault="00AB61AC">
            <w:pPr>
              <w:pStyle w:val="Compact"/>
              <w:spacing w:line="240" w:lineRule="auto"/>
            </w:pPr>
            <w:r>
              <w:rPr>
                <w:color w:val="FF0000"/>
                <w:sz w:val="22"/>
              </w:rPr>
              <w:t xml:space="preserve">K1. CET1 monandligi, %</w:t>
            </w:r>
          </w:p>
        </w:tc>
        <w:tc>
          <w:tcPr>
            <w:tcW w:w="1758" w:type="dxa"/>
          </w:tcPr>
          <w:p w:rsidR="005603EC" w:rsidRDefault="00AB61AC">
            <w:pPr>
              <w:pStyle w:val="Compact"/>
              <w:spacing w:line="240" w:lineRule="auto"/>
              <w:jc w:val="center"/>
            </w:pPr>
            <w:r>
              <w:rPr>
                <w:color w:val="FF0000"/>
                <w:sz w:val="22"/>
              </w:rPr>
              <w:t xml:space="preserve">10,21 (3,88)</w:t>
            </w:r>
          </w:p>
        </w:tc>
        <w:tc>
          <w:tcPr>
            <w:tcW w:w="1758" w:type="dxa"/>
          </w:tcPr>
          <w:p w:rsidR="005603EC" w:rsidRDefault="00AB61AC">
            <w:pPr>
              <w:pStyle w:val="Compact"/>
              <w:spacing w:line="240" w:lineRule="auto"/>
              <w:jc w:val="center"/>
            </w:pPr>
            <w:r>
              <w:rPr>
                <w:color w:val="FF0000"/>
                <w:sz w:val="22"/>
              </w:rPr>
              <w:t xml:space="preserve">16,39 (4,00)</w:t>
            </w:r>
          </w:p>
        </w:tc>
        <w:tc>
          <w:tcPr>
            <w:tcW w:w="1758" w:type="dxa"/>
          </w:tcPr>
          <w:p w:rsidR="005603EC" w:rsidRDefault="00AB61AC">
            <w:pPr>
              <w:pStyle w:val="Compact"/>
              <w:spacing w:line="240" w:lineRule="auto"/>
              <w:jc w:val="center"/>
            </w:pPr>
            <w:r>
              <w:rPr>
                <w:color w:val="FF0000"/>
                <w:sz w:val="22"/>
              </w:rPr>
              <w:t xml:space="preserve">10,09 (3,83)</w:t>
            </w:r>
          </w:p>
        </w:tc>
      </w:tr>
      <w:tr w:rsidR="005603EC" w:rsidTr="005603EC">
        <w:trPr>
          <w:cantSplit/>
        </w:trPr>
        <w:tc>
          <w:tcPr>
            <w:tcW w:w="4082" w:type="dxa"/>
          </w:tcPr>
          <w:p w:rsidR="005603EC" w:rsidRDefault="00AB61AC">
            <w:pPr>
              <w:pStyle w:val="Compact"/>
              <w:spacing w:line="240" w:lineRule="auto"/>
            </w:pPr>
            <w:r>
              <w:rPr>
                <w:color w:val="FF0000"/>
                <w:sz w:val="22"/>
              </w:rPr>
              <w:t xml:space="preserve">K2. Regulyativ kapital monandligi, %</w:t>
            </w:r>
          </w:p>
        </w:tc>
        <w:tc>
          <w:tcPr>
            <w:tcW w:w="1758" w:type="dxa"/>
          </w:tcPr>
          <w:p w:rsidR="005603EC" w:rsidRDefault="00AB61AC">
            <w:pPr>
              <w:pStyle w:val="Compact"/>
              <w:spacing w:line="240" w:lineRule="auto"/>
              <w:jc w:val="center"/>
            </w:pPr>
            <w:r>
              <w:rPr>
                <w:color w:val="FF0000"/>
                <w:sz w:val="22"/>
              </w:rPr>
              <w:t xml:space="preserve">17,02 (4,00)</w:t>
            </w:r>
          </w:p>
        </w:tc>
        <w:tc>
          <w:tcPr>
            <w:tcW w:w="1758" w:type="dxa"/>
          </w:tcPr>
          <w:p w:rsidR="005603EC" w:rsidRDefault="00AB61AC">
            <w:pPr>
              <w:pStyle w:val="Compact"/>
              <w:spacing w:line="240" w:lineRule="auto"/>
              <w:jc w:val="center"/>
            </w:pPr>
            <w:r>
              <w:rPr>
                <w:color w:val="FF0000"/>
                <w:sz w:val="22"/>
              </w:rPr>
              <w:t xml:space="preserve">18,46 (4,00)</w:t>
            </w:r>
          </w:p>
        </w:tc>
        <w:tc>
          <w:tcPr>
            <w:tcW w:w="1758" w:type="dxa"/>
          </w:tcPr>
          <w:p w:rsidR="005603EC" w:rsidRDefault="00AB61AC">
            <w:pPr>
              <w:pStyle w:val="Compact"/>
              <w:spacing w:line="240" w:lineRule="auto"/>
              <w:jc w:val="center"/>
            </w:pPr>
            <w:r>
              <w:rPr>
                <w:color w:val="FF0000"/>
                <w:sz w:val="22"/>
              </w:rPr>
              <w:t xml:space="preserve">14,14 (3,45)</w:t>
            </w:r>
          </w:p>
        </w:tc>
      </w:tr>
      <w:tr w:rsidR="005603EC" w:rsidTr="005603EC">
        <w:trPr>
          <w:cantSplit/>
        </w:trPr>
        <w:tc>
          <w:tcPr>
            <w:tcW w:w="4082" w:type="dxa"/>
          </w:tcPr>
          <w:p w:rsidR="005603EC" w:rsidRDefault="00AB61AC">
            <w:pPr>
              <w:pStyle w:val="Compact"/>
              <w:spacing w:line="240" w:lineRule="auto"/>
            </w:pPr>
            <w:r>
              <w:rPr>
                <w:color w:val="FF0000"/>
                <w:sz w:val="22"/>
              </w:rPr>
              <w:t xml:space="preserve">K3. Kapital / aktivlar, %</w:t>
            </w:r>
          </w:p>
        </w:tc>
        <w:tc>
          <w:tcPr>
            <w:tcW w:w="1758" w:type="dxa"/>
          </w:tcPr>
          <w:p w:rsidR="005603EC" w:rsidRDefault="00AB61AC">
            <w:pPr>
              <w:pStyle w:val="Compact"/>
              <w:spacing w:line="240" w:lineRule="auto"/>
              <w:jc w:val="center"/>
            </w:pPr>
            <w:r>
              <w:rPr>
                <w:color w:val="FF0000"/>
                <w:sz w:val="22"/>
              </w:rPr>
              <w:t xml:space="preserve">11,6 (4,00)</w:t>
            </w:r>
          </w:p>
        </w:tc>
        <w:tc>
          <w:tcPr>
            <w:tcW w:w="1758" w:type="dxa"/>
          </w:tcPr>
          <w:p w:rsidR="005603EC" w:rsidRDefault="00AB61AC">
            <w:pPr>
              <w:pStyle w:val="Compact"/>
              <w:spacing w:line="240" w:lineRule="auto"/>
              <w:jc w:val="center"/>
            </w:pPr>
            <w:r>
              <w:rPr>
                <w:color w:val="FF0000"/>
                <w:sz w:val="22"/>
              </w:rPr>
              <w:t xml:space="preserve">18,7 (4,00)</w:t>
            </w:r>
          </w:p>
        </w:tc>
        <w:tc>
          <w:tcPr>
            <w:tcW w:w="1758" w:type="dxa"/>
          </w:tcPr>
          <w:p w:rsidR="005603EC" w:rsidRDefault="00AB61AC">
            <w:pPr>
              <w:pStyle w:val="Compact"/>
              <w:spacing w:line="240" w:lineRule="auto"/>
              <w:jc w:val="center"/>
            </w:pPr>
            <w:r>
              <w:rPr>
                <w:color w:val="FF0000"/>
                <w:sz w:val="22"/>
              </w:rPr>
              <w:t xml:space="preserve">12,2 (4,00)</w:t>
            </w:r>
          </w:p>
        </w:tc>
      </w:tr>
      <w:tr w:rsidR="005603EC" w:rsidTr="005603EC">
        <w:trPr>
          <w:cantSplit/>
        </w:trPr>
        <w:tc>
          <w:tcPr>
            <w:tcW w:w="4082" w:type="dxa"/>
          </w:tcPr>
          <w:p w:rsidR="005603EC" w:rsidRDefault="00AB61AC">
            <w:pPr>
              <w:pStyle w:val="Compact"/>
              <w:spacing w:line="240" w:lineRule="auto"/>
            </w:pPr>
            <w:r>
              <w:rPr>
                <w:color w:val="FF0000"/>
                <w:sz w:val="22"/>
              </w:rPr>
              <w:t xml:space="preserve">A1. Muammoli kreditlar ulushi, %</w:t>
            </w:r>
          </w:p>
        </w:tc>
        <w:tc>
          <w:tcPr>
            <w:tcW w:w="1758" w:type="dxa"/>
          </w:tcPr>
          <w:p w:rsidR="005603EC" w:rsidRDefault="00AB61AC">
            <w:pPr>
              <w:pStyle w:val="Compact"/>
              <w:spacing w:line="240" w:lineRule="auto"/>
              <w:jc w:val="center"/>
            </w:pPr>
            <w:r>
              <w:rPr>
                <w:color w:val="FF0000"/>
                <w:sz w:val="22"/>
              </w:rPr>
              <w:t xml:space="preserve">2,5 (4,00)</w:t>
            </w:r>
          </w:p>
        </w:tc>
        <w:tc>
          <w:tcPr>
            <w:tcW w:w="1758" w:type="dxa"/>
          </w:tcPr>
          <w:p w:rsidR="005603EC" w:rsidRDefault="00AB61AC">
            <w:pPr>
              <w:pStyle w:val="Compact"/>
              <w:spacing w:line="240" w:lineRule="auto"/>
              <w:jc w:val="center"/>
            </w:pPr>
            <w:r>
              <w:rPr>
                <w:color w:val="FF0000"/>
                <w:sz w:val="22"/>
              </w:rPr>
              <w:t xml:space="preserve">4,4 (3,30)</w:t>
            </w:r>
          </w:p>
        </w:tc>
        <w:tc>
          <w:tcPr>
            <w:tcW w:w="1758" w:type="dxa"/>
          </w:tcPr>
          <w:p w:rsidR="005603EC" w:rsidRDefault="00AB61AC">
            <w:pPr>
              <w:pStyle w:val="Compact"/>
              <w:spacing w:line="240" w:lineRule="auto"/>
              <w:jc w:val="center"/>
            </w:pPr>
            <w:r>
              <w:rPr>
                <w:color w:val="FF0000"/>
                <w:sz w:val="22"/>
              </w:rPr>
              <w:t xml:space="preserve">2,5 (4,00)</w:t>
            </w:r>
          </w:p>
        </w:tc>
      </w:tr>
      <w:tr w:rsidR="005603EC" w:rsidTr="005603EC">
        <w:trPr>
          <w:cantSplit/>
        </w:trPr>
        <w:tc>
          <w:tcPr>
            <w:tcW w:w="4082" w:type="dxa"/>
          </w:tcPr>
          <w:p w:rsidR="005603EC" w:rsidRDefault="00AB61AC">
            <w:pPr>
              <w:pStyle w:val="Compact"/>
              <w:spacing w:line="240" w:lineRule="auto"/>
            </w:pPr>
            <w:r>
              <w:rPr>
                <w:color w:val="FF0000"/>
                <w:sz w:val="22"/>
              </w:rPr>
              <w:t xml:space="preserve">A2. Substandart kreditlar ulushi, %</w:t>
            </w:r>
          </w:p>
        </w:tc>
        <w:tc>
          <w:tcPr>
            <w:tcW w:w="1758" w:type="dxa"/>
          </w:tcPr>
          <w:p w:rsidR="005603EC" w:rsidRDefault="00AB61AC">
            <w:pPr>
              <w:pStyle w:val="Compact"/>
              <w:spacing w:line="240" w:lineRule="auto"/>
              <w:jc w:val="center"/>
            </w:pPr>
            <w:r>
              <w:rPr>
                <w:color w:val="FF0000"/>
                <w:sz w:val="22"/>
              </w:rPr>
              <w:t xml:space="preserve">18,4 (2,66)</w:t>
            </w:r>
          </w:p>
        </w:tc>
        <w:tc>
          <w:tcPr>
            <w:tcW w:w="1758" w:type="dxa"/>
          </w:tcPr>
          <w:p w:rsidR="005603EC" w:rsidRDefault="00AB61AC">
            <w:pPr>
              <w:pStyle w:val="Compact"/>
              <w:spacing w:line="240" w:lineRule="auto"/>
              <w:jc w:val="center"/>
            </w:pPr>
            <w:r>
              <w:rPr>
                <w:color w:val="FF0000"/>
                <w:sz w:val="22"/>
              </w:rPr>
              <w:t xml:space="preserve">9,0 (4,00)</w:t>
            </w:r>
          </w:p>
        </w:tc>
        <w:tc>
          <w:tcPr>
            <w:tcW w:w="1758" w:type="dxa"/>
          </w:tcPr>
          <w:p w:rsidR="005603EC" w:rsidRDefault="00AB61AC">
            <w:pPr>
              <w:pStyle w:val="Compact"/>
              <w:spacing w:line="240" w:lineRule="auto"/>
              <w:jc w:val="center"/>
            </w:pPr>
            <w:r>
              <w:rPr>
                <w:color w:val="FF0000"/>
                <w:sz w:val="22"/>
              </w:rPr>
              <w:t xml:space="preserve">6,4 (4,00)</w:t>
            </w:r>
          </w:p>
        </w:tc>
      </w:tr>
      <w:tr w:rsidR="005603EC" w:rsidTr="005603EC">
        <w:trPr>
          <w:cantSplit/>
        </w:trPr>
        <w:tc>
          <w:tcPr>
            <w:tcW w:w="4082" w:type="dxa"/>
          </w:tcPr>
          <w:p w:rsidR="005603EC" w:rsidRDefault="00AB61AC">
            <w:pPr>
              <w:pStyle w:val="Compact"/>
              <w:spacing w:line="240" w:lineRule="auto"/>
            </w:pPr>
            <w:r>
              <w:rPr>
                <w:color w:val="FF0000"/>
                <w:sz w:val="22"/>
              </w:rPr>
              <w:t xml:space="preserve">A3. Qoplanmagan muammoli kreditlar / kapital, %</w:t>
            </w:r>
          </w:p>
        </w:tc>
        <w:tc>
          <w:tcPr>
            <w:tcW w:w="1758" w:type="dxa"/>
          </w:tcPr>
          <w:p w:rsidR="005603EC" w:rsidRDefault="00AB61AC">
            <w:pPr>
              <w:pStyle w:val="Compact"/>
              <w:spacing w:line="240" w:lineRule="auto"/>
              <w:jc w:val="center"/>
            </w:pPr>
            <w:r>
              <w:rPr>
                <w:color w:val="FF0000"/>
                <w:sz w:val="22"/>
              </w:rPr>
              <w:t xml:space="preserve">−8,1 (4,00)</w:t>
            </w:r>
          </w:p>
        </w:tc>
        <w:tc>
          <w:tcPr>
            <w:tcW w:w="1758" w:type="dxa"/>
          </w:tcPr>
          <w:p w:rsidR="005603EC" w:rsidRDefault="00AB61AC">
            <w:pPr>
              <w:pStyle w:val="Compact"/>
              <w:spacing w:line="240" w:lineRule="auto"/>
              <w:jc w:val="center"/>
            </w:pPr>
            <w:r>
              <w:rPr>
                <w:color w:val="FF0000"/>
                <w:sz w:val="22"/>
              </w:rPr>
              <w:t xml:space="preserve">10,3 (2,97)</w:t>
            </w:r>
          </w:p>
        </w:tc>
        <w:tc>
          <w:tcPr>
            <w:tcW w:w="1758" w:type="dxa"/>
          </w:tcPr>
          <w:p w:rsidR="005603EC" w:rsidRDefault="00AB61AC">
            <w:pPr>
              <w:pStyle w:val="Compact"/>
              <w:spacing w:line="240" w:lineRule="auto"/>
              <w:jc w:val="center"/>
            </w:pPr>
            <w:r>
              <w:rPr>
                <w:color w:val="FF0000"/>
                <w:sz w:val="22"/>
              </w:rPr>
              <w:t xml:space="preserve">5,9 (3,41)</w:t>
            </w:r>
          </w:p>
        </w:tc>
      </w:tr>
      <w:tr w:rsidR="005603EC" w:rsidTr="005603EC">
        <w:trPr>
          <w:cantSplit/>
        </w:trPr>
        <w:tc>
          <w:tcPr>
            <w:tcW w:w="4082" w:type="dxa"/>
          </w:tcPr>
          <w:p w:rsidR="005603EC" w:rsidRDefault="00AB61AC">
            <w:pPr>
              <w:pStyle w:val="Compact"/>
              <w:spacing w:line="240" w:lineRule="auto"/>
            </w:pPr>
            <w:r>
              <w:rPr>
                <w:color w:val="FF0000"/>
                <w:sz w:val="22"/>
              </w:rPr>
              <w:t xml:space="preserve">L1. Yuqori likvid aktivlar / aktivlar, %</w:t>
            </w:r>
          </w:p>
        </w:tc>
        <w:tc>
          <w:tcPr>
            <w:tcW w:w="1758" w:type="dxa"/>
          </w:tcPr>
          <w:p w:rsidR="005603EC" w:rsidRDefault="00AB61AC">
            <w:pPr>
              <w:pStyle w:val="Compact"/>
              <w:spacing w:line="240" w:lineRule="auto"/>
              <w:jc w:val="center"/>
            </w:pPr>
            <w:r>
              <w:rPr>
                <w:color w:val="FF0000"/>
                <w:sz w:val="22"/>
              </w:rPr>
              <w:t xml:space="preserve">18,3 (3,66)</w:t>
            </w:r>
          </w:p>
        </w:tc>
        <w:tc>
          <w:tcPr>
            <w:tcW w:w="1758" w:type="dxa"/>
          </w:tcPr>
          <w:p w:rsidR="005603EC" w:rsidRDefault="00AB61AC">
            <w:pPr>
              <w:pStyle w:val="Compact"/>
              <w:spacing w:line="240" w:lineRule="auto"/>
              <w:jc w:val="center"/>
            </w:pPr>
            <w:r>
              <w:rPr>
                <w:color w:val="FF0000"/>
                <w:sz w:val="22"/>
              </w:rPr>
              <w:t xml:space="preserve">15,5 (3,09)</w:t>
            </w:r>
          </w:p>
        </w:tc>
        <w:tc>
          <w:tcPr>
            <w:tcW w:w="1758" w:type="dxa"/>
          </w:tcPr>
          <w:p w:rsidR="005603EC" w:rsidRDefault="00AB61AC">
            <w:pPr>
              <w:pStyle w:val="Compact"/>
              <w:spacing w:line="240" w:lineRule="auto"/>
              <w:jc w:val="center"/>
            </w:pPr>
            <w:r>
              <w:rPr>
                <w:color w:val="FF0000"/>
                <w:sz w:val="22"/>
              </w:rPr>
              <w:t xml:space="preserve">12,7 (2,54)</w:t>
            </w:r>
          </w:p>
        </w:tc>
      </w:tr>
      <w:tr w:rsidR="005603EC" w:rsidTr="005603EC">
        <w:trPr>
          <w:cantSplit/>
        </w:trPr>
        <w:tc>
          <w:tcPr>
            <w:tcW w:w="4082" w:type="dxa"/>
          </w:tcPr>
          <w:p w:rsidR="005603EC" w:rsidRDefault="00AB61AC">
            <w:pPr>
              <w:pStyle w:val="Compact"/>
              <w:spacing w:line="240" w:lineRule="auto"/>
            </w:pPr>
            <w:r>
              <w:rPr>
                <w:color w:val="FF0000"/>
                <w:sz w:val="22"/>
              </w:rPr>
              <w:t xml:space="preserve">L2. Kreditlar / depozitlar, %</w:t>
            </w:r>
          </w:p>
        </w:tc>
        <w:tc>
          <w:tcPr>
            <w:tcW w:w="1758" w:type="dxa"/>
          </w:tcPr>
          <w:p w:rsidR="005603EC" w:rsidRDefault="00AB61AC">
            <w:pPr>
              <w:pStyle w:val="Compact"/>
              <w:spacing w:line="240" w:lineRule="auto"/>
              <w:jc w:val="center"/>
            </w:pPr>
            <w:r>
              <w:rPr>
                <w:color w:val="FF0000"/>
                <w:sz w:val="22"/>
              </w:rPr>
              <w:t xml:space="preserve">206,5 (1,00)</w:t>
            </w:r>
          </w:p>
        </w:tc>
        <w:tc>
          <w:tcPr>
            <w:tcW w:w="1758" w:type="dxa"/>
          </w:tcPr>
          <w:p w:rsidR="005603EC" w:rsidRDefault="00AB61AC">
            <w:pPr>
              <w:pStyle w:val="Compact"/>
              <w:spacing w:line="240" w:lineRule="auto"/>
              <w:jc w:val="center"/>
            </w:pPr>
            <w:r>
              <w:rPr>
                <w:color w:val="FF0000"/>
                <w:sz w:val="22"/>
              </w:rPr>
              <w:t xml:space="preserve">208,5 (1,00)</w:t>
            </w:r>
          </w:p>
        </w:tc>
        <w:tc>
          <w:tcPr>
            <w:tcW w:w="1758" w:type="dxa"/>
          </w:tcPr>
          <w:p w:rsidR="005603EC" w:rsidRDefault="00AB61AC">
            <w:pPr>
              <w:pStyle w:val="Compact"/>
              <w:spacing w:line="240" w:lineRule="auto"/>
              <w:jc w:val="center"/>
            </w:pPr>
            <w:r>
              <w:rPr>
                <w:color w:val="FF0000"/>
                <w:sz w:val="22"/>
              </w:rPr>
              <w:t xml:space="preserve">121,1 (2,58)</w:t>
            </w:r>
          </w:p>
        </w:tc>
      </w:tr>
      <w:tr w:rsidR="005603EC" w:rsidTr="005603EC">
        <w:trPr>
          <w:cantSplit/>
        </w:trPr>
        <w:tc>
          <w:tcPr>
            <w:tcW w:w="4082" w:type="dxa"/>
          </w:tcPr>
          <w:p w:rsidR="005603EC" w:rsidRDefault="00AB61AC">
            <w:pPr>
              <w:pStyle w:val="Compact"/>
              <w:spacing w:line="240" w:lineRule="auto"/>
            </w:pPr>
            <w:r>
              <w:rPr>
                <w:color w:val="FF0000"/>
                <w:sz w:val="22"/>
              </w:rPr>
              <w:t xml:space="preserve">D1. ROA, %</w:t>
            </w:r>
          </w:p>
        </w:tc>
        <w:tc>
          <w:tcPr>
            <w:tcW w:w="1758" w:type="dxa"/>
          </w:tcPr>
          <w:p w:rsidR="005603EC" w:rsidRDefault="00AB61AC">
            <w:pPr>
              <w:pStyle w:val="Compact"/>
              <w:spacing w:line="240" w:lineRule="auto"/>
              <w:jc w:val="center"/>
            </w:pPr>
            <w:r>
              <w:rPr>
                <w:color w:val="FF0000"/>
                <w:sz w:val="22"/>
              </w:rPr>
              <w:t xml:space="preserve">2,0 (3,96)</w:t>
            </w:r>
          </w:p>
        </w:tc>
        <w:tc>
          <w:tcPr>
            <w:tcW w:w="1758" w:type="dxa"/>
          </w:tcPr>
          <w:p w:rsidR="005603EC" w:rsidRDefault="00AB61AC">
            <w:pPr>
              <w:pStyle w:val="Compact"/>
              <w:spacing w:line="240" w:lineRule="auto"/>
              <w:jc w:val="center"/>
            </w:pPr>
            <w:r>
              <w:rPr>
                <w:color w:val="FF0000"/>
                <w:sz w:val="22"/>
              </w:rPr>
              <w:t xml:space="preserve">0,6 (1,85)</w:t>
            </w:r>
          </w:p>
        </w:tc>
        <w:tc>
          <w:tcPr>
            <w:tcW w:w="1758" w:type="dxa"/>
          </w:tcPr>
          <w:p w:rsidR="005603EC" w:rsidRDefault="00AB61AC">
            <w:pPr>
              <w:pStyle w:val="Compact"/>
              <w:spacing w:line="240" w:lineRule="auto"/>
              <w:jc w:val="center"/>
            </w:pPr>
            <w:r>
              <w:rPr>
                <w:color w:val="FF0000"/>
                <w:sz w:val="22"/>
              </w:rPr>
              <w:t xml:space="preserve">0,9 (2,31)</w:t>
            </w:r>
          </w:p>
        </w:tc>
      </w:tr>
      <w:tr w:rsidR="005603EC" w:rsidTr="005603EC">
        <w:trPr>
          <w:cantSplit/>
        </w:trPr>
        <w:tc>
          <w:tcPr>
            <w:tcW w:w="4082" w:type="dxa"/>
          </w:tcPr>
          <w:p w:rsidR="005603EC" w:rsidRDefault="00AB61AC">
            <w:pPr>
              <w:pStyle w:val="Compact"/>
              <w:spacing w:line="240" w:lineRule="auto"/>
            </w:pPr>
            <w:r>
              <w:rPr>
                <w:color w:val="FF0000"/>
                <w:sz w:val="22"/>
              </w:rPr>
              <w:t xml:space="preserve">D2. ROE, %</w:t>
            </w:r>
          </w:p>
        </w:tc>
        <w:tc>
          <w:tcPr>
            <w:tcW w:w="1758" w:type="dxa"/>
          </w:tcPr>
          <w:p w:rsidR="005603EC" w:rsidRDefault="00AB61AC">
            <w:pPr>
              <w:pStyle w:val="Compact"/>
              <w:spacing w:line="240" w:lineRule="auto"/>
              <w:jc w:val="center"/>
            </w:pPr>
            <w:r>
              <w:rPr>
                <w:color w:val="FF0000"/>
                <w:sz w:val="22"/>
              </w:rPr>
              <w:t xml:space="preserve">17,2 (4,00)</w:t>
            </w:r>
          </w:p>
        </w:tc>
        <w:tc>
          <w:tcPr>
            <w:tcW w:w="1758" w:type="dxa"/>
          </w:tcPr>
          <w:p w:rsidR="005603EC" w:rsidRDefault="00AB61AC">
            <w:pPr>
              <w:pStyle w:val="Compact"/>
              <w:spacing w:line="240" w:lineRule="auto"/>
              <w:jc w:val="center"/>
            </w:pPr>
            <w:r>
              <w:rPr>
                <w:color w:val="FF0000"/>
                <w:sz w:val="22"/>
              </w:rPr>
              <w:t xml:space="preserve">3,5 (1,69)</w:t>
            </w:r>
          </w:p>
        </w:tc>
        <w:tc>
          <w:tcPr>
            <w:tcW w:w="1758" w:type="dxa"/>
          </w:tcPr>
          <w:p w:rsidR="005603EC" w:rsidRDefault="00AB61AC">
            <w:pPr>
              <w:pStyle w:val="Compact"/>
              <w:spacing w:line="240" w:lineRule="auto"/>
              <w:jc w:val="center"/>
            </w:pPr>
            <w:r>
              <w:rPr>
                <w:color w:val="FF0000"/>
                <w:sz w:val="22"/>
              </w:rPr>
              <w:t xml:space="preserve">7,3 (2,45)</w:t>
            </w:r>
          </w:p>
        </w:tc>
      </w:tr>
      <w:tr w:rsidR="005603EC" w:rsidTr="005603EC">
        <w:trPr>
          <w:cantSplit/>
        </w:trPr>
        <w:tc>
          <w:tcPr>
            <w:tcW w:w="4082" w:type="dxa"/>
          </w:tcPr>
          <w:p w:rsidR="005603EC" w:rsidRDefault="00AB61AC">
            <w:pPr>
              <w:pStyle w:val="Compact"/>
              <w:spacing w:line="240" w:lineRule="auto"/>
            </w:pPr>
            <w:r>
              <w:rPr>
                <w:color w:val="FF0000"/>
                <w:sz w:val="22"/>
              </w:rPr>
              <w:t xml:space="preserve">D3. Xarajatlar / daromadlar, %</w:t>
            </w:r>
          </w:p>
        </w:tc>
        <w:tc>
          <w:tcPr>
            <w:tcW w:w="1758" w:type="dxa"/>
          </w:tcPr>
          <w:p w:rsidR="005603EC" w:rsidRDefault="00AB61AC">
            <w:pPr>
              <w:pStyle w:val="Compact"/>
              <w:spacing w:line="240" w:lineRule="auto"/>
              <w:jc w:val="center"/>
            </w:pPr>
            <w:r>
              <w:rPr>
                <w:color w:val="FF0000"/>
                <w:sz w:val="22"/>
              </w:rPr>
              <w:t xml:space="preserve">36,5 (4,00)</w:t>
            </w:r>
          </w:p>
        </w:tc>
        <w:tc>
          <w:tcPr>
            <w:tcW w:w="1758" w:type="dxa"/>
          </w:tcPr>
          <w:p w:rsidR="005603EC" w:rsidRDefault="00AB61AC">
            <w:pPr>
              <w:pStyle w:val="Compact"/>
              <w:spacing w:line="240" w:lineRule="auto"/>
              <w:jc w:val="center"/>
            </w:pPr>
            <w:r>
              <w:rPr>
                <w:color w:val="FF0000"/>
                <w:sz w:val="22"/>
              </w:rPr>
              <w:t xml:space="preserve">65,5 (2,72)</w:t>
            </w:r>
          </w:p>
        </w:tc>
        <w:tc>
          <w:tcPr>
            <w:tcW w:w="1758" w:type="dxa"/>
          </w:tcPr>
          <w:p w:rsidR="005603EC" w:rsidRDefault="00AB61AC">
            <w:pPr>
              <w:pStyle w:val="Compact"/>
              <w:spacing w:line="240" w:lineRule="auto"/>
              <w:jc w:val="center"/>
            </w:pPr>
            <w:r>
              <w:rPr>
                <w:color w:val="FF0000"/>
                <w:sz w:val="22"/>
              </w:rPr>
              <w:t xml:space="preserve">82,2 (1,89)</w:t>
            </w:r>
          </w:p>
        </w:tc>
      </w:tr>
      <w:tr w:rsidR="005603EC" w:rsidTr="005603EC">
        <w:trPr>
          <w:cantSplit/>
        </w:trPr>
        <w:tc>
          <w:tcPr>
            <w:tcW w:w="4082" w:type="dxa"/>
          </w:tcPr>
          <w:p w:rsidR="005603EC" w:rsidRDefault="00AB61AC">
            <w:pPr>
              <w:pStyle w:val="Compact"/>
              <w:spacing w:line="240" w:lineRule="auto"/>
            </w:pPr>
            <w:r>
              <w:rPr>
                <w:color w:val="FF0000"/>
                <w:sz w:val="22"/>
              </w:rPr>
              <w:t xml:space="preserve">V1. Xorijiy valyutadagi kreditlar, %</w:t>
            </w:r>
          </w:p>
        </w:tc>
        <w:tc>
          <w:tcPr>
            <w:tcW w:w="1758" w:type="dxa"/>
          </w:tcPr>
          <w:p w:rsidR="005603EC" w:rsidRDefault="00AB61AC">
            <w:pPr>
              <w:pStyle w:val="Compact"/>
              <w:spacing w:line="240" w:lineRule="auto"/>
              <w:jc w:val="center"/>
            </w:pPr>
            <w:r>
              <w:rPr>
                <w:color w:val="FF0000"/>
                <w:sz w:val="22"/>
              </w:rPr>
              <w:t xml:space="preserve">60,1 (1,33)</w:t>
            </w:r>
          </w:p>
        </w:tc>
        <w:tc>
          <w:tcPr>
            <w:tcW w:w="1758" w:type="dxa"/>
          </w:tcPr>
          <w:p w:rsidR="005603EC" w:rsidRDefault="00AB61AC">
            <w:pPr>
              <w:pStyle w:val="Compact"/>
              <w:spacing w:line="240" w:lineRule="auto"/>
              <w:jc w:val="center"/>
            </w:pPr>
            <w:r>
              <w:rPr>
                <w:color w:val="FF0000"/>
                <w:sz w:val="22"/>
              </w:rPr>
              <w:t xml:space="preserve">18,4 (4,00)</w:t>
            </w:r>
          </w:p>
        </w:tc>
        <w:tc>
          <w:tcPr>
            <w:tcW w:w="1758" w:type="dxa"/>
          </w:tcPr>
          <w:p w:rsidR="005603EC" w:rsidRDefault="00AB61AC">
            <w:pPr>
              <w:pStyle w:val="Compact"/>
              <w:spacing w:line="240" w:lineRule="auto"/>
              <w:jc w:val="center"/>
            </w:pPr>
            <w:r>
              <w:rPr>
                <w:color w:val="FF0000"/>
                <w:sz w:val="22"/>
              </w:rPr>
              <w:t xml:space="preserve">37,0 (2,87)</w:t>
            </w:r>
          </w:p>
        </w:tc>
      </w:tr>
      <w:tr w:rsidR="005603EC" w:rsidTr="005603EC">
        <w:trPr>
          <w:cantSplit/>
        </w:trPr>
        <w:tc>
          <w:tcPr>
            <w:tcW w:w="4082" w:type="dxa"/>
          </w:tcPr>
          <w:p w:rsidR="005603EC" w:rsidRDefault="00AB61AC">
            <w:pPr>
              <w:pStyle w:val="Compact"/>
              <w:spacing w:line="240" w:lineRule="auto"/>
            </w:pPr>
            <w:r>
              <w:rPr>
                <w:color w:val="FF0000"/>
                <w:sz w:val="22"/>
              </w:rPr>
              <w:t xml:space="preserve">V2. Xorijiy valyutadagi majburiyatlar, %</w:t>
            </w:r>
          </w:p>
        </w:tc>
        <w:tc>
          <w:tcPr>
            <w:tcW w:w="1758" w:type="dxa"/>
          </w:tcPr>
          <w:p w:rsidR="005603EC" w:rsidRDefault="00AB61AC">
            <w:pPr>
              <w:pStyle w:val="Compact"/>
              <w:spacing w:line="240" w:lineRule="auto"/>
              <w:jc w:val="center"/>
            </w:pPr>
            <w:r>
              <w:rPr>
                <w:color w:val="FF0000"/>
                <w:sz w:val="22"/>
              </w:rPr>
              <w:t xml:space="preserve">60,9 (1,61)</w:t>
            </w:r>
          </w:p>
        </w:tc>
        <w:tc>
          <w:tcPr>
            <w:tcW w:w="1758" w:type="dxa"/>
          </w:tcPr>
          <w:p w:rsidR="005603EC" w:rsidRDefault="00AB61AC">
            <w:pPr>
              <w:pStyle w:val="Compact"/>
              <w:spacing w:line="240" w:lineRule="auto"/>
              <w:jc w:val="center"/>
            </w:pPr>
            <w:r>
              <w:rPr>
                <w:color w:val="FF0000"/>
                <w:sz w:val="22"/>
              </w:rPr>
              <w:t xml:space="preserve">31,4 (3,57)</w:t>
            </w:r>
          </w:p>
        </w:tc>
        <w:tc>
          <w:tcPr>
            <w:tcW w:w="1758" w:type="dxa"/>
          </w:tcPr>
          <w:p w:rsidR="005603EC" w:rsidRDefault="00AB61AC">
            <w:pPr>
              <w:pStyle w:val="Compact"/>
              <w:spacing w:line="240" w:lineRule="auto"/>
              <w:jc w:val="center"/>
            </w:pPr>
            <w:r>
              <w:rPr>
                <w:color w:val="FF0000"/>
                <w:sz w:val="22"/>
              </w:rPr>
              <w:t xml:space="preserve">31,6 (3,56)</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Kapital yetarliligi bloki</w:t>
            </w:r>
          </w:p>
        </w:tc>
        <w:tc>
          <w:tcPr>
            <w:tcW w:w="1758" w:type="dxa"/>
          </w:tcPr>
          <w:p w:rsidR="005603EC" w:rsidRDefault="00AB61AC">
            <w:pPr>
              <w:pStyle w:val="Compact"/>
              <w:spacing w:line="240" w:lineRule="auto"/>
              <w:jc w:val="center"/>
            </w:pPr>
            <w:r>
              <w:rPr>
                <w:b/>
                <w:bCs/>
                <w:color w:val="FF0000"/>
                <w:sz w:val="22"/>
              </w:rPr>
              <w:t xml:space="preserve">3,96</w:t>
            </w:r>
          </w:p>
        </w:tc>
        <w:tc>
          <w:tcPr>
            <w:tcW w:w="1758" w:type="dxa"/>
          </w:tcPr>
          <w:p w:rsidR="005603EC" w:rsidRDefault="00AB61AC">
            <w:pPr>
              <w:pStyle w:val="Compact"/>
              <w:spacing w:line="240" w:lineRule="auto"/>
              <w:jc w:val="center"/>
            </w:pPr>
            <w:r>
              <w:rPr>
                <w:b/>
                <w:bCs/>
                <w:color w:val="FF0000"/>
                <w:sz w:val="22"/>
              </w:rPr>
              <w:t xml:space="preserve">4,00</w:t>
            </w:r>
          </w:p>
        </w:tc>
        <w:tc>
          <w:tcPr>
            <w:tcW w:w="1758" w:type="dxa"/>
          </w:tcPr>
          <w:p w:rsidR="005603EC" w:rsidRDefault="00AB61AC">
            <w:pPr>
              <w:pStyle w:val="Compact"/>
              <w:spacing w:line="240" w:lineRule="auto"/>
              <w:jc w:val="center"/>
            </w:pPr>
            <w:r>
              <w:rPr>
                <w:b/>
                <w:bCs/>
                <w:color w:val="FF0000"/>
                <w:sz w:val="22"/>
              </w:rPr>
              <w:t xml:space="preserve">3,76</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Aktivlar sifati bloki</w:t>
            </w:r>
          </w:p>
        </w:tc>
        <w:tc>
          <w:tcPr>
            <w:tcW w:w="1758" w:type="dxa"/>
          </w:tcPr>
          <w:p w:rsidR="005603EC" w:rsidRDefault="00AB61AC">
            <w:pPr>
              <w:pStyle w:val="Compact"/>
              <w:spacing w:line="240" w:lineRule="auto"/>
              <w:jc w:val="center"/>
            </w:pPr>
            <w:r>
              <w:rPr>
                <w:b/>
                <w:bCs/>
                <w:color w:val="FF0000"/>
                <w:sz w:val="22"/>
              </w:rPr>
              <w:t xml:space="preserve">3,55</w:t>
            </w:r>
          </w:p>
        </w:tc>
        <w:tc>
          <w:tcPr>
            <w:tcW w:w="1758" w:type="dxa"/>
          </w:tcPr>
          <w:p w:rsidR="005603EC" w:rsidRDefault="00AB61AC">
            <w:pPr>
              <w:pStyle w:val="Compact"/>
              <w:spacing w:line="240" w:lineRule="auto"/>
              <w:jc w:val="center"/>
            </w:pPr>
            <w:r>
              <w:rPr>
                <w:b/>
                <w:bCs/>
                <w:color w:val="FF0000"/>
                <w:sz w:val="22"/>
              </w:rPr>
              <w:t xml:space="preserve">3,42</w:t>
            </w:r>
          </w:p>
        </w:tc>
        <w:tc>
          <w:tcPr>
            <w:tcW w:w="1758" w:type="dxa"/>
          </w:tcPr>
          <w:p w:rsidR="005603EC" w:rsidRDefault="00AB61AC">
            <w:pPr>
              <w:pStyle w:val="Compact"/>
              <w:spacing w:line="240" w:lineRule="auto"/>
              <w:jc w:val="center"/>
            </w:pPr>
            <w:r>
              <w:rPr>
                <w:b/>
                <w:bCs/>
                <w:color w:val="FF0000"/>
                <w:sz w:val="22"/>
              </w:rPr>
              <w:t xml:space="preserve">3,80</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Likvidlik bloki</w:t>
            </w:r>
          </w:p>
        </w:tc>
        <w:tc>
          <w:tcPr>
            <w:tcW w:w="1758" w:type="dxa"/>
          </w:tcPr>
          <w:p w:rsidR="005603EC" w:rsidRDefault="00AB61AC">
            <w:pPr>
              <w:pStyle w:val="Compact"/>
              <w:spacing w:line="240" w:lineRule="auto"/>
              <w:jc w:val="center"/>
            </w:pPr>
            <w:r>
              <w:rPr>
                <w:b/>
                <w:bCs/>
                <w:color w:val="FF0000"/>
                <w:sz w:val="22"/>
              </w:rPr>
              <w:t xml:space="preserve">2,33</w:t>
            </w:r>
          </w:p>
        </w:tc>
        <w:tc>
          <w:tcPr>
            <w:tcW w:w="1758" w:type="dxa"/>
          </w:tcPr>
          <w:p w:rsidR="005603EC" w:rsidRDefault="00AB61AC">
            <w:pPr>
              <w:pStyle w:val="Compact"/>
              <w:spacing w:line="240" w:lineRule="auto"/>
              <w:jc w:val="center"/>
            </w:pPr>
            <w:r>
              <w:rPr>
                <w:b/>
                <w:bCs/>
                <w:color w:val="FF0000"/>
                <w:sz w:val="22"/>
              </w:rPr>
              <w:t xml:space="preserve">2,05</w:t>
            </w:r>
          </w:p>
        </w:tc>
        <w:tc>
          <w:tcPr>
            <w:tcW w:w="1758" w:type="dxa"/>
          </w:tcPr>
          <w:p w:rsidR="005603EC" w:rsidRDefault="00AB61AC">
            <w:pPr>
              <w:pStyle w:val="Compact"/>
              <w:spacing w:line="240" w:lineRule="auto"/>
              <w:jc w:val="center"/>
            </w:pPr>
            <w:r>
              <w:rPr>
                <w:b/>
                <w:bCs/>
                <w:color w:val="FF0000"/>
                <w:sz w:val="22"/>
              </w:rPr>
              <w:t xml:space="preserve">2,56</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Daromadlilik bloki</w:t>
            </w:r>
          </w:p>
        </w:tc>
        <w:tc>
          <w:tcPr>
            <w:tcW w:w="1758" w:type="dxa"/>
          </w:tcPr>
          <w:p w:rsidR="005603EC" w:rsidRDefault="00AB61AC">
            <w:pPr>
              <w:pStyle w:val="Compact"/>
              <w:spacing w:line="240" w:lineRule="auto"/>
              <w:jc w:val="center"/>
            </w:pPr>
            <w:r>
              <w:rPr>
                <w:b/>
                <w:bCs/>
                <w:color w:val="FF0000"/>
                <w:sz w:val="22"/>
              </w:rPr>
              <w:t xml:space="preserve">3,99</w:t>
            </w:r>
          </w:p>
        </w:tc>
        <w:tc>
          <w:tcPr>
            <w:tcW w:w="1758" w:type="dxa"/>
          </w:tcPr>
          <w:p w:rsidR="005603EC" w:rsidRDefault="00AB61AC">
            <w:pPr>
              <w:pStyle w:val="Compact"/>
              <w:spacing w:line="240" w:lineRule="auto"/>
              <w:jc w:val="center"/>
            </w:pPr>
            <w:r>
              <w:rPr>
                <w:b/>
                <w:bCs/>
                <w:color w:val="FF0000"/>
                <w:sz w:val="22"/>
              </w:rPr>
              <w:t xml:space="preserve">2,09</w:t>
            </w:r>
          </w:p>
        </w:tc>
        <w:tc>
          <w:tcPr>
            <w:tcW w:w="1758" w:type="dxa"/>
          </w:tcPr>
          <w:p w:rsidR="005603EC" w:rsidRDefault="00AB61AC">
            <w:pPr>
              <w:pStyle w:val="Compact"/>
              <w:spacing w:line="240" w:lineRule="auto"/>
              <w:jc w:val="center"/>
            </w:pPr>
            <w:r>
              <w:rPr>
                <w:b/>
                <w:bCs/>
                <w:color w:val="FF0000"/>
                <w:sz w:val="22"/>
              </w:rPr>
              <w:t xml:space="preserve">2,22</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Valyuta riskiga sezgirlik bloki</w:t>
            </w:r>
          </w:p>
        </w:tc>
        <w:tc>
          <w:tcPr>
            <w:tcW w:w="1758" w:type="dxa"/>
          </w:tcPr>
          <w:p w:rsidR="005603EC" w:rsidRDefault="00AB61AC">
            <w:pPr>
              <w:pStyle w:val="Compact"/>
              <w:spacing w:line="240" w:lineRule="auto"/>
              <w:jc w:val="center"/>
            </w:pPr>
            <w:r>
              <w:rPr>
                <w:b/>
                <w:bCs/>
                <w:color w:val="FF0000"/>
                <w:sz w:val="22"/>
              </w:rPr>
              <w:t xml:space="preserve">1,47</w:t>
            </w:r>
          </w:p>
        </w:tc>
        <w:tc>
          <w:tcPr>
            <w:tcW w:w="1758" w:type="dxa"/>
          </w:tcPr>
          <w:p w:rsidR="005603EC" w:rsidRDefault="00AB61AC">
            <w:pPr>
              <w:pStyle w:val="Compact"/>
              <w:spacing w:line="240" w:lineRule="auto"/>
              <w:jc w:val="center"/>
            </w:pPr>
            <w:r>
              <w:rPr>
                <w:b/>
                <w:bCs/>
                <w:color w:val="FF0000"/>
                <w:sz w:val="22"/>
              </w:rPr>
              <w:t xml:space="preserve">3,79</w:t>
            </w:r>
          </w:p>
        </w:tc>
        <w:tc>
          <w:tcPr>
            <w:tcW w:w="1758" w:type="dxa"/>
          </w:tcPr>
          <w:p w:rsidR="005603EC" w:rsidRDefault="00AB61AC">
            <w:pPr>
              <w:pStyle w:val="Compact"/>
              <w:spacing w:line="240" w:lineRule="auto"/>
              <w:jc w:val="center"/>
            </w:pPr>
            <w:r>
              <w:rPr>
                <w:b/>
                <w:bCs/>
                <w:color w:val="FF0000"/>
                <w:sz w:val="22"/>
              </w:rPr>
              <w:t xml:space="preserve">3,21</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MBII</w:t>
            </w:r>
          </w:p>
        </w:tc>
        <w:tc>
          <w:tcPr>
            <w:tcW w:w="1758" w:type="dxa"/>
          </w:tcPr>
          <w:p w:rsidR="005603EC" w:rsidRDefault="00AB61AC">
            <w:pPr>
              <w:pStyle w:val="Compact"/>
              <w:spacing w:line="240" w:lineRule="auto"/>
              <w:jc w:val="center"/>
            </w:pPr>
            <w:r>
              <w:rPr>
                <w:b/>
                <w:bCs/>
                <w:color w:val="FF0000"/>
                <w:sz w:val="22"/>
              </w:rPr>
              <w:t xml:space="preserve">3,27</w:t>
            </w:r>
          </w:p>
        </w:tc>
        <w:tc>
          <w:tcPr>
            <w:tcW w:w="1758" w:type="dxa"/>
          </w:tcPr>
          <w:p w:rsidR="005603EC" w:rsidRDefault="00AB61AC">
            <w:pPr>
              <w:pStyle w:val="Compact"/>
              <w:spacing w:line="240" w:lineRule="auto"/>
              <w:jc w:val="center"/>
            </w:pPr>
            <w:r>
              <w:rPr>
                <w:b/>
                <w:bCs/>
                <w:color w:val="FF0000"/>
                <w:sz w:val="22"/>
              </w:rPr>
              <w:t xml:space="preserve">3,13</w:t>
            </w:r>
          </w:p>
        </w:tc>
        <w:tc>
          <w:tcPr>
            <w:tcW w:w="1758" w:type="dxa"/>
          </w:tcPr>
          <w:p w:rsidR="005603EC" w:rsidRDefault="00AB61AC">
            <w:pPr>
              <w:pStyle w:val="Compact"/>
              <w:spacing w:line="240" w:lineRule="auto"/>
              <w:jc w:val="center"/>
            </w:pPr>
            <w:r>
              <w:rPr>
                <w:b/>
                <w:bCs/>
                <w:color w:val="FF0000"/>
                <w:sz w:val="22"/>
              </w:rPr>
              <w:t xml:space="preserve">3,248</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Barqarorlik sinfi</w:t>
            </w:r>
          </w:p>
        </w:tc>
        <w:tc>
          <w:tcPr>
            <w:tcW w:w="1758" w:type="dxa"/>
          </w:tcPr>
          <w:p w:rsidR="005603EC" w:rsidRDefault="00AB61AC">
            <w:pPr>
              <w:pStyle w:val="Compact"/>
              <w:spacing w:line="240" w:lineRule="auto"/>
              <w:jc w:val="center"/>
            </w:pPr>
            <w:r>
              <w:rPr>
                <w:b/>
                <w:bCs/>
                <w:color w:val="FF0000"/>
                <w:sz w:val="22"/>
              </w:rPr>
              <w:t xml:space="preserve">I</w:t>
            </w:r>
          </w:p>
        </w:tc>
        <w:tc>
          <w:tcPr>
            <w:tcW w:w="1758" w:type="dxa"/>
          </w:tcPr>
          <w:p w:rsidR="005603EC" w:rsidRDefault="00AB61AC">
            <w:pPr>
              <w:pStyle w:val="Compact"/>
              <w:spacing w:line="240" w:lineRule="auto"/>
              <w:jc w:val="center"/>
            </w:pPr>
            <w:r>
              <w:rPr>
                <w:b/>
                <w:bCs/>
                <w:color w:val="FF0000"/>
                <w:sz w:val="22"/>
              </w:rPr>
              <w:t xml:space="preserve">II</w:t>
            </w:r>
          </w:p>
        </w:tc>
        <w:tc>
          <w:tcPr>
            <w:tcW w:w="1758" w:type="dxa"/>
          </w:tcPr>
          <w:p w:rsidR="005603EC" w:rsidRDefault="00AB61AC">
            <w:pPr>
              <w:pStyle w:val="Compact"/>
              <w:spacing w:line="240" w:lineRule="auto"/>
              <w:jc w:val="center"/>
            </w:pPr>
            <w:r>
              <w:rPr>
                <w:b/>
                <w:bCs/>
                <w:color w:val="FF0000"/>
                <w:sz w:val="22"/>
              </w:rPr>
              <w:t xml:space="preserve">II</w:t>
            </w:r>
          </w:p>
        </w:tc>
      </w:tr>
    </w:tbl>
    <w:p w:rsidR="005603EC" w:rsidRDefault="00AB61AC">
      <w:pPr>
        <w:pStyle w:val="af"/>
        <w:spacing w:after="0" w:line="360" w:lineRule="auto"/>
        <w:ind w:firstLine="709"/>
        <w:jc w:val="both"/>
      </w:pPr>
      <w:r>
        <w:rPr>
          <w:i/>
          <w:iCs/>
          <w:color w:val="FF0000"/>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color w:val="FF0000"/>
        </w:rPr>
        <w:t xml:space="preserve">Milliy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color w:val="FF0000"/>
        </w:rPr>
        <w:t xml:space="preserve">3.1.6-jadval</w:t>
      </w:r>
    </w:p>
    <w:p w:rsidR="005603EC" w:rsidRDefault="00AB61AC">
      <w:pPr>
        <w:pStyle w:val="af"/>
        <w:keepNext/>
        <w:spacing w:line="240" w:lineRule="auto"/>
        <w:jc w:val="center"/>
      </w:pPr>
      <w:r>
        <w:rPr>
          <w:b/>
          <w:bCs/>
          <w:color w:val="FF0000"/>
        </w:rPr>
        <w:t xml:space="preserve">Uch bank bo‘yicha integral indeks ko‘rsatkichlari va ballari: MHXS hisobotlari, 2025-yil yakuni</w:t>
      </w:r>
      <w:r>
        <w:rPr>
          <w:rStyle w:val="aff8"/>
          <w:color w:val="FF0000"/>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color w:val="FF0000"/>
                <w:sz w:val="22"/>
              </w:rPr>
              <w:t xml:space="preserve">Ko‘rsatkich</w:t>
            </w:r>
          </w:p>
        </w:tc>
        <w:tc>
          <w:tcPr>
            <w:tcW w:w="1758" w:type="dxa"/>
            <w:shd w:val="clear" w:color="auto" w:fill="DEEBF7"/>
          </w:tcPr>
          <w:p w:rsidR="005603EC" w:rsidRDefault="00AB61AC">
            <w:pPr>
              <w:pStyle w:val="Compact"/>
              <w:spacing w:line="240" w:lineRule="auto"/>
              <w:jc w:val="center"/>
            </w:pPr>
            <w:r>
              <w:rPr>
                <w:b/>
                <w:color w:val="FF0000"/>
                <w:sz w:val="22"/>
              </w:rPr>
              <w:t xml:space="preserve">SQB</w:t>
            </w:r>
          </w:p>
        </w:tc>
        <w:tc>
          <w:tcPr>
            <w:tcW w:w="1758" w:type="dxa"/>
            <w:shd w:val="clear" w:color="auto" w:fill="DEEBF7"/>
          </w:tcPr>
          <w:p w:rsidR="005603EC" w:rsidRDefault="00AB61AC">
            <w:pPr>
              <w:pStyle w:val="Compact"/>
              <w:spacing w:line="240" w:lineRule="auto"/>
              <w:jc w:val="center"/>
            </w:pPr>
            <w:r>
              <w:rPr>
                <w:b/>
                <w:color w:val="FF0000"/>
                <w:sz w:val="22"/>
              </w:rPr>
              <w:t xml:space="preserve">MKB</w:t>
            </w:r>
          </w:p>
        </w:tc>
        <w:tc>
          <w:tcPr>
            <w:tcW w:w="1758" w:type="dxa"/>
            <w:shd w:val="clear" w:color="auto" w:fill="DEEBF7"/>
          </w:tcPr>
          <w:p w:rsidR="005603EC" w:rsidRDefault="00AB61AC">
            <w:pPr>
              <w:pStyle w:val="Compact"/>
              <w:spacing w:line="240" w:lineRule="auto"/>
              <w:jc w:val="center"/>
            </w:pPr>
            <w:r>
              <w:rPr>
                <w:b/>
                <w:color w:val="FF0000"/>
                <w:sz w:val="22"/>
              </w:rPr>
              <w:t xml:space="preserve">Aloqabank</w:t>
            </w:r>
          </w:p>
        </w:tc>
      </w:tr>
      <w:tr w:rsidR="005603EC" w:rsidTr="005603EC">
        <w:trPr>
          <w:cantSplit/>
        </w:trPr>
        <w:tc>
          <w:tcPr>
            <w:tcW w:w="4082" w:type="dxa"/>
          </w:tcPr>
          <w:p w:rsidR="005603EC" w:rsidRDefault="00AB61AC">
            <w:pPr>
              <w:pStyle w:val="Compact"/>
              <w:spacing w:line="240" w:lineRule="auto"/>
            </w:pPr>
            <w:r>
              <w:rPr>
                <w:color w:val="FF0000"/>
                <w:sz w:val="22"/>
              </w:rPr>
              <w:t xml:space="preserve">K1. CET1 monandligi, %</w:t>
            </w:r>
          </w:p>
        </w:tc>
        <w:tc>
          <w:tcPr>
            <w:tcW w:w="1758" w:type="dxa"/>
          </w:tcPr>
          <w:p w:rsidR="005603EC" w:rsidRDefault="00AB61AC">
            <w:pPr>
              <w:pStyle w:val="Compact"/>
              <w:spacing w:line="240" w:lineRule="auto"/>
              <w:jc w:val="center"/>
            </w:pPr>
            <w:r>
              <w:rPr>
                <w:color w:val="FF0000"/>
                <w:sz w:val="22"/>
              </w:rPr>
              <w:t xml:space="preserve">8,87 (3,35)</w:t>
            </w:r>
          </w:p>
        </w:tc>
        <w:tc>
          <w:tcPr>
            <w:tcW w:w="1758" w:type="dxa"/>
          </w:tcPr>
          <w:p w:rsidR="005603EC" w:rsidRDefault="00AB61AC">
            <w:pPr>
              <w:pStyle w:val="Compact"/>
              <w:spacing w:line="240" w:lineRule="auto"/>
              <w:jc w:val="center"/>
            </w:pPr>
            <w:r>
              <w:rPr>
                <w:color w:val="FF0000"/>
                <w:sz w:val="22"/>
              </w:rPr>
              <w:t xml:space="preserve">18,24 (4,00)</w:t>
            </w:r>
          </w:p>
        </w:tc>
        <w:tc>
          <w:tcPr>
            <w:tcW w:w="1758" w:type="dxa"/>
          </w:tcPr>
          <w:p w:rsidR="005603EC" w:rsidRDefault="00AB61AC">
            <w:pPr>
              <w:pStyle w:val="Compact"/>
              <w:spacing w:line="240" w:lineRule="auto"/>
              <w:jc w:val="center"/>
            </w:pPr>
            <w:r>
              <w:rPr>
                <w:color w:val="FF0000"/>
                <w:sz w:val="22"/>
              </w:rPr>
              <w:t xml:space="preserve">9,76 (3,70)</w:t>
            </w:r>
          </w:p>
        </w:tc>
      </w:tr>
      <w:tr w:rsidR="005603EC" w:rsidTr="005603EC">
        <w:trPr>
          <w:cantSplit/>
        </w:trPr>
        <w:tc>
          <w:tcPr>
            <w:tcW w:w="4082" w:type="dxa"/>
          </w:tcPr>
          <w:p w:rsidR="005603EC" w:rsidRDefault="00AB61AC">
            <w:pPr>
              <w:pStyle w:val="Compact"/>
              <w:spacing w:line="240" w:lineRule="auto"/>
            </w:pPr>
            <w:r>
              <w:rPr>
                <w:color w:val="FF0000"/>
                <w:sz w:val="22"/>
              </w:rPr>
              <w:t xml:space="preserve">K2. Regulyativ kapital monandligi, %</w:t>
            </w:r>
          </w:p>
        </w:tc>
        <w:tc>
          <w:tcPr>
            <w:tcW w:w="1758" w:type="dxa"/>
          </w:tcPr>
          <w:p w:rsidR="005603EC" w:rsidRDefault="00AB61AC">
            <w:pPr>
              <w:pStyle w:val="Compact"/>
              <w:spacing w:line="240" w:lineRule="auto"/>
              <w:jc w:val="center"/>
            </w:pPr>
            <w:r>
              <w:rPr>
                <w:color w:val="FF0000"/>
                <w:sz w:val="22"/>
              </w:rPr>
              <w:t xml:space="preserve">15,32 (3,93)</w:t>
            </w:r>
          </w:p>
        </w:tc>
        <w:tc>
          <w:tcPr>
            <w:tcW w:w="1758" w:type="dxa"/>
          </w:tcPr>
          <w:p w:rsidR="005603EC" w:rsidRDefault="00AB61AC">
            <w:pPr>
              <w:pStyle w:val="Compact"/>
              <w:spacing w:line="240" w:lineRule="auto"/>
              <w:jc w:val="center"/>
            </w:pPr>
            <w:r>
              <w:rPr>
                <w:color w:val="FF0000"/>
                <w:sz w:val="22"/>
              </w:rPr>
              <w:t xml:space="preserve">19,96 (4,00)</w:t>
            </w:r>
          </w:p>
        </w:tc>
        <w:tc>
          <w:tcPr>
            <w:tcW w:w="1758" w:type="dxa"/>
          </w:tcPr>
          <w:p w:rsidR="005603EC" w:rsidRDefault="00AB61AC">
            <w:pPr>
              <w:pStyle w:val="Compact"/>
              <w:spacing w:line="240" w:lineRule="auto"/>
              <w:jc w:val="center"/>
            </w:pPr>
            <w:r>
              <w:rPr>
                <w:color w:val="FF0000"/>
                <w:sz w:val="22"/>
              </w:rPr>
              <w:t xml:space="preserve">13,11 (3,04)</w:t>
            </w:r>
          </w:p>
        </w:tc>
      </w:tr>
      <w:tr w:rsidR="005603EC" w:rsidTr="005603EC">
        <w:trPr>
          <w:cantSplit/>
        </w:trPr>
        <w:tc>
          <w:tcPr>
            <w:tcW w:w="4082" w:type="dxa"/>
          </w:tcPr>
          <w:p w:rsidR="005603EC" w:rsidRDefault="00AB61AC">
            <w:pPr>
              <w:pStyle w:val="Compact"/>
              <w:spacing w:line="240" w:lineRule="auto"/>
            </w:pPr>
            <w:r>
              <w:rPr>
                <w:color w:val="FF0000"/>
                <w:sz w:val="22"/>
              </w:rPr>
              <w:t xml:space="preserve">K3. Kapital / aktivlar, %</w:t>
            </w:r>
          </w:p>
        </w:tc>
        <w:tc>
          <w:tcPr>
            <w:tcW w:w="1758" w:type="dxa"/>
          </w:tcPr>
          <w:p w:rsidR="005603EC" w:rsidRDefault="00AB61AC">
            <w:pPr>
              <w:pStyle w:val="Compact"/>
              <w:spacing w:line="240" w:lineRule="auto"/>
              <w:jc w:val="center"/>
            </w:pPr>
            <w:r>
              <w:rPr>
                <w:color w:val="FF0000"/>
                <w:sz w:val="22"/>
              </w:rPr>
              <w:t xml:space="preserve">10,6 (4,00)</w:t>
            </w:r>
          </w:p>
        </w:tc>
        <w:tc>
          <w:tcPr>
            <w:tcW w:w="1758" w:type="dxa"/>
          </w:tcPr>
          <w:p w:rsidR="005603EC" w:rsidRDefault="00AB61AC">
            <w:pPr>
              <w:pStyle w:val="Compact"/>
              <w:spacing w:line="240" w:lineRule="auto"/>
              <w:jc w:val="center"/>
            </w:pPr>
            <w:r>
              <w:rPr>
                <w:color w:val="FF0000"/>
                <w:sz w:val="22"/>
              </w:rPr>
              <w:t xml:space="preserve">20,2 (4,00)</w:t>
            </w:r>
          </w:p>
        </w:tc>
        <w:tc>
          <w:tcPr>
            <w:tcW w:w="1758" w:type="dxa"/>
          </w:tcPr>
          <w:p w:rsidR="005603EC" w:rsidRDefault="00AB61AC">
            <w:pPr>
              <w:pStyle w:val="Compact"/>
              <w:spacing w:line="240" w:lineRule="auto"/>
              <w:jc w:val="center"/>
            </w:pPr>
            <w:r>
              <w:rPr>
                <w:color w:val="FF0000"/>
                <w:sz w:val="22"/>
              </w:rPr>
              <w:t xml:space="preserve">11,1 (4,00)</w:t>
            </w:r>
          </w:p>
        </w:tc>
      </w:tr>
      <w:tr w:rsidR="005603EC" w:rsidTr="005603EC">
        <w:trPr>
          <w:cantSplit/>
        </w:trPr>
        <w:tc>
          <w:tcPr>
            <w:tcW w:w="4082" w:type="dxa"/>
          </w:tcPr>
          <w:p w:rsidR="005603EC" w:rsidRDefault="00AB61AC">
            <w:pPr>
              <w:pStyle w:val="Compact"/>
              <w:spacing w:line="240" w:lineRule="auto"/>
            </w:pPr>
            <w:r>
              <w:rPr>
                <w:color w:val="FF0000"/>
                <w:sz w:val="22"/>
              </w:rPr>
              <w:t xml:space="preserve">A1. 3-bosqich kreditlar ulushi, %</w:t>
            </w:r>
          </w:p>
        </w:tc>
        <w:tc>
          <w:tcPr>
            <w:tcW w:w="1758" w:type="dxa"/>
          </w:tcPr>
          <w:p w:rsidR="005603EC" w:rsidRDefault="00AB61AC">
            <w:pPr>
              <w:pStyle w:val="Compact"/>
              <w:spacing w:line="240" w:lineRule="auto"/>
              <w:jc w:val="center"/>
            </w:pPr>
            <w:r>
              <w:rPr>
                <w:color w:val="FF0000"/>
                <w:sz w:val="22"/>
              </w:rPr>
              <w:t xml:space="preserve">7,5 (2,50)</w:t>
            </w:r>
          </w:p>
        </w:tc>
        <w:tc>
          <w:tcPr>
            <w:tcW w:w="1758" w:type="dxa"/>
          </w:tcPr>
          <w:p w:rsidR="005603EC" w:rsidRDefault="00AB61AC">
            <w:pPr>
              <w:pStyle w:val="Compact"/>
              <w:spacing w:line="240" w:lineRule="auto"/>
              <w:jc w:val="center"/>
            </w:pPr>
            <w:r>
              <w:rPr>
                <w:color w:val="FF0000"/>
                <w:sz w:val="22"/>
              </w:rPr>
              <w:t xml:space="preserve">12,3 (1,53)</w:t>
            </w:r>
          </w:p>
        </w:tc>
        <w:tc>
          <w:tcPr>
            <w:tcW w:w="1758" w:type="dxa"/>
          </w:tcPr>
          <w:p w:rsidR="005603EC" w:rsidRDefault="00AB61AC">
            <w:pPr>
              <w:pStyle w:val="Compact"/>
              <w:spacing w:line="240" w:lineRule="auto"/>
              <w:jc w:val="center"/>
            </w:pPr>
            <w:r>
              <w:rPr>
                <w:color w:val="FF0000"/>
                <w:sz w:val="22"/>
              </w:rPr>
              <w:t xml:space="preserve">7,2 (2,56)</w:t>
            </w:r>
          </w:p>
        </w:tc>
      </w:tr>
      <w:tr w:rsidR="005603EC" w:rsidTr="005603EC">
        <w:trPr>
          <w:cantSplit/>
        </w:trPr>
        <w:tc>
          <w:tcPr>
            <w:tcW w:w="4082" w:type="dxa"/>
          </w:tcPr>
          <w:p w:rsidR="005603EC" w:rsidRDefault="00AB61AC">
            <w:pPr>
              <w:pStyle w:val="Compact"/>
              <w:spacing w:line="240" w:lineRule="auto"/>
            </w:pPr>
            <w:r>
              <w:rPr>
                <w:color w:val="FF0000"/>
                <w:sz w:val="22"/>
              </w:rPr>
              <w:t xml:space="preserve">A2. 2-bosqich kreditlar ulushi, %</w:t>
            </w:r>
          </w:p>
        </w:tc>
        <w:tc>
          <w:tcPr>
            <w:tcW w:w="1758" w:type="dxa"/>
          </w:tcPr>
          <w:p w:rsidR="005603EC" w:rsidRDefault="00AB61AC">
            <w:pPr>
              <w:pStyle w:val="Compact"/>
              <w:spacing w:line="240" w:lineRule="auto"/>
              <w:jc w:val="center"/>
            </w:pPr>
            <w:r>
              <w:rPr>
                <w:color w:val="FF0000"/>
                <w:sz w:val="22"/>
              </w:rPr>
              <w:t xml:space="preserve">35,7 (1,00)</w:t>
            </w:r>
          </w:p>
        </w:tc>
        <w:tc>
          <w:tcPr>
            <w:tcW w:w="1758" w:type="dxa"/>
          </w:tcPr>
          <w:p w:rsidR="005603EC" w:rsidRDefault="00AB61AC">
            <w:pPr>
              <w:pStyle w:val="Compact"/>
              <w:spacing w:line="240" w:lineRule="auto"/>
              <w:jc w:val="center"/>
            </w:pPr>
            <w:r>
              <w:rPr>
                <w:color w:val="FF0000"/>
                <w:sz w:val="22"/>
              </w:rPr>
              <w:t xml:space="preserve">25,3 (1,97)</w:t>
            </w:r>
          </w:p>
        </w:tc>
        <w:tc>
          <w:tcPr>
            <w:tcW w:w="1758" w:type="dxa"/>
          </w:tcPr>
          <w:p w:rsidR="005603EC" w:rsidRDefault="00AB61AC">
            <w:pPr>
              <w:pStyle w:val="Compact"/>
              <w:spacing w:line="240" w:lineRule="auto"/>
              <w:jc w:val="center"/>
            </w:pPr>
            <w:r>
              <w:rPr>
                <w:color w:val="FF0000"/>
                <w:sz w:val="22"/>
              </w:rPr>
              <w:t xml:space="preserve">6,6 (4,00)</w:t>
            </w:r>
          </w:p>
        </w:tc>
      </w:tr>
      <w:tr w:rsidR="005603EC" w:rsidTr="005603EC">
        <w:trPr>
          <w:cantSplit/>
        </w:trPr>
        <w:tc>
          <w:tcPr>
            <w:tcW w:w="4082" w:type="dxa"/>
          </w:tcPr>
          <w:p w:rsidR="005603EC" w:rsidRDefault="00AB61AC">
            <w:pPr>
              <w:pStyle w:val="Compact"/>
              <w:spacing w:line="240" w:lineRule="auto"/>
            </w:pPr>
            <w:r>
              <w:rPr>
                <w:color w:val="FF0000"/>
                <w:sz w:val="22"/>
              </w:rPr>
              <w:t xml:space="preserve">A3. Qoplanmagan muammoli kreditlar / kapital, %</w:t>
            </w:r>
          </w:p>
        </w:tc>
        <w:tc>
          <w:tcPr>
            <w:tcW w:w="1758" w:type="dxa"/>
          </w:tcPr>
          <w:p w:rsidR="005603EC" w:rsidRDefault="00AB61AC">
            <w:pPr>
              <w:pStyle w:val="Compact"/>
              <w:spacing w:line="240" w:lineRule="auto"/>
              <w:jc w:val="center"/>
            </w:pPr>
            <w:r>
              <w:rPr>
                <w:color w:val="FF0000"/>
                <w:sz w:val="22"/>
              </w:rPr>
              <w:t xml:space="preserve">6,5 (3,35)</w:t>
            </w:r>
          </w:p>
        </w:tc>
        <w:tc>
          <w:tcPr>
            <w:tcW w:w="1758" w:type="dxa"/>
          </w:tcPr>
          <w:p w:rsidR="005603EC" w:rsidRDefault="00AB61AC">
            <w:pPr>
              <w:pStyle w:val="Compact"/>
              <w:spacing w:line="240" w:lineRule="auto"/>
              <w:jc w:val="center"/>
            </w:pPr>
            <w:r>
              <w:rPr>
                <w:color w:val="FF0000"/>
                <w:sz w:val="22"/>
              </w:rPr>
              <w:t xml:space="preserve">29,1 (1,09)</w:t>
            </w:r>
          </w:p>
        </w:tc>
        <w:tc>
          <w:tcPr>
            <w:tcW w:w="1758" w:type="dxa"/>
          </w:tcPr>
          <w:p w:rsidR="005603EC" w:rsidRDefault="00AB61AC">
            <w:pPr>
              <w:pStyle w:val="Compact"/>
              <w:spacing w:line="240" w:lineRule="auto"/>
              <w:jc w:val="center"/>
            </w:pPr>
            <w:r>
              <w:rPr>
                <w:color w:val="FF0000"/>
                <w:sz w:val="22"/>
              </w:rPr>
              <w:t xml:space="preserve">17,8 (2,22)</w:t>
            </w:r>
          </w:p>
        </w:tc>
      </w:tr>
      <w:tr w:rsidR="005603EC" w:rsidTr="005603EC">
        <w:trPr>
          <w:cantSplit/>
        </w:trPr>
        <w:tc>
          <w:tcPr>
            <w:tcW w:w="4082" w:type="dxa"/>
          </w:tcPr>
          <w:p w:rsidR="005603EC" w:rsidRDefault="00AB61AC">
            <w:pPr>
              <w:pStyle w:val="Compact"/>
              <w:spacing w:line="240" w:lineRule="auto"/>
            </w:pPr>
            <w:r>
              <w:rPr>
                <w:color w:val="FF0000"/>
                <w:sz w:val="22"/>
              </w:rPr>
              <w:t xml:space="preserve">L1. Yuqori likvid aktivlar / aktivlar, %</w:t>
            </w:r>
          </w:p>
        </w:tc>
        <w:tc>
          <w:tcPr>
            <w:tcW w:w="1758" w:type="dxa"/>
          </w:tcPr>
          <w:p w:rsidR="005603EC" w:rsidRDefault="00AB61AC">
            <w:pPr>
              <w:pStyle w:val="Compact"/>
              <w:spacing w:line="240" w:lineRule="auto"/>
              <w:jc w:val="center"/>
            </w:pPr>
            <w:r>
              <w:rPr>
                <w:color w:val="FF0000"/>
                <w:sz w:val="22"/>
              </w:rPr>
              <w:t xml:space="preserve">18,3 (3,66)</w:t>
            </w:r>
          </w:p>
        </w:tc>
        <w:tc>
          <w:tcPr>
            <w:tcW w:w="1758" w:type="dxa"/>
          </w:tcPr>
          <w:p w:rsidR="005603EC" w:rsidRDefault="00AB61AC">
            <w:pPr>
              <w:pStyle w:val="Compact"/>
              <w:spacing w:line="240" w:lineRule="auto"/>
              <w:jc w:val="center"/>
            </w:pPr>
            <w:r>
              <w:rPr>
                <w:color w:val="FF0000"/>
                <w:sz w:val="22"/>
              </w:rPr>
              <w:t xml:space="preserve">15,5 (3,09)</w:t>
            </w:r>
          </w:p>
        </w:tc>
        <w:tc>
          <w:tcPr>
            <w:tcW w:w="1758" w:type="dxa"/>
          </w:tcPr>
          <w:p w:rsidR="005603EC" w:rsidRDefault="00AB61AC">
            <w:pPr>
              <w:pStyle w:val="Compact"/>
              <w:spacing w:line="240" w:lineRule="auto"/>
              <w:jc w:val="center"/>
            </w:pPr>
            <w:r>
              <w:rPr>
                <w:color w:val="FF0000"/>
                <w:sz w:val="22"/>
              </w:rPr>
              <w:t xml:space="preserve">12,7 (2,54)</w:t>
            </w:r>
          </w:p>
        </w:tc>
      </w:tr>
      <w:tr w:rsidR="005603EC" w:rsidTr="005603EC">
        <w:trPr>
          <w:cantSplit/>
        </w:trPr>
        <w:tc>
          <w:tcPr>
            <w:tcW w:w="4082" w:type="dxa"/>
          </w:tcPr>
          <w:p w:rsidR="005603EC" w:rsidRDefault="00AB61AC">
            <w:pPr>
              <w:pStyle w:val="Compact"/>
              <w:spacing w:line="240" w:lineRule="auto"/>
            </w:pPr>
            <w:r>
              <w:rPr>
                <w:color w:val="FF0000"/>
                <w:sz w:val="22"/>
              </w:rPr>
              <w:t xml:space="preserve">L2. Kreditlar / depozitlar, %</w:t>
            </w:r>
          </w:p>
        </w:tc>
        <w:tc>
          <w:tcPr>
            <w:tcW w:w="1758" w:type="dxa"/>
          </w:tcPr>
          <w:p w:rsidR="005603EC" w:rsidRDefault="00AB61AC">
            <w:pPr>
              <w:pStyle w:val="Compact"/>
              <w:spacing w:line="240" w:lineRule="auto"/>
              <w:jc w:val="center"/>
            </w:pPr>
            <w:r>
              <w:rPr>
                <w:color w:val="FF0000"/>
                <w:sz w:val="22"/>
              </w:rPr>
              <w:t xml:space="preserve">221,0 (1,00)</w:t>
            </w:r>
          </w:p>
        </w:tc>
        <w:tc>
          <w:tcPr>
            <w:tcW w:w="1758" w:type="dxa"/>
          </w:tcPr>
          <w:p w:rsidR="005603EC" w:rsidRDefault="00AB61AC">
            <w:pPr>
              <w:pStyle w:val="Compact"/>
              <w:spacing w:line="240" w:lineRule="auto"/>
              <w:jc w:val="center"/>
            </w:pPr>
            <w:r>
              <w:rPr>
                <w:color w:val="FF0000"/>
                <w:sz w:val="22"/>
              </w:rPr>
              <w:t xml:space="preserve">324,5 (1,00)</w:t>
            </w:r>
          </w:p>
        </w:tc>
        <w:tc>
          <w:tcPr>
            <w:tcW w:w="1758" w:type="dxa"/>
          </w:tcPr>
          <w:p w:rsidR="005603EC" w:rsidRDefault="00AB61AC">
            <w:pPr>
              <w:pStyle w:val="Compact"/>
              <w:spacing w:line="240" w:lineRule="auto"/>
              <w:jc w:val="center"/>
            </w:pPr>
            <w:r>
              <w:rPr>
                <w:color w:val="FF0000"/>
                <w:sz w:val="22"/>
              </w:rPr>
              <w:t xml:space="preserve">140,1 (2,20)</w:t>
            </w:r>
          </w:p>
        </w:tc>
      </w:tr>
      <w:tr w:rsidR="005603EC" w:rsidTr="005603EC">
        <w:trPr>
          <w:cantSplit/>
        </w:trPr>
        <w:tc>
          <w:tcPr>
            <w:tcW w:w="4082" w:type="dxa"/>
          </w:tcPr>
          <w:p w:rsidR="005603EC" w:rsidRDefault="00AB61AC">
            <w:pPr>
              <w:pStyle w:val="Compact"/>
              <w:spacing w:line="240" w:lineRule="auto"/>
            </w:pPr>
            <w:r>
              <w:rPr>
                <w:color w:val="FF0000"/>
                <w:sz w:val="22"/>
              </w:rPr>
              <w:t xml:space="preserve">D1. ROA, %</w:t>
            </w:r>
          </w:p>
        </w:tc>
        <w:tc>
          <w:tcPr>
            <w:tcW w:w="1758" w:type="dxa"/>
          </w:tcPr>
          <w:p w:rsidR="005603EC" w:rsidRDefault="00AB61AC">
            <w:pPr>
              <w:pStyle w:val="Compact"/>
              <w:spacing w:line="240" w:lineRule="auto"/>
              <w:jc w:val="center"/>
            </w:pPr>
            <w:r>
              <w:rPr>
                <w:color w:val="FF0000"/>
                <w:sz w:val="22"/>
              </w:rPr>
              <w:t xml:space="preserve">1,7 (3,49)</w:t>
            </w:r>
          </w:p>
        </w:tc>
        <w:tc>
          <w:tcPr>
            <w:tcW w:w="1758" w:type="dxa"/>
          </w:tcPr>
          <w:p w:rsidR="005603EC" w:rsidRDefault="00AB61AC">
            <w:pPr>
              <w:pStyle w:val="Compact"/>
              <w:spacing w:line="240" w:lineRule="auto"/>
              <w:jc w:val="center"/>
            </w:pPr>
            <w:r>
              <w:rPr>
                <w:color w:val="FF0000"/>
                <w:sz w:val="22"/>
              </w:rPr>
              <w:t xml:space="preserve">0,2 (1,22)</w:t>
            </w:r>
          </w:p>
        </w:tc>
        <w:tc>
          <w:tcPr>
            <w:tcW w:w="1758" w:type="dxa"/>
          </w:tcPr>
          <w:p w:rsidR="005603EC" w:rsidRDefault="00AB61AC">
            <w:pPr>
              <w:pStyle w:val="Compact"/>
              <w:spacing w:line="240" w:lineRule="auto"/>
              <w:jc w:val="center"/>
            </w:pPr>
            <w:r>
              <w:rPr>
                <w:color w:val="FF0000"/>
                <w:sz w:val="22"/>
              </w:rPr>
              <w:t xml:space="preserve">−0,7 (1,00)</w:t>
            </w:r>
          </w:p>
        </w:tc>
      </w:tr>
      <w:tr w:rsidR="005603EC" w:rsidTr="005603EC">
        <w:trPr>
          <w:cantSplit/>
        </w:trPr>
        <w:tc>
          <w:tcPr>
            <w:tcW w:w="4082" w:type="dxa"/>
          </w:tcPr>
          <w:p w:rsidR="005603EC" w:rsidRDefault="00AB61AC">
            <w:pPr>
              <w:pStyle w:val="Compact"/>
              <w:spacing w:line="240" w:lineRule="auto"/>
            </w:pPr>
            <w:r>
              <w:rPr>
                <w:color w:val="FF0000"/>
                <w:sz w:val="22"/>
              </w:rPr>
              <w:t xml:space="preserve">D2. ROE, %</w:t>
            </w:r>
          </w:p>
        </w:tc>
        <w:tc>
          <w:tcPr>
            <w:tcW w:w="1758" w:type="dxa"/>
          </w:tcPr>
          <w:p w:rsidR="005603EC" w:rsidRDefault="00AB61AC">
            <w:pPr>
              <w:pStyle w:val="Compact"/>
              <w:spacing w:line="240" w:lineRule="auto"/>
              <w:jc w:val="center"/>
            </w:pPr>
            <w:r>
              <w:rPr>
                <w:color w:val="FF0000"/>
                <w:sz w:val="22"/>
              </w:rPr>
              <w:t xml:space="preserve">15,7 (4,00)</w:t>
            </w:r>
          </w:p>
        </w:tc>
        <w:tc>
          <w:tcPr>
            <w:tcW w:w="1758" w:type="dxa"/>
          </w:tcPr>
          <w:p w:rsidR="005603EC" w:rsidRDefault="00AB61AC">
            <w:pPr>
              <w:pStyle w:val="Compact"/>
              <w:spacing w:line="240" w:lineRule="auto"/>
              <w:jc w:val="center"/>
            </w:pPr>
            <w:r>
              <w:rPr>
                <w:color w:val="FF0000"/>
                <w:sz w:val="22"/>
              </w:rPr>
              <w:t xml:space="preserve">0,8 (1,16)</w:t>
            </w:r>
          </w:p>
        </w:tc>
        <w:tc>
          <w:tcPr>
            <w:tcW w:w="1758" w:type="dxa"/>
          </w:tcPr>
          <w:p w:rsidR="005603EC" w:rsidRDefault="00AB61AC">
            <w:pPr>
              <w:pStyle w:val="Compact"/>
              <w:spacing w:line="240" w:lineRule="auto"/>
              <w:jc w:val="center"/>
            </w:pPr>
            <w:r>
              <w:rPr>
                <w:color w:val="FF0000"/>
                <w:sz w:val="22"/>
              </w:rPr>
              <w:t xml:space="preserve">−5,9 (1,00)</w:t>
            </w:r>
          </w:p>
        </w:tc>
      </w:tr>
      <w:tr w:rsidR="005603EC" w:rsidTr="005603EC">
        <w:trPr>
          <w:cantSplit/>
        </w:trPr>
        <w:tc>
          <w:tcPr>
            <w:tcW w:w="4082" w:type="dxa"/>
          </w:tcPr>
          <w:p w:rsidR="005603EC" w:rsidRDefault="00AB61AC">
            <w:pPr>
              <w:pStyle w:val="Compact"/>
              <w:spacing w:line="240" w:lineRule="auto"/>
            </w:pPr>
            <w:r>
              <w:rPr>
                <w:color w:val="FF0000"/>
                <w:sz w:val="22"/>
              </w:rPr>
              <w:t xml:space="preserve">D3. Xarajatlar / daromadlar, %</w:t>
            </w:r>
          </w:p>
        </w:tc>
        <w:tc>
          <w:tcPr>
            <w:tcW w:w="1758" w:type="dxa"/>
          </w:tcPr>
          <w:p w:rsidR="005603EC" w:rsidRDefault="00AB61AC">
            <w:pPr>
              <w:pStyle w:val="Compact"/>
              <w:spacing w:line="240" w:lineRule="auto"/>
              <w:jc w:val="center"/>
            </w:pPr>
            <w:r>
              <w:rPr>
                <w:color w:val="FF0000"/>
                <w:sz w:val="22"/>
              </w:rPr>
              <w:t xml:space="preserve">41,5 (4,00)</w:t>
            </w:r>
          </w:p>
        </w:tc>
        <w:tc>
          <w:tcPr>
            <w:tcW w:w="1758" w:type="dxa"/>
          </w:tcPr>
          <w:p w:rsidR="005603EC" w:rsidRDefault="00AB61AC">
            <w:pPr>
              <w:pStyle w:val="Compact"/>
              <w:spacing w:line="240" w:lineRule="auto"/>
              <w:jc w:val="center"/>
            </w:pPr>
            <w:r>
              <w:rPr>
                <w:color w:val="FF0000"/>
                <w:sz w:val="22"/>
              </w:rPr>
              <w:t xml:space="preserve">87,6 (1,62)</w:t>
            </w:r>
          </w:p>
        </w:tc>
        <w:tc>
          <w:tcPr>
            <w:tcW w:w="1758" w:type="dxa"/>
          </w:tcPr>
          <w:p w:rsidR="005603EC" w:rsidRDefault="00AB61AC">
            <w:pPr>
              <w:pStyle w:val="Compact"/>
              <w:spacing w:line="240" w:lineRule="auto"/>
              <w:jc w:val="center"/>
            </w:pPr>
            <w:r>
              <w:rPr>
                <w:color w:val="FF0000"/>
                <w:sz w:val="22"/>
              </w:rPr>
              <w:t xml:space="preserve">89,0 (1,55)</w:t>
            </w:r>
          </w:p>
        </w:tc>
      </w:tr>
      <w:tr w:rsidR="005603EC" w:rsidTr="005603EC">
        <w:trPr>
          <w:cantSplit/>
        </w:trPr>
        <w:tc>
          <w:tcPr>
            <w:tcW w:w="4082" w:type="dxa"/>
          </w:tcPr>
          <w:p w:rsidR="005603EC" w:rsidRDefault="00AB61AC">
            <w:pPr>
              <w:pStyle w:val="Compact"/>
              <w:spacing w:line="240" w:lineRule="auto"/>
            </w:pPr>
            <w:r>
              <w:rPr>
                <w:color w:val="FF0000"/>
                <w:sz w:val="22"/>
              </w:rPr>
              <w:t xml:space="preserve">V1. Xorijiy valyutadagi kreditlar, %</w:t>
            </w:r>
          </w:p>
        </w:tc>
        <w:tc>
          <w:tcPr>
            <w:tcW w:w="1758" w:type="dxa"/>
          </w:tcPr>
          <w:p w:rsidR="005603EC" w:rsidRDefault="00AB61AC">
            <w:pPr>
              <w:pStyle w:val="Compact"/>
              <w:spacing w:line="240" w:lineRule="auto"/>
              <w:jc w:val="center"/>
            </w:pPr>
            <w:r>
              <w:rPr>
                <w:color w:val="FF0000"/>
                <w:sz w:val="22"/>
              </w:rPr>
              <w:t xml:space="preserve">61,2 (1,25)</w:t>
            </w:r>
          </w:p>
        </w:tc>
        <w:tc>
          <w:tcPr>
            <w:tcW w:w="1758" w:type="dxa"/>
          </w:tcPr>
          <w:p w:rsidR="005603EC" w:rsidRDefault="00AB61AC">
            <w:pPr>
              <w:pStyle w:val="Compact"/>
              <w:spacing w:line="240" w:lineRule="auto"/>
              <w:jc w:val="center"/>
            </w:pPr>
            <w:r>
              <w:rPr>
                <w:color w:val="FF0000"/>
                <w:sz w:val="22"/>
              </w:rPr>
              <w:t xml:space="preserve">–</w:t>
            </w:r>
          </w:p>
        </w:tc>
        <w:tc>
          <w:tcPr>
            <w:tcW w:w="1758" w:type="dxa"/>
          </w:tcPr>
          <w:p w:rsidR="005603EC" w:rsidRDefault="00AB61AC">
            <w:pPr>
              <w:pStyle w:val="Compact"/>
              <w:spacing w:line="240" w:lineRule="auto"/>
              <w:jc w:val="center"/>
            </w:pPr>
            <w:r>
              <w:rPr>
                <w:color w:val="FF0000"/>
                <w:sz w:val="22"/>
              </w:rPr>
              <w:t xml:space="preserve">–</w:t>
            </w:r>
          </w:p>
        </w:tc>
      </w:tr>
      <w:tr w:rsidR="005603EC" w:rsidTr="005603EC">
        <w:trPr>
          <w:cantSplit/>
        </w:trPr>
        <w:tc>
          <w:tcPr>
            <w:tcW w:w="4082" w:type="dxa"/>
          </w:tcPr>
          <w:p w:rsidR="005603EC" w:rsidRDefault="00AB61AC">
            <w:pPr>
              <w:pStyle w:val="Compact"/>
              <w:spacing w:line="240" w:lineRule="auto"/>
            </w:pPr>
            <w:r>
              <w:rPr>
                <w:color w:val="FF0000"/>
                <w:sz w:val="22"/>
              </w:rPr>
              <w:t xml:space="preserve">V2. Xorijiy valyutadagi majburiyatlar, %</w:t>
            </w:r>
          </w:p>
        </w:tc>
        <w:tc>
          <w:tcPr>
            <w:tcW w:w="1758" w:type="dxa"/>
          </w:tcPr>
          <w:p w:rsidR="005603EC" w:rsidRDefault="00AB61AC">
            <w:pPr>
              <w:pStyle w:val="Compact"/>
              <w:spacing w:line="240" w:lineRule="auto"/>
              <w:jc w:val="center"/>
            </w:pPr>
            <w:r>
              <w:rPr>
                <w:color w:val="FF0000"/>
                <w:sz w:val="22"/>
              </w:rPr>
              <w:t xml:space="preserve">60,4 (1,64)</w:t>
            </w:r>
          </w:p>
        </w:tc>
        <w:tc>
          <w:tcPr>
            <w:tcW w:w="1758" w:type="dxa"/>
          </w:tcPr>
          <w:p w:rsidR="005603EC" w:rsidRDefault="00AB61AC">
            <w:pPr>
              <w:pStyle w:val="Compact"/>
              <w:spacing w:line="240" w:lineRule="auto"/>
              <w:jc w:val="center"/>
            </w:pPr>
            <w:r>
              <w:rPr>
                <w:color w:val="FF0000"/>
                <w:sz w:val="22"/>
              </w:rPr>
              <w:t xml:space="preserve">22,4 (4,00)</w:t>
            </w:r>
          </w:p>
        </w:tc>
        <w:tc>
          <w:tcPr>
            <w:tcW w:w="1758" w:type="dxa"/>
          </w:tcPr>
          <w:p w:rsidR="005603EC" w:rsidRDefault="00AB61AC">
            <w:pPr>
              <w:pStyle w:val="Compact"/>
              <w:spacing w:line="240" w:lineRule="auto"/>
              <w:jc w:val="center"/>
            </w:pPr>
            <w:r>
              <w:rPr>
                <w:color w:val="FF0000"/>
                <w:sz w:val="22"/>
              </w:rPr>
              <w:t xml:space="preserve">31,4 (3,57)</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Kapital yetarliligi bloki</w:t>
            </w:r>
          </w:p>
        </w:tc>
        <w:tc>
          <w:tcPr>
            <w:tcW w:w="1758" w:type="dxa"/>
          </w:tcPr>
          <w:p w:rsidR="005603EC" w:rsidRDefault="00AB61AC">
            <w:pPr>
              <w:pStyle w:val="Compact"/>
              <w:spacing w:line="240" w:lineRule="auto"/>
              <w:jc w:val="center"/>
            </w:pPr>
            <w:r>
              <w:rPr>
                <w:b/>
                <w:bCs/>
                <w:color w:val="FF0000"/>
                <w:sz w:val="22"/>
              </w:rPr>
              <w:t xml:space="preserve">3,76</w:t>
            </w:r>
          </w:p>
        </w:tc>
        <w:tc>
          <w:tcPr>
            <w:tcW w:w="1758" w:type="dxa"/>
          </w:tcPr>
          <w:p w:rsidR="005603EC" w:rsidRDefault="00AB61AC">
            <w:pPr>
              <w:pStyle w:val="Compact"/>
              <w:spacing w:line="240" w:lineRule="auto"/>
              <w:jc w:val="center"/>
            </w:pPr>
            <w:r>
              <w:rPr>
                <w:b/>
                <w:bCs/>
                <w:color w:val="FF0000"/>
                <w:sz w:val="22"/>
              </w:rPr>
              <w:t xml:space="preserve">4,00</w:t>
            </w:r>
          </w:p>
        </w:tc>
        <w:tc>
          <w:tcPr>
            <w:tcW w:w="1758" w:type="dxa"/>
          </w:tcPr>
          <w:p w:rsidR="005603EC" w:rsidRDefault="00AB61AC">
            <w:pPr>
              <w:pStyle w:val="Compact"/>
              <w:spacing w:line="240" w:lineRule="auto"/>
              <w:jc w:val="center"/>
            </w:pPr>
            <w:r>
              <w:rPr>
                <w:b/>
                <w:bCs/>
                <w:color w:val="FF0000"/>
                <w:sz w:val="22"/>
              </w:rPr>
              <w:t xml:space="preserve">3,58</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Aktivlar sifati bloki</w:t>
            </w:r>
          </w:p>
        </w:tc>
        <w:tc>
          <w:tcPr>
            <w:tcW w:w="1758" w:type="dxa"/>
          </w:tcPr>
          <w:p w:rsidR="005603EC" w:rsidRDefault="00AB61AC">
            <w:pPr>
              <w:pStyle w:val="Compact"/>
              <w:spacing w:line="240" w:lineRule="auto"/>
              <w:jc w:val="center"/>
            </w:pPr>
            <w:r>
              <w:rPr>
                <w:b/>
                <w:bCs/>
                <w:color w:val="FF0000"/>
                <w:sz w:val="22"/>
              </w:rPr>
              <w:t xml:space="preserve">2,28</w:t>
            </w:r>
          </w:p>
        </w:tc>
        <w:tc>
          <w:tcPr>
            <w:tcW w:w="1758" w:type="dxa"/>
          </w:tcPr>
          <w:p w:rsidR="005603EC" w:rsidRDefault="00AB61AC">
            <w:pPr>
              <w:pStyle w:val="Compact"/>
              <w:spacing w:line="240" w:lineRule="auto"/>
              <w:jc w:val="center"/>
            </w:pPr>
            <w:r>
              <w:rPr>
                <w:b/>
                <w:bCs/>
                <w:color w:val="FF0000"/>
                <w:sz w:val="22"/>
              </w:rPr>
              <w:t xml:space="preserve">1,53</w:t>
            </w:r>
          </w:p>
        </w:tc>
        <w:tc>
          <w:tcPr>
            <w:tcW w:w="1758" w:type="dxa"/>
          </w:tcPr>
          <w:p w:rsidR="005603EC" w:rsidRDefault="00AB61AC">
            <w:pPr>
              <w:pStyle w:val="Compact"/>
              <w:spacing w:line="240" w:lineRule="auto"/>
              <w:jc w:val="center"/>
            </w:pPr>
            <w:r>
              <w:rPr>
                <w:b/>
                <w:bCs/>
                <w:color w:val="FF0000"/>
                <w:sz w:val="22"/>
              </w:rPr>
              <w:t xml:space="preserve">2,93</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Likvidlik bloki</w:t>
            </w:r>
          </w:p>
        </w:tc>
        <w:tc>
          <w:tcPr>
            <w:tcW w:w="1758" w:type="dxa"/>
          </w:tcPr>
          <w:p w:rsidR="005603EC" w:rsidRDefault="00AB61AC">
            <w:pPr>
              <w:pStyle w:val="Compact"/>
              <w:spacing w:line="240" w:lineRule="auto"/>
              <w:jc w:val="center"/>
            </w:pPr>
            <w:r>
              <w:rPr>
                <w:b/>
                <w:bCs/>
                <w:color w:val="FF0000"/>
                <w:sz w:val="22"/>
              </w:rPr>
              <w:t xml:space="preserve">2,33</w:t>
            </w:r>
          </w:p>
        </w:tc>
        <w:tc>
          <w:tcPr>
            <w:tcW w:w="1758" w:type="dxa"/>
          </w:tcPr>
          <w:p w:rsidR="005603EC" w:rsidRDefault="00AB61AC">
            <w:pPr>
              <w:pStyle w:val="Compact"/>
              <w:spacing w:line="240" w:lineRule="auto"/>
              <w:jc w:val="center"/>
            </w:pPr>
            <w:r>
              <w:rPr>
                <w:b/>
                <w:bCs/>
                <w:color w:val="FF0000"/>
                <w:sz w:val="22"/>
              </w:rPr>
              <w:t xml:space="preserve">2,05</w:t>
            </w:r>
          </w:p>
        </w:tc>
        <w:tc>
          <w:tcPr>
            <w:tcW w:w="1758" w:type="dxa"/>
          </w:tcPr>
          <w:p w:rsidR="005603EC" w:rsidRDefault="00AB61AC">
            <w:pPr>
              <w:pStyle w:val="Compact"/>
              <w:spacing w:line="240" w:lineRule="auto"/>
              <w:jc w:val="center"/>
            </w:pPr>
            <w:r>
              <w:rPr>
                <w:b/>
                <w:bCs/>
                <w:color w:val="FF0000"/>
                <w:sz w:val="22"/>
              </w:rPr>
              <w:t xml:space="preserve">2,37</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Daromadlilik bloki</w:t>
            </w:r>
          </w:p>
        </w:tc>
        <w:tc>
          <w:tcPr>
            <w:tcW w:w="1758" w:type="dxa"/>
          </w:tcPr>
          <w:p w:rsidR="005603EC" w:rsidRDefault="00AB61AC">
            <w:pPr>
              <w:pStyle w:val="Compact"/>
              <w:spacing w:line="240" w:lineRule="auto"/>
              <w:jc w:val="center"/>
            </w:pPr>
            <w:r>
              <w:rPr>
                <w:b/>
                <w:bCs/>
                <w:color w:val="FF0000"/>
                <w:sz w:val="22"/>
              </w:rPr>
              <w:t xml:space="preserve">3,83</w:t>
            </w:r>
          </w:p>
        </w:tc>
        <w:tc>
          <w:tcPr>
            <w:tcW w:w="1758" w:type="dxa"/>
          </w:tcPr>
          <w:p w:rsidR="005603EC" w:rsidRDefault="00AB61AC">
            <w:pPr>
              <w:pStyle w:val="Compact"/>
              <w:spacing w:line="240" w:lineRule="auto"/>
              <w:jc w:val="center"/>
            </w:pPr>
            <w:r>
              <w:rPr>
                <w:b/>
                <w:bCs/>
                <w:color w:val="FF0000"/>
                <w:sz w:val="22"/>
              </w:rPr>
              <w:t xml:space="preserve">1,33</w:t>
            </w:r>
          </w:p>
        </w:tc>
        <w:tc>
          <w:tcPr>
            <w:tcW w:w="1758" w:type="dxa"/>
          </w:tcPr>
          <w:p w:rsidR="005603EC" w:rsidRDefault="00AB61AC">
            <w:pPr>
              <w:pStyle w:val="Compact"/>
              <w:spacing w:line="240" w:lineRule="auto"/>
              <w:jc w:val="center"/>
            </w:pPr>
            <w:r>
              <w:rPr>
                <w:b/>
                <w:bCs/>
                <w:color w:val="FF0000"/>
                <w:sz w:val="22"/>
              </w:rPr>
              <w:t xml:space="preserve">1,18</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Valyuta riskiga sezgirlik bloki</w:t>
            </w:r>
          </w:p>
        </w:tc>
        <w:tc>
          <w:tcPr>
            <w:tcW w:w="1758" w:type="dxa"/>
          </w:tcPr>
          <w:p w:rsidR="005603EC" w:rsidRDefault="00AB61AC">
            <w:pPr>
              <w:pStyle w:val="Compact"/>
              <w:spacing w:line="240" w:lineRule="auto"/>
              <w:jc w:val="center"/>
            </w:pPr>
            <w:r>
              <w:rPr>
                <w:b/>
                <w:bCs/>
                <w:color w:val="FF0000"/>
                <w:sz w:val="22"/>
              </w:rPr>
              <w:t xml:space="preserve">1,45</w:t>
            </w:r>
          </w:p>
        </w:tc>
        <w:tc>
          <w:tcPr>
            <w:tcW w:w="1758" w:type="dxa"/>
          </w:tcPr>
          <w:p w:rsidR="005603EC" w:rsidRDefault="00AB61AC">
            <w:pPr>
              <w:pStyle w:val="Compact"/>
              <w:spacing w:line="240" w:lineRule="auto"/>
              <w:jc w:val="center"/>
            </w:pPr>
            <w:r>
              <w:rPr>
                <w:b/>
                <w:bCs/>
                <w:color w:val="FF0000"/>
                <w:sz w:val="22"/>
              </w:rPr>
              <w:t xml:space="preserve">4,00</w:t>
            </w:r>
          </w:p>
        </w:tc>
        <w:tc>
          <w:tcPr>
            <w:tcW w:w="1758" w:type="dxa"/>
          </w:tcPr>
          <w:p w:rsidR="005603EC" w:rsidRDefault="00AB61AC">
            <w:pPr>
              <w:pStyle w:val="Compact"/>
              <w:spacing w:line="240" w:lineRule="auto"/>
              <w:jc w:val="center"/>
            </w:pPr>
            <w:r>
              <w:rPr>
                <w:b/>
                <w:bCs/>
                <w:color w:val="FF0000"/>
                <w:sz w:val="22"/>
              </w:rPr>
              <w:t xml:space="preserve">3,57</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MBII</w:t>
            </w:r>
          </w:p>
        </w:tc>
        <w:tc>
          <w:tcPr>
            <w:tcW w:w="1758" w:type="dxa"/>
          </w:tcPr>
          <w:p w:rsidR="005603EC" w:rsidRDefault="00AB61AC">
            <w:pPr>
              <w:pStyle w:val="Compact"/>
              <w:spacing w:line="240" w:lineRule="auto"/>
              <w:jc w:val="center"/>
            </w:pPr>
            <w:r>
              <w:rPr>
                <w:b/>
                <w:bCs/>
                <w:color w:val="FF0000"/>
                <w:sz w:val="22"/>
              </w:rPr>
              <w:t xml:space="preserve">2,81</w:t>
            </w:r>
          </w:p>
        </w:tc>
        <w:tc>
          <w:tcPr>
            <w:tcW w:w="1758" w:type="dxa"/>
          </w:tcPr>
          <w:p w:rsidR="005603EC" w:rsidRDefault="00AB61AC">
            <w:pPr>
              <w:pStyle w:val="Compact"/>
              <w:spacing w:line="240" w:lineRule="auto"/>
              <w:jc w:val="center"/>
            </w:pPr>
            <w:r>
              <w:rPr>
                <w:b/>
                <w:bCs/>
                <w:color w:val="FF0000"/>
                <w:sz w:val="22"/>
              </w:rPr>
              <w:t xml:space="preserve">2,47</w:t>
            </w:r>
          </w:p>
        </w:tc>
        <w:tc>
          <w:tcPr>
            <w:tcW w:w="1758" w:type="dxa"/>
          </w:tcPr>
          <w:p w:rsidR="005603EC" w:rsidRDefault="00AB61AC">
            <w:pPr>
              <w:pStyle w:val="Compact"/>
              <w:spacing w:line="240" w:lineRule="auto"/>
              <w:jc w:val="center"/>
            </w:pPr>
            <w:r>
              <w:rPr>
                <w:b/>
                <w:bCs/>
                <w:color w:val="FF0000"/>
                <w:sz w:val="22"/>
              </w:rPr>
              <w:t xml:space="preserve">2,78</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Barqarorlik sinfi</w:t>
            </w:r>
          </w:p>
        </w:tc>
        <w:tc>
          <w:tcPr>
            <w:tcW w:w="1758" w:type="dxa"/>
          </w:tcPr>
          <w:p w:rsidR="005603EC" w:rsidRDefault="00AB61AC">
            <w:pPr>
              <w:pStyle w:val="Compact"/>
              <w:spacing w:line="240" w:lineRule="auto"/>
              <w:jc w:val="center"/>
            </w:pPr>
            <w:r>
              <w:rPr>
                <w:b/>
                <w:bCs/>
                <w:color w:val="FF0000"/>
                <w:sz w:val="22"/>
              </w:rPr>
              <w:t xml:space="preserve">II</w:t>
            </w:r>
          </w:p>
        </w:tc>
        <w:tc>
          <w:tcPr>
            <w:tcW w:w="1758" w:type="dxa"/>
          </w:tcPr>
          <w:p w:rsidR="005603EC" w:rsidRDefault="00AB61AC">
            <w:pPr>
              <w:pStyle w:val="Compact"/>
              <w:spacing w:line="240" w:lineRule="auto"/>
              <w:jc w:val="center"/>
            </w:pPr>
            <w:r>
              <w:rPr>
                <w:b/>
                <w:bCs/>
                <w:color w:val="FF0000"/>
                <w:sz w:val="22"/>
              </w:rPr>
              <w:t xml:space="preserve">III</w:t>
            </w:r>
          </w:p>
        </w:tc>
        <w:tc>
          <w:tcPr>
            <w:tcW w:w="1758" w:type="dxa"/>
          </w:tcPr>
          <w:p w:rsidR="005603EC" w:rsidRDefault="00AB61AC">
            <w:pPr>
              <w:pStyle w:val="Compact"/>
              <w:spacing w:line="240" w:lineRule="auto"/>
              <w:jc w:val="center"/>
            </w:pPr>
            <w:r>
              <w:rPr>
                <w:b/>
                <w:bCs/>
                <w:color w:val="FF0000"/>
                <w:sz w:val="22"/>
              </w:rPr>
              <w:t xml:space="preserve">II</w:t>
            </w:r>
          </w:p>
        </w:tc>
      </w:tr>
    </w:tbl>
    <w:p w:rsidR="005603EC" w:rsidRDefault="00AB61AC">
      <w:pPr>
        <w:pStyle w:val="af"/>
        <w:spacing w:after="0" w:line="360" w:lineRule="auto"/>
        <w:ind w:firstLine="709"/>
        <w:jc w:val="both"/>
      </w:pPr>
      <w:r>
        <w:rPr>
          <w:i/>
          <w:iCs/>
          <w:color w:val="FF0000"/>
        </w:rPr>
        <w:t xml:space="preserve">Izoh: SQB – “O‘zsanoatqurilishbank” ATB, MKB – “Mikrokreditbank” ATB; qavs ichida – ball. CET1 va regulyativ kapital monandligi 2.3-paragrafda Markaziy bank metodikasi bo‘yicha MHXS ma’lumotlari asosida qayta hisoblangan qiymatlarda olindi (2.3.4, 2.3.5-jadvallar va “Mikrokreditbank” ATB bo‘yicha jadval),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color w:val="FF0000"/>
        </w:rPr>
        <w:t xml:space="preserve">MHXS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color w:val="FF0000"/>
        </w:rPr>
        <w:t xml:space="preserve">3.1.3-rasm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color w:val="FF0000"/>
        </w:rPr>
        <w:t xml:space="preserve">3.1.3-rasm</w:t>
      </w:r>
      <w:r>
        <w:rPr>
          <w:b/>
        </w:rPr>
        <w:t xml:space="preserve">. Moliyaviy barqarorlikning integral indeksi qiymatlarining vaznlar tizimiga sezgirligi, 2025-yil</w:t>
      </w:r>
      <w:r>
        <w:rPr>
          <w:rStyle w:val="aff8"/>
        </w:rPr>
        <w:footnoteReference w:id="412"/>
      </w:r>
    </w:p>
    <w:p w:rsidR="005603EC" w:rsidRDefault="00AB61AC">
      <w:pPr>
        <w:pStyle w:val="af"/>
        <w:spacing w:after="0" w:line="360" w:lineRule="auto"/>
        <w:ind w:firstLine="709"/>
        <w:jc w:val="both"/>
      </w:pPr>
      <w:r>
        <w:rPr>
          <w:color w:val="FF0000"/>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banklar tartibi vaznlarga bog‘liq: taklif etilgan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color w:val="FF0000"/>
        </w:rPr>
        <w:t xml:space="preserve">3.1.7-jadval</w:t>
      </w:r>
      <w:r>
        <w:t xml:space="preserve">).</w:t>
      </w:r>
    </w:p>
    <w:p w:rsidR="005603EC" w:rsidRDefault="00AB61AC">
      <w:pPr>
        <w:pStyle w:val="af"/>
        <w:keepNext/>
        <w:spacing w:before="120" w:after="0" w:line="360" w:lineRule="auto"/>
        <w:jc w:val="right"/>
      </w:pPr>
      <w:r>
        <w:rPr>
          <w:i/>
        </w:rPr>
        <w:lastRenderedPageBreak/>
      </w:r>
      <w:r>
        <w:rPr>
          <w:i/>
          <w:color w:val="FF0000"/>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color w:val="FF0000"/>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color w:val="FF0000"/>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color w:val="FF0000"/>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color w:val="FF0000"/>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4"/>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5"/>
      </w:r>
      <w:r>
        <w:t>. Moliyaviy stress indekslarini qurishda ham M. Illing va Y. Liu turli vaznlash usullarini solishtirib, eng yaxshi usulni indeksning haqiqiy stress davrlarini aniqlash qobiliyati bo‘yicha tanlagan</w:t>
      </w:r>
      <w:r>
        <w:rPr>
          <w:rStyle w:val="aff8"/>
        </w:rPr>
        <w:footnoteReference w:id="416"/>
      </w:r>
      <w:r>
        <w:t>. A.M. Karminskiy esa reyting modellarida vaznlar ekspert yo‘li bilan belgilansa ham, ular albatta statistik tekshiruvdan o‘tkazilishi lozimligini ta’kidlaydi</w:t>
      </w:r>
      <w:r>
        <w:rPr>
          <w:rStyle w:val="aff8"/>
        </w:rPr>
        <w:footnoteReference w:id="417"/>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9"/>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0"/>
      </w:r>
      <w:r>
        <w:rPr>
          <w:rStyle w:val="aff8"/>
        </w:rPr>
        <w:footnoteReference w:id="421"/>
      </w:r>
      <w:r>
        <w:rPr>
          <w:rStyle w:val="aff8"/>
        </w:rPr>
        <w:footnoteReference w:id="422"/>
      </w:r>
      <w:r>
        <w:rPr>
          <w:rStyle w:val="aff8"/>
        </w:rPr>
        <w:footnoteReference w:id="423"/>
      </w:r>
      <w:r>
        <w:rPr>
          <w:rStyle w:val="aff8"/>
        </w:rPr>
        <w:footnoteReference w:id="424"/>
      </w:r>
      <w:r>
        <w:t>. Yuqori likvid aktivlar ulushi esa “SNS” reyting agentligi bazasidan olindi</w:t>
      </w:r>
      <w:r>
        <w:rPr>
          <w:rStyle w:val="aff8"/>
        </w:rPr>
        <w:footnoteReference w:id="425"/>
      </w:r>
      <w:r>
        <w:t>. Logit usuli uchun 3.3-paragrafda shakllantirilgan 25 ta bank paneli qo‘llandi</w:t>
      </w:r>
      <w:r>
        <w:rPr>
          <w:rStyle w:val="aff8"/>
        </w:rPr>
        <w:footnoteReference w:id="426"/>
      </w:r>
      <w:r>
        <w:t xml:space="preserve">, unda kapital bloki barcha banklarda bir xil ball olgani va valyuta riski bo‘yicha ma’lumotlar mavjud bo‘lmagani sababli bu ikki blok uchun </w:t>
      </w:r>
      <w:r>
        <w:rPr>
          <w:color w:val="FF0000"/>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color w:val="FF0000"/>
        </w:rPr>
        <w:t xml:space="preserve">tayanch va empirik vaznlari</w:t>
      </w:r>
      <w:r>
        <w:rPr>
          <w:rStyle w:val="aff8"/>
        </w:rPr>
        <w:footnoteReference w:id="4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color w:val="FF0000"/>
                <w:sz w:val="22"/>
              </w:rPr>
              <w:t xml:space="preserve">Tayanch vaznlar</w:t>
            </w:r>
            <w:r>
              <w:rPr>
                <w:b/>
                <w:sz w:val="22"/>
              </w:rPr>
              <w:t xml:space="preserve">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w:t>
      </w:r>
      <w:r>
        <w:rPr>
          <w:color w:val="FF0000"/>
          <w:sz w:val="24"/>
        </w:rPr>
        <w:t xml:space="preserve">tayanch vazn</w:t>
      </w:r>
      <w:r>
        <w:rPr>
          <w:sz w:val="24"/>
        </w:rPr>
        <w:t xml:space="preserve">i saqlangan.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color w:val="FF0000"/>
        </w:rPr>
        <w:t xml:space="preserve">tayanch vazn</w:t>
      </w:r>
      <w:r>
        <w:rPr/>
        <w:t xml:space="preserve">iga yaqin yoki undan yuqori vazn bergan</w:t>
      </w:r>
      <w:r>
        <w:t xml:space="preserve">: entropiya, variatsiya koeffitsiyenti va bosh komponentlar usullarida u 0,27–0,32 ni tashkil etib, </w:t>
      </w:r>
      <w:r>
        <w:rPr>
          <w:color w:val="FF0000"/>
        </w:rPr>
        <w:t xml:space="preserve">tayanch vazn</w:t>
      </w:r>
      <w:r>
        <w:t xml:space="preserve">iga (0,30) deyarli teng, logit usulida esa 0,57 gacha oshgan. </w:t>
      </w:r>
      <w:r>
        <w:rPr/>
        <w:t xml:space="preserve">Demak, aktivlar sifati blokining </w:t>
      </w:r>
      <w:r>
        <w:rPr>
          <w:color w:val="FF0000"/>
        </w:rPr>
        <w:t xml:space="preserve">tayanch vazn</w:t>
      </w:r>
      <w:r>
        <w:rPr/>
        <w:t xml:space="preserve">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color w:val="FF0000"/>
        </w:rPr>
        <w:t xml:space="preserve">tayanch vazn</w:t>
      </w:r>
      <w:r>
        <w:t xml:space="preserve">idan ancha past (0,02–0,14), chunki tahlil qilingan banklarda kapital ko‘rsatkichlari me’yordan yuqori va bir-biriga yaqin bo‘lib, ular banklarni farqlamaydi. Eng katta farq likvidlik va daromadlilik bloklarida kuzatiladi: empirik usullar likvidlik blokiga </w:t>
      </w:r>
      <w:r>
        <w:rPr>
          <w:color w:val="FF0000"/>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 xml:space="preserve">3.2.1-rasm. Integral indeks bloklarining </w:t>
      </w:r>
      <w:r>
        <w:rPr>
          <w:b/>
          <w:color w:val="FF0000"/>
        </w:rPr>
        <w:t xml:space="preserve">tayanch va empirik vaznlari</w:t>
      </w:r>
      <w:r>
        <w:rPr>
          <w:rStyle w:val="aff8"/>
        </w:rPr>
        <w:footnoteReference w:id="428"/>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color w:val="FF0000"/>
                <w:sz w:val="22"/>
              </w:rPr>
              <w:t xml:space="preserve">Tayanch vaznlar</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 xml:space="preserve">Sinfi </w:t>
            </w:r>
            <w:r>
              <w:rPr>
                <w:color w:val="FF0000"/>
                <w:sz w:val="22"/>
              </w:rPr>
              <w:t xml:space="preserve">tayanch vaznlar</w:t>
            </w:r>
            <w:r>
              <w:rPr>
                <w:sz w:val="22"/>
              </w:rPr>
              <w:t xml:space="preserve">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color w:val="FF0000"/>
                <w:sz w:val="22"/>
              </w:rPr>
              <w:t xml:space="preserve">Tayanch vaznlar</w:t>
            </w:r>
            <w:r>
              <w:rPr>
                <w:sz w:val="22"/>
              </w:rPr>
              <w:t xml:space="preserve">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color w:val="FF0000"/>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w:t>
      </w:r>
      <w:r>
        <w:rPr>
          <w:color w:val="FF0000"/>
        </w:rPr>
        <w:t xml:space="preserve">tayanch vaznlar</w:t>
      </w:r>
      <w:r>
        <w:t xml:space="preserve">dan biroz ustun (AUC 0,864–0,907), biroq farq katta emas, </w:t>
      </w:r>
      <w:r>
        <w:rPr>
          <w:color w:val="FF0000"/>
        </w:rPr>
        <w:t xml:space="preserve">tayanch vaznlar</w:t>
      </w:r>
      <w:r>
        <w:t xml:space="preserve">ning bashorat kuchi esa bosh komponentlar usuli bilan bir xil.</w:t>
      </w:r>
      <w:r>
        <w:rPr/>
        <w:t xml:space="preserve"> Faqat empirik usullar asosidagi o‘rtacha vaznlar bilan indeksning AUC qiymati 0,871 ni tashkil etib, </w:t>
      </w:r>
      <w:r>
        <w:rPr>
          <w:color w:val="FF0000"/>
        </w:rPr>
        <w:t xml:space="preserve">tayanch vaznlar</w:t>
      </w:r>
      <w:r>
        <w:rPr/>
        <w:t xml:space="preserve">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xml:space="preserve">: bloklar vaznlari Dirixle taqsimotidan 4000 marta tasodifiy tanlanib, har safar beshta bankning 2021–2025-yillar uchun indeksi va sinfi qayta hisoblandi. Tahlil ikki variantda amalga oshirildi: vaznlar </w:t>
      </w:r>
      <w:r>
        <w:rPr>
          <w:color w:val="FF0000"/>
        </w:rPr>
        <w:t xml:space="preserve">tayanch vaznlar</w:t>
      </w:r>
      <w:r>
        <w:t xml:space="preserve">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w:t>
      </w:r>
      <w:r>
        <w:rPr>
          <w:color w:val="FF0000"/>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color w:val="FF0000"/>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Bu uchta amaliy natijaga olib keladi. Birinchidan, nazorat organi qaysi banklarga kuchaytirilgan e’tibor qaratish kerakligini aniqlashda </w:t>
      </w:r>
      <w:r>
        <w:rPr>
          <w:color w:val="FF0000"/>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4"/>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color w:val="FF0000"/>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color w:val="FF0000"/>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color w:val="FF0000"/>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70"/>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5"/>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color w:val="FF0000"/>
        </w:rPr>
        <w:t xml:space="preserve">, “Aloqabank” ATB niki 3,248 va 2,78 ballni (ikkala variantda II sinf)</w:t>
      </w:r>
      <w:r>
        <w:t xml:space="preserve"> tashkil etadi. </w:t>
      </w:r>
      <w:r>
        <w:rPr>
          <w:color w:val="FF0000"/>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color w:val="FF0000"/>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color w:val="FF0000"/>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color w:val="FF0000"/>
        </w:rPr>
        <w:t xml:space="preserve">tayanch vazn</w:t>
      </w:r>
      <w:r>
        <w:t xml:space="preserve">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2"/>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3"/>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2"/>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r>
      <w:r>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w:t>
      </w:r>
      <w:r>
        <w:rPr>
          <w:color w:val="FF0000"/>
        </w:rPr>
        <w:t xml:space="preserve">, “Aloqabank” ATB – 3,248</w:t>
      </w:r>
      <w:r>
        <w:rPr>
          <w:highlight w:val="green"/>
        </w:rPr>
        <w:t xml:space="preserve">)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9"/>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color w:val="FF0000"/>
        </w:rPr>
        <w:t xml:space="preserve">“Mikrokreditbank” ATB da −0,66, “Aloqabank” ATB da −0,47 ballni tashkil etib, uning 56–86 foizi</w:t>
      </w:r>
      <w:r>
        <w:t xml:space="preserve"> aktivlar sifati blokiga to‘g‘ri keladi, ya’ni milliy hisobot banklar barqarorligini </w:t>
      </w:r>
      <w:r>
        <w:rPr>
          <w:color w:val="FF0000"/>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color w:val="FF0000"/>
        </w:rPr>
        <w:t xml:space="preserve">tayanch vazn</w:t>
      </w:r>
      <w:r>
        <w:rPr/>
        <w:t xml:space="preserve">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t>(tartib korrelyatsiyasi 0,95–0,98)</w:t>
      </w:r>
      <w:r>
        <w:t>. I,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 xml:space="preserve">Izoh: har bir katakda vaznlar </w:t>
      </w:r>
      <w:r>
        <w:rPr>
          <w:i/>
          <w:color w:val="FF0000"/>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color w:val="FF0000"/>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color w:val="FF0000"/>
        </w:rPr>
        <w:t xml:space="preserve">P. 37–38; </w:t>
      </w:r>
      <w:r>
        <w:rPr>
          <w:color w:val="FF0000"/>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color w:val="FF0000"/>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w:t>
      </w:r>
      <w:r>
        <w:rPr>
          <w:color w:val="FF0000"/>
        </w:rPr>
        <w:t xml:space="preserve">Tadqiqot natijasida muallif tomonidan “O‘zsanoatqurilishbank” ATB (crs003C, crs003L, crs003O), “Mikrokreditbank” ATB (crs005C, crs005L, crs005O) va “Aloqabank” ATB (crs031C, crs031L, crs031O) ning Markaziy bankka taqdim etilgan prudensial hisobot shakllari asosida, 2025-yil 31-dekabr holatiga hisoblandi.</w:t>
      </w:r>
    </w:p>
  </w:footnote>
  <w:footnote w:id="411">
    <w:p w:rsidR="00AB61AC" w:rsidRDefault="00AB61AC">
      <w:pPr>
        <w:pStyle w:val="aff9"/>
      </w:pPr>
      <w:r>
        <w:rPr>
          <w:rStyle w:val="aff8"/>
        </w:rPr>
        <w:footnoteRef/>
      </w:r>
      <w:r>
        <w:rPr>
          <w:color w:val="FF0000"/>
        </w:rPr>
        <w:t xml:space="preserve"> Tadqiqot natijasida muallif tomonidan quyidagi manbalar asosida hisoblandi: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 Joint Stock Commercial “Aloqabank” and its subsidiaries: Consolidated Financial Statements and Independent Auditor’s Report, 31 December 2025. – Tashkent: Audit Organization “PricewaterhouseCoopers” LLC, 2026. – P. 1–2, 35, 55, 64–65.</w:t>
      </w:r>
    </w:p>
  </w:footnote>
  <w:footnote w:id="412">
    <w:p w:rsidR="00AB61AC" w:rsidRDefault="00AB61AC">
      <w:pPr>
        <w:pStyle w:val="aff9"/>
      </w:pPr>
      <w:r>
        <w:rPr>
          <w:rStyle w:val="aff8"/>
        </w:rPr>
        <w:footnoteRef/>
      </w:r>
      <w:r>
        <w:t xml:space="preserve"> Tadqiqot natijasida muallif tomonidan 3.1.3 va 3.1.5-jadvallar ma’lumotlari asosida hisoblandi.</w:t>
      </w:r>
    </w:p>
  </w:footnote>
  <w:footnote w:id="41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4">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5">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7">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2">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3">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4">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5">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6">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3.2.2-jadval ma’lumotlari asosida ishlab chiqildi.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 w:id="547">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Tayanch</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