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kirish"/>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20"/>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1"/>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22"/>
      </w:r>
      <w:r>
        <w:rPr>
          <w:rFonts w:ascii="Times New Roman" w:hAnsi="Times New Roman" w:cs="Times New Roman" w:eastAsia="Times New Roman"/>
          <w:sz w:val="28"/>
        </w:rPr>
        <w:t xml:space="preserve">, Buyuk Britaniyada esa ularni joriy etish 2027-yilga ko‘chirildi</w:t>
      </w:r>
      <w:r>
        <w:rPr>
          <w:rStyle w:val="FootnoteReference"/>
        </w:rPr>
        <w:footnoteReference w:id="23"/>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24"/>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25"/>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26"/>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27"/>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28"/>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29"/>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30"/>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31"/>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32"/>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33"/>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34"/>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35"/>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36"/>
      </w:r>
      <w:r>
        <w:rPr>
          <w:rStyle w:val="FootnoteReference"/>
        </w:rPr>
        <w:footnoteReference w:id="37"/>
      </w:r>
      <w:r>
        <w:rPr>
          <w:rStyle w:val="FootnoteReference"/>
        </w:rPr>
        <w:footnoteReference w:id="38"/>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39"/>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40"/>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41"/>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44"/>
      </w:r>
      <w:r>
        <w:rPr>
          <w:rStyle w:val="FootnoteReference"/>
        </w:rPr>
        <w:footnoteReference w:id="45"/>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46"/>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47"/>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50"/>
      </w:r>
      <w:r>
        <w:rPr>
          <w:rStyle w:val="FootnoteReference"/>
        </w:rPr>
        <w:footnoteReference w:id="51"/>
      </w:r>
      <w:r>
        <w:rPr>
          <w:rStyle w:val="FootnoteReference"/>
        </w:rPr>
        <w:footnoteReference w:id="52"/>
      </w:r>
      <w:r>
        <w:rPr>
          <w:rStyle w:val="FootnoteReference"/>
        </w:rPr>
        <w:footnoteReference w:id="53"/>
      </w:r>
      <w:r>
        <w:rPr>
          <w:rStyle w:val="FootnoteReference"/>
        </w:rPr>
        <w:footnoteReference w:id="54"/>
      </w:r>
      <w:r>
        <w:rPr>
          <w:rStyle w:val="FootnoteReference"/>
        </w:rPr>
        <w:footnoteReference w:id="55"/>
      </w:r>
      <w:r>
        <w:rPr>
          <w:rStyle w:val="FootnoteReference"/>
        </w:rPr>
        <w:footnoteReference w:id="56"/>
      </w:r>
      <w:r>
        <w:rPr>
          <w:rStyle w:val="FootnoteReference"/>
        </w:rPr>
        <w:footnoteReference w:id="57"/>
      </w:r>
      <w:r>
        <w:rPr>
          <w:rStyle w:val="FootnoteReference"/>
        </w:rPr>
        <w:footnoteReference w:id="58"/>
      </w:r>
      <w:r>
        <w:rPr>
          <w:rStyle w:val="FootnoteReference"/>
        </w:rPr>
        <w:footnoteReference w:id="59"/>
      </w:r>
      <w:r>
        <w:rPr>
          <w:rStyle w:val="FootnoteReference"/>
        </w:rPr>
        <w:footnoteReference w:id="60"/>
      </w:r>
      <w:r>
        <w:rPr>
          <w:rStyle w:val="FootnoteReference"/>
        </w:rPr>
        <w:footnoteReference w:id="61"/>
      </w:r>
      <w:r>
        <w:rPr>
          <w:rStyle w:val="FootnoteReference"/>
        </w:rPr>
        <w:footnoteReference w:id="6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63"/>
      </w:r>
      <w:r>
        <w:rPr>
          <w:rStyle w:val="FootnoteReference"/>
        </w:rPr>
        <w:footnoteReference w:id="64"/>
      </w:r>
      <w:r>
        <w:rPr>
          <w:rStyle w:val="FootnoteReference"/>
        </w:rPr>
        <w:footnoteReference w:id="65"/>
      </w:r>
      <w:r>
        <w:rPr>
          <w:rStyle w:val="FootnoteReference"/>
        </w:rPr>
        <w:footnoteReference w:id="66"/>
      </w:r>
      <w:r>
        <w:rPr>
          <w:rStyle w:val="FootnoteReference"/>
        </w:rPr>
        <w:footnoteReference w:id="67"/>
      </w:r>
      <w:r>
        <w:rPr>
          <w:rStyle w:val="FootnoteReference"/>
        </w:rPr>
        <w:footnoteReference w:id="6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69"/>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Denov tadbirkorlik va pedagogika universiteti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integral indeks asosida moliyaviy barqarorlikni erta ogohlantirish tizimini shakllantirish va 2026–2028-yillarga ssenariy prognozini ishlab chiqish;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tizimini xalqaro standartlarga muvofiqlashtirishning asosiy yo‘nalishlarini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pPr>
        <w:pStyle w:val="BodyText"/>
        <w:spacing w:line="360" w:lineRule="auto" w:before="0" w:after="0"/>
        <w:ind w:firstLine="709"/>
        <w:jc w:val="both"/>
      </w:pPr>
      <w:r>
        <w:rPr>
          <w:rFonts w:ascii="Times New Roman" w:hAnsi="Times New Roman" w:cs="Times New Roman" w:eastAsia="Times New Roman"/>
          <w:sz w:val="28"/>
        </w:rPr>
        <w:t xml:space="preserve">integral indeksga asoslangan uch zonali erta ogohlantirish tizimi ishlab chiqilgan va indeksning tijorat banklarida moliyaviy muammolarni to‘rt chorak oldin bashorat qilish kuchi (AUC = 0,86) an’anaviy Z-score ko‘rsatkichidan (AUC = 0,42) yuqori ekani empirik jihatdan isbotlangan.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taxminan 7,2 foiz punktga oshirishi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beshta yirik bank MHXS hisobotlari asosida integral indeks bo‘yicha reyting baholanib, davlat ko‘magisiz baholashda «Mikrokreditbank» ATB ning indeksi 2,47 balldan 1,72 ballgacha, ya’ni nobarqaror sinfgacha pasayishi aniqlangan;</w:t>
      </w:r>
    </w:p>
    <w:p>
      <w:pPr>
        <w:pStyle w:val="BodyText"/>
        <w:spacing w:line="360" w:lineRule="auto" w:before="0" w:after="0"/>
        <w:ind w:firstLine="709"/>
        <w:jc w:val="both"/>
      </w:pPr>
      <w:r>
        <w:rPr>
          <w:rFonts w:ascii="Times New Roman" w:hAnsi="Times New Roman" w:cs="Times New Roman" w:eastAsia="Times New Roman"/>
          <w:sz w:val="28"/>
        </w:rPr>
        <w:t xml:space="preserve">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pPr>
        <w:pStyle w:val="BodyText"/>
        <w:spacing w:line="360" w:lineRule="auto" w:before="0" w:after="0"/>
        <w:ind w:firstLine="709"/>
        <w:jc w:val="both"/>
      </w:pPr>
      <w:r>
        <w:rPr>
          <w:rFonts w:ascii="Times New Roman" w:hAnsi="Times New Roman" w:cs="Times New Roman" w:eastAsia="Times New Roman"/>
          <w:sz w:val="28"/>
        </w:rPr>
        <w:t xml:space="preserve">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pPr>
        <w:pStyle w:val="BodyText"/>
        <w:spacing w:line="360" w:lineRule="auto" w:before="0" w:after="0"/>
        <w:ind w:firstLine="709"/>
        <w:jc w:val="both"/>
      </w:pPr>
      <w:r>
        <w:rPr>
          <w:rFonts w:ascii="Times New Roman" w:hAnsi="Times New Roman" w:cs="Times New Roman" w:eastAsia="Times New Roman"/>
          <w:sz w:val="28"/>
        </w:rPr>
        <w:t xml:space="preserve">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70"/>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
    <w:p>
      <w:pPr>
        <w:pStyle w:val="FootnoteText"/>
      </w:pPr>
      <w:r>
        <w:rPr>
          <w:rStyle w:val="FootnoteReference"/>
        </w:rPr>
        <w:footnoteRef/>
      </w:r>
      <w:r>
        <w:t xml:space="preserve"> </w:t>
      </w:r>
      <w:r>
        <w:t xml:space="preserve">European Banking Authority. 2025 EU-wide stress test: Results. – Paris: EBA, 1 August 2025.</w:t>
      </w:r>
    </w:p>
  </w:footnote>
  <w:footnote w:id="22">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3">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4">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5">
    <w:p>
      <w:pPr>
        <w:pStyle w:val="FootnoteText"/>
      </w:pPr>
      <w:r>
        <w:rPr>
          <w:rStyle w:val="FootnoteReference"/>
        </w:rPr>
        <w:footnoteRef/>
      </w:r>
      <w:r>
        <w:t xml:space="preserve"> </w:t>
      </w:r>
      <w:r>
        <w:t xml:space="preserve">IFRS 9 Financial Instruments. – London: International Accounting Standards Board, 2014.</w:t>
      </w:r>
    </w:p>
  </w:footnote>
  <w:footnote w:id="26">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
    <w:p>
      <w:pPr>
        <w:pStyle w:val="FootnoteText"/>
      </w:pPr>
      <w:r>
        <w:rPr>
          <w:rStyle w:val="FootnoteReference"/>
        </w:rPr>
        <w:footnoteRef/>
      </w:r>
      <w:r>
        <w:t xml:space="preserve"> </w:t>
      </w:r>
      <w:r>
        <w:t xml:space="preserve">The Central Bank of the Republic of Uzbekistan. Financial Stability Report for 2025. – Tashkent, 2026.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3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3">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34">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36">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8">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39">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40">
    <w:p>
      <w:pPr>
        <w:pStyle w:val="FootnoteText"/>
      </w:pPr>
      <w:r>
        <w:rPr>
          <w:rStyle w:val="FootnoteReference"/>
        </w:rPr>
        <w:footnoteRef/>
      </w:r>
      <w:r>
        <w:t xml:space="preserve"> </w:t>
      </w:r>
      <w:r>
        <w:t xml:space="preserve">IFRS 9 Financial Instruments. – London: International Accounting Standards Board, 2014.</w:t>
      </w:r>
    </w:p>
  </w:footnote>
  <w:footnote w:id="41">
    <w:p>
      <w:pPr>
        <w:pStyle w:val="FootnoteText"/>
      </w:pPr>
      <w:r>
        <w:rPr>
          <w:rStyle w:val="FootnoteReference"/>
        </w:rPr>
        <w:footnoteRef/>
      </w:r>
      <w:r>
        <w:t xml:space="preserve"> </w:t>
      </w:r>
      <w:r>
        <w:t xml:space="preserve">Basel Committee on Banking Supervision. Report on the 2023 banking turmoil. – Basel: BIS, October 2023.</w:t>
      </w:r>
    </w:p>
  </w:footnote>
  <w:footnote w:id="42">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43">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44">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45">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46">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48">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49">
    <w:p>
      <w:pPr>
        <w:pStyle w:val="FootnoteText"/>
      </w:pPr>
      <w:r>
        <w:rPr>
          <w:rStyle w:val="FootnoteReference"/>
        </w:rPr>
        <w:footnoteRef/>
      </w:r>
      <w:r>
        <w:t xml:space="preserve"> </w:t>
      </w:r>
      <w:r>
        <w:t xml:space="preserve">World Bank. Republic of Uzbekistan: Financial Sector Assessment. – Washington, DC: World Bank, 2025.</w:t>
      </w:r>
    </w:p>
  </w:footnote>
  <w:footnote w:id="50">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51">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52">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5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54">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5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5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57">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58">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59">
    <w:p>
      <w:pPr>
        <w:pStyle w:val="FootnoteText"/>
      </w:pPr>
      <w:r>
        <w:rPr>
          <w:rStyle w:val="FootnoteReference"/>
        </w:rPr>
        <w:footnoteRef/>
      </w:r>
      <w:r>
        <w:t xml:space="preserve"> </w:t>
      </w:r>
      <w:r>
        <w:t xml:space="preserve">Adrian T., Brunnermeier M.K. CoVaR // American Economic Review. – 2016. – Vol. 106, No. 7. – P. 1705–1741.</w:t>
      </w:r>
    </w:p>
  </w:footnote>
  <w:footnote w:id="60">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61">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6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6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6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65">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66">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67">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6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69">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2026-10-11T21:43:09Z</dcterms:created>
  <dcterms:modified xsi:type="dcterms:W3CDTF">2026-10-11T21:43:09Z</dcterms:modified>
</cp:coreProperties>
</file>

<file path=docProps/custom.xml><?xml version="1.0" encoding="utf-8"?>
<Properties xmlns="http://schemas.openxmlformats.org/officeDocument/2006/custom-properties" xmlns:vt="http://schemas.openxmlformats.org/officeDocument/2006/docPropsVTypes"/>
</file>