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163</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177</w:t>
      </w:r>
    </w:p>
    <w:p w:rsidR="005603EC" w:rsidRDefault="00AB61AC">
      <w:pPr>
        <w:tabs>
          <w:tab w:val="right" w:leader="dot" w:pos="9354"/>
        </w:tabs>
        <w:spacing w:after="80" w:line="240" w:lineRule="auto"/>
        <w:ind w:left="454"/>
      </w:pPr>
      <w:r>
        <w:rPr>
          <w:sz w:val="26"/>
        </w:rPr>
        <w:t>III bob bo‘yicha xulosalar</w:t>
      </w:r>
      <w:r>
        <w:rPr>
          <w:sz w:val="26"/>
        </w:rPr>
        <w:tab/>
        <w:t>195</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198</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198</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214</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226</w:t>
      </w:r>
    </w:p>
    <w:p w:rsidR="005603EC" w:rsidRDefault="00AB61AC">
      <w:pPr>
        <w:tabs>
          <w:tab w:val="right" w:leader="dot" w:pos="9354"/>
        </w:tabs>
        <w:spacing w:after="80" w:line="240" w:lineRule="auto"/>
        <w:ind w:left="454"/>
      </w:pPr>
      <w:r>
        <w:rPr>
          <w:sz w:val="26"/>
        </w:rPr>
        <w:t>IV bob bo‘yicha xulosalar</w:t>
      </w:r>
      <w:r>
        <w:rPr>
          <w:sz w:val="26"/>
        </w:rPr>
        <w:tab/>
        <w:t>239</w:t>
      </w:r>
    </w:p>
    <w:p w:rsidR="005603EC" w:rsidRDefault="00AB61AC">
      <w:pPr>
        <w:tabs>
          <w:tab w:val="right" w:leader="dot" w:pos="9354"/>
        </w:tabs>
        <w:spacing w:after="80" w:line="240" w:lineRule="auto"/>
      </w:pPr>
      <w:r>
        <w:rPr>
          <w:b/>
          <w:sz w:val="26"/>
        </w:rPr>
        <w:t>XULOSA</w:t>
      </w:r>
      <w:r>
        <w:rPr>
          <w:b/>
          <w:sz w:val="26"/>
        </w:rPr>
        <w:tab/>
        <w:t>242</w:t>
      </w:r>
    </w:p>
    <w:p w:rsidR="005603EC" w:rsidRDefault="00AB61AC">
      <w:pPr>
        <w:tabs>
          <w:tab w:val="right" w:leader="dot" w:pos="9354"/>
        </w:tabs>
        <w:spacing w:after="80" w:line="240" w:lineRule="auto"/>
      </w:pPr>
      <w:r>
        <w:rPr>
          <w:b/>
          <w:sz w:val="26"/>
        </w:rPr>
        <w:t>FOYDALANILGAN ADABIYOTLAR RO‘YXATI</w:t>
      </w:r>
      <w:r>
        <w:rPr>
          <w:b/>
          <w:sz w:val="26"/>
        </w:rPr>
        <w:tab/>
        <w:t>248</w:t>
      </w:r>
    </w:p>
    <w:p w:rsidR="005603EC" w:rsidRDefault="00AB61AC">
      <w:pPr>
        <w:tabs>
          <w:tab w:val="right" w:leader="dot" w:pos="9354"/>
        </w:tabs>
        <w:spacing w:after="80" w:line="240" w:lineRule="auto"/>
      </w:pPr>
      <w:r>
        <w:rPr>
          <w:b/>
          <w:sz w:val="26"/>
        </w:rPr>
        <w:t>ILOVALAR</w:t>
      </w:r>
      <w:r>
        <w:rPr>
          <w:b/>
          <w:sz w:val="26"/>
        </w:rPr>
        <w:tab/>
        <w:t>269</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color w:val="FF0000"/>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color w:val="FF0000"/>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color w:val="FF0000"/>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color w:val="FF0000"/>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color w:val="FF0000"/>
        </w:rPr>
        <w:t xml:space="preserve">ning</w:t>
      </w:r>
      <w:r>
        <w:t xml:space="preserve"> MHXS hisobotlari asosida integral indeks bo‘yicha reyting</w:t>
      </w:r>
      <w:r>
        <w:rPr>
          <w:color w:val="FF0000"/>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FF0000"/>
        </w:rPr>
        <w:t xml:space="preserve">244</w:t>
      </w:r>
      <w:r>
        <w:rPr/>
        <w:t xml:space="preserve"> betni</w:t>
      </w:r>
      <w:r>
        <w:t xml:space="preserve"> tashkil etadi, unda 60 dan ortiq jadval va rasm keltirilgan, foydalanilgan </w:t>
      </w:r>
      <w:r>
        <w:rPr/>
        <w:t xml:space="preserve">adabiyotlar </w:t>
      </w:r>
      <w:r>
        <w:rPr/>
        <w:t xml:space="preserve">ro‘yxati </w:t>
      </w:r>
      <w:r>
        <w:rPr>
          <w:color w:val="FF0000"/>
        </w:rPr>
        <w:t xml:space="preserve">208</w:t>
      </w:r>
      <w:r>
        <w:rPr/>
        <w:t xml:space="preserve">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color w:val="FF0000"/>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color w:val="FF0000"/>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w:t>
      </w:r>
      <w:r>
        <w:rPr>
          <w:color w:val="FF0000"/>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color w:val="FF0000"/>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color w:val="FF0000"/>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color w:val="FF0000"/>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color w:val="FF0000"/>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color w:val="FF0000"/>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color w:val="FF0000"/>
        </w:rPr>
        <w:t xml:space="preserve">. Masalan,</w:t>
      </w:r>
      <w:r>
        <w:t xml:space="preserve">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xml:space="preserve">. </w:t>
      </w:r>
      <w:r>
        <w:rPr>
          <w:color w:val="FF0000"/>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w:t>
      </w:r>
      <w:r>
        <w:rPr>
          <w:color w:val="FF0000"/>
        </w:rPr>
        <w:t xml:space="preserve">. Muallif ma’lumotiga ko‘ra,</w:t>
      </w:r>
      <w:r>
        <w:t xml:space="preserve">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color w:val="FF0000"/>
        </w:rPr>
        <w:t xml:space="preserve">, Yevropa bank boshqarmasi esa</w:t>
      </w:r>
      <w:r>
        <w:t xml:space="preserve">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xml:space="preserve">. </w:t>
      </w:r>
      <w:r>
        <w:rPr>
          <w:color w:val="FF0000"/>
        </w:rPr>
        <w:t xml:space="preserve">E. Gualandri va M. Noera</w:t>
      </w:r>
      <w:r>
        <w:t xml:space="preserve">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rPr>
          <w:color w:val="FF0000"/>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r>
      <w:r>
        <w:rPr>
          <w:color w:val="FF0000"/>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color w:val="FF0000"/>
        </w:rPr>
        <w:t xml:space="preserve">edi va 2011-yil iyunidan boshlab bu ko‘rsatkich har kuni monitoring qilingan</w:t>
      </w:r>
      <w:r>
        <w:t xml:space="preserve">;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rPr>
          <w:color w:val="FF0000"/>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color w:val="FF0000"/>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xml:space="preserve">. Yo‘l xaritasida ham avtomatik reyting tuzatishlarini muntazam tekshirish va ularning asoslanganligini ta’minlash uchun alohida “sifat nazorati” bo‘linmasini tashkil etish ko‘zda tutilgani bu muammo hali </w:t>
      </w:r>
      <w:r>
        <w:rPr>
          <w:color w:val="FF0000"/>
        </w:rPr>
        <w:t xml:space="preserve">ham dolzarb ekan</w:t>
      </w:r>
      <w:r>
        <w:t xml:space="preserve">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color w:val="FF0000"/>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color w:val="FF0000"/>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color w:val="FF0000"/>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w:t>
      </w:r>
      <w:r>
        <w:rPr>
          <w:color w:val="FF0000"/>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rPr>
          <w:color w:val="FF0000"/>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color w:val="FF0000"/>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color w:val="FF0000"/>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 xml:space="preserve">Restrukturizatsiya qilingan kreditlar</w:t>
            </w:r>
          </w:p>
        </w:tc>
        <w:tc>
          <w:tcPr>
            <w:tcW w:w="2494" w:type="dxa"/>
          </w:tcPr>
          <w:p w:rsidR="005603EC" w:rsidRDefault="00AB61AC">
            <w:pPr>
              <w:pStyle w:val="Compact"/>
              <w:spacing w:line="240" w:lineRule="auto"/>
            </w:pPr>
            <w:r>
              <w:rPr>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color w:val="FF0000"/>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color w:val="FF0000"/>
        </w:rPr>
        <w:t xml:space="preserve">NPLtuz = (NPL / Lmilliy) × Kykr,  (2.3)</w:t>
      </w:r>
    </w:p>
    <w:p w:rsidR="005603EC" w:rsidRDefault="00AB61AC">
      <w:pPr>
        <w:pStyle w:val="af"/>
        <w:spacing w:after="0" w:line="360" w:lineRule="auto"/>
        <w:ind w:firstLine="709"/>
        <w:jc w:val="both"/>
      </w:pPr>
      <w:r>
        <w:rPr>
          <w:color w:val="FF0000"/>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 bunda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r w:rsidR="005603EC" w:rsidTr="005603EC">
        <w:trPr>
          <w:cantSplit/>
        </w:trPr>
        <w:tc>
          <w:tcPr>
            <w:tcW w:w="3402" w:type="dxa"/>
          </w:tcPr>
          <w:p w:rsidR="005603EC" w:rsidRDefault="00AB61AC">
            <w:pPr>
              <w:pStyle w:val="Compact"/>
              <w:spacing w:line="240" w:lineRule="auto"/>
            </w:pPr>
            <w:r>
              <w:rPr>
                <w:color w:val="FF0000"/>
                <w:sz w:val="22"/>
              </w:rPr>
              <w:t xml:space="preserve">Yashirin kredit riski koeffitsiyenti</w:t>
            </w:r>
          </w:p>
        </w:tc>
        <w:tc>
          <w:tcPr>
            <w:tcW w:w="1179" w:type="dxa"/>
          </w:tcPr>
          <w:p w:rsidR="005603EC" w:rsidRDefault="00AB61AC">
            <w:pPr>
              <w:pStyle w:val="Compact"/>
              <w:spacing w:line="240" w:lineRule="auto"/>
            </w:pPr>
            <w:r>
              <w:rPr>
                <w:color w:val="FF0000"/>
                <w:sz w:val="22"/>
              </w:rPr>
              <w:t xml:space="preserve">1,65</w:t>
            </w:r>
          </w:p>
        </w:tc>
        <w:tc>
          <w:tcPr>
            <w:tcW w:w="1179" w:type="dxa"/>
          </w:tcPr>
          <w:p w:rsidR="005603EC" w:rsidRDefault="00AB61AC">
            <w:pPr>
              <w:pStyle w:val="Compact"/>
              <w:spacing w:line="240" w:lineRule="auto"/>
            </w:pPr>
            <w:r>
              <w:rPr>
                <w:color w:val="FF0000"/>
                <w:sz w:val="22"/>
              </w:rPr>
              <w:t xml:space="preserve">2,61</w:t>
            </w:r>
          </w:p>
        </w:tc>
        <w:tc>
          <w:tcPr>
            <w:tcW w:w="1179" w:type="dxa"/>
          </w:tcPr>
          <w:p w:rsidR="005603EC" w:rsidRDefault="00AB61AC">
            <w:pPr>
              <w:pStyle w:val="Compact"/>
              <w:spacing w:line="240" w:lineRule="auto"/>
            </w:pPr>
            <w:r>
              <w:rPr>
                <w:color w:val="FF0000"/>
                <w:sz w:val="22"/>
              </w:rPr>
              <w:t xml:space="preserve">2,14</w:t>
            </w:r>
          </w:p>
        </w:tc>
        <w:tc>
          <w:tcPr>
            <w:tcW w:w="1179" w:type="dxa"/>
          </w:tcPr>
          <w:p w:rsidR="005603EC" w:rsidRDefault="00AB61AC">
            <w:pPr>
              <w:pStyle w:val="Compact"/>
              <w:spacing w:line="240" w:lineRule="auto"/>
            </w:pPr>
            <w:r>
              <w:rPr>
                <w:color w:val="FF0000"/>
                <w:sz w:val="22"/>
              </w:rPr>
              <w:t xml:space="preserve">2,08</w:t>
            </w:r>
          </w:p>
        </w:tc>
        <w:tc>
          <w:tcPr>
            <w:tcW w:w="1179" w:type="dxa"/>
          </w:tcPr>
          <w:p w:rsidR="005603EC" w:rsidRDefault="00AB61AC">
            <w:pPr>
              <w:pStyle w:val="Compact"/>
              <w:spacing w:line="240" w:lineRule="auto"/>
            </w:pPr>
            <w:r>
              <w:rPr>
                <w:color w:val="FF0000"/>
                <w:sz w:val="22"/>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8"/>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color w:val="FF0000"/>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xml:space="preserve">. Demak, uchinchi bank misolida ham milliy hisobot asosidagi baholash aktivlar sifati va daromadlilikni oshirib, likvidlik buferining sifatini esa haqiqiydan yuqori ko‘rsatadi, bu esa </w:t>
      </w:r>
      <w:r>
        <w:rPr>
          <w:color w:val="FF0000"/>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color w:val="FF0000"/>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color w:val="FF0000"/>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color w:val="FF0000"/>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sz w:val="22"/>
              </w:rPr>
              <w:t xml:space="preserve">tahlil qilingan banklarda </w:t>
            </w:r>
            <w:r>
              <w:rPr>
                <w:sz w:val="22"/>
              </w:rPr>
              <w:t xml:space="preserve">yashirin kredit riski koeffitsiyenti </w:t>
            </w:r>
            <w:r>
              <w:rPr>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0"/>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color w:val="FF0000"/>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color w:val="FF0000"/>
        </w:rPr>
        <w:t xml:space="preserve">gan holda,</w:t>
      </w:r>
      <w:r>
        <w:t xml:space="preserve">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color w:val="FF0000"/>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10,21 (3,88)</w:t>
            </w:r>
          </w:p>
        </w:tc>
        <w:tc>
          <w:tcPr>
            <w:tcW w:w="1758" w:type="dxa"/>
          </w:tcPr>
          <w:p w:rsidR="005603EC" w:rsidRDefault="00AB61AC">
            <w:pPr>
              <w:pStyle w:val="Compact"/>
              <w:spacing w:line="240" w:lineRule="auto"/>
              <w:jc w:val="center"/>
            </w:pPr>
            <w:r>
              <w:rPr>
                <w:sz w:val="22"/>
              </w:rPr>
              <w:t xml:space="preserve">16,39 (4,00)</w:t>
            </w:r>
          </w:p>
        </w:tc>
        <w:tc>
          <w:tcPr>
            <w:tcW w:w="1758" w:type="dxa"/>
          </w:tcPr>
          <w:p w:rsidR="005603EC" w:rsidRDefault="00AB61AC">
            <w:pPr>
              <w:pStyle w:val="Compact"/>
              <w:spacing w:line="240" w:lineRule="auto"/>
              <w:jc w:val="center"/>
            </w:pPr>
            <w:r>
              <w:rPr>
                <w:sz w:val="22"/>
              </w:rPr>
              <w:t xml:space="preserve">10,09 (3,83)</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17,02 (4,00)</w:t>
            </w:r>
          </w:p>
        </w:tc>
        <w:tc>
          <w:tcPr>
            <w:tcW w:w="1758" w:type="dxa"/>
          </w:tcPr>
          <w:p w:rsidR="005603EC" w:rsidRDefault="00AB61AC">
            <w:pPr>
              <w:pStyle w:val="Compact"/>
              <w:spacing w:line="240" w:lineRule="auto"/>
              <w:jc w:val="center"/>
            </w:pPr>
            <w:r>
              <w:rPr>
                <w:sz w:val="22"/>
              </w:rPr>
              <w:t xml:space="preserve">18,46 (4,00)</w:t>
            </w:r>
          </w:p>
        </w:tc>
        <w:tc>
          <w:tcPr>
            <w:tcW w:w="1758" w:type="dxa"/>
          </w:tcPr>
          <w:p w:rsidR="005603EC" w:rsidRDefault="00AB61AC">
            <w:pPr>
              <w:pStyle w:val="Compact"/>
              <w:spacing w:line="240" w:lineRule="auto"/>
              <w:jc w:val="center"/>
            </w:pPr>
            <w:r>
              <w:rPr>
                <w:sz w:val="22"/>
              </w:rPr>
              <w:t xml:space="preserve">14,14 (3,45)</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11,6 (4,00)</w:t>
            </w:r>
          </w:p>
        </w:tc>
        <w:tc>
          <w:tcPr>
            <w:tcW w:w="1758" w:type="dxa"/>
          </w:tcPr>
          <w:p w:rsidR="005603EC" w:rsidRDefault="00AB61AC">
            <w:pPr>
              <w:pStyle w:val="Compact"/>
              <w:spacing w:line="240" w:lineRule="auto"/>
              <w:jc w:val="center"/>
            </w:pPr>
            <w:r>
              <w:rPr>
                <w:sz w:val="22"/>
              </w:rPr>
              <w:t xml:space="preserve">18,7 (4,00)</w:t>
            </w:r>
          </w:p>
        </w:tc>
        <w:tc>
          <w:tcPr>
            <w:tcW w:w="1758" w:type="dxa"/>
          </w:tcPr>
          <w:p w:rsidR="005603EC" w:rsidRDefault="00AB61AC">
            <w:pPr>
              <w:pStyle w:val="Compact"/>
              <w:spacing w:line="240" w:lineRule="auto"/>
              <w:jc w:val="center"/>
            </w:pPr>
            <w:r>
              <w:rPr>
                <w:sz w:val="22"/>
              </w:rPr>
              <w:t xml:space="preserve">12,2 (4,00)</w:t>
            </w:r>
          </w:p>
        </w:tc>
      </w:tr>
      <w:tr w:rsidR="005603EC" w:rsidTr="005603EC">
        <w:trPr>
          <w:cantSplit/>
        </w:trPr>
        <w:tc>
          <w:tcPr>
            <w:tcW w:w="4082" w:type="dxa"/>
          </w:tcPr>
          <w:p w:rsidR="005603EC" w:rsidRDefault="00AB61AC">
            <w:pPr>
              <w:pStyle w:val="Compact"/>
              <w:spacing w:line="240" w:lineRule="auto"/>
            </w:pPr>
            <w:r>
              <w:rPr>
                <w:sz w:val="22"/>
              </w:rPr>
              <w:t xml:space="preserve">A1. Muammoli kreditlar ulushi, %</w:t>
            </w:r>
          </w:p>
        </w:tc>
        <w:tc>
          <w:tcPr>
            <w:tcW w:w="1758" w:type="dxa"/>
          </w:tcPr>
          <w:p w:rsidR="005603EC" w:rsidRDefault="00AB61AC">
            <w:pPr>
              <w:pStyle w:val="Compact"/>
              <w:spacing w:line="240" w:lineRule="auto"/>
              <w:jc w:val="center"/>
            </w:pPr>
            <w:r>
              <w:rPr>
                <w:sz w:val="22"/>
              </w:rPr>
              <w:t xml:space="preserve">2,5 (4,00)</w:t>
            </w:r>
          </w:p>
        </w:tc>
        <w:tc>
          <w:tcPr>
            <w:tcW w:w="1758" w:type="dxa"/>
          </w:tcPr>
          <w:p w:rsidR="005603EC" w:rsidRDefault="00AB61AC">
            <w:pPr>
              <w:pStyle w:val="Compact"/>
              <w:spacing w:line="240" w:lineRule="auto"/>
              <w:jc w:val="center"/>
            </w:pPr>
            <w:r>
              <w:rPr>
                <w:sz w:val="22"/>
              </w:rPr>
              <w:t xml:space="preserve">4,4 (3,30)</w:t>
            </w:r>
          </w:p>
        </w:tc>
        <w:tc>
          <w:tcPr>
            <w:tcW w:w="1758" w:type="dxa"/>
          </w:tcPr>
          <w:p w:rsidR="005603EC" w:rsidRDefault="00AB61AC">
            <w:pPr>
              <w:pStyle w:val="Compact"/>
              <w:spacing w:line="240" w:lineRule="auto"/>
              <w:jc w:val="center"/>
            </w:pPr>
            <w:r>
              <w:rPr>
                <w:sz w:val="22"/>
              </w:rPr>
              <w:t xml:space="preserve">2,5 (4,00)</w:t>
            </w:r>
          </w:p>
        </w:tc>
      </w:tr>
      <w:tr w:rsidR="005603EC" w:rsidTr="005603EC">
        <w:trPr>
          <w:cantSplit/>
        </w:trPr>
        <w:tc>
          <w:tcPr>
            <w:tcW w:w="4082" w:type="dxa"/>
          </w:tcPr>
          <w:p w:rsidR="005603EC" w:rsidRDefault="00AB61AC">
            <w:pPr>
              <w:pStyle w:val="Compact"/>
              <w:spacing w:line="240" w:lineRule="auto"/>
            </w:pPr>
            <w:r>
              <w:rPr>
                <w:sz w:val="22"/>
              </w:rPr>
              <w:t xml:space="preserve">A2. Substandart kreditlar ulushi, %</w:t>
            </w:r>
          </w:p>
        </w:tc>
        <w:tc>
          <w:tcPr>
            <w:tcW w:w="1758" w:type="dxa"/>
          </w:tcPr>
          <w:p w:rsidR="005603EC" w:rsidRDefault="00AB61AC">
            <w:pPr>
              <w:pStyle w:val="Compact"/>
              <w:spacing w:line="240" w:lineRule="auto"/>
              <w:jc w:val="center"/>
            </w:pPr>
            <w:r>
              <w:rPr>
                <w:sz w:val="22"/>
              </w:rPr>
              <w:t xml:space="preserve">18,4 (2,66)</w:t>
            </w:r>
          </w:p>
        </w:tc>
        <w:tc>
          <w:tcPr>
            <w:tcW w:w="1758" w:type="dxa"/>
          </w:tcPr>
          <w:p w:rsidR="005603EC" w:rsidRDefault="00AB61AC">
            <w:pPr>
              <w:pStyle w:val="Compact"/>
              <w:spacing w:line="240" w:lineRule="auto"/>
              <w:jc w:val="center"/>
            </w:pPr>
            <w:r>
              <w:rPr>
                <w:sz w:val="22"/>
              </w:rPr>
              <w:t xml:space="preserve">9,0 (4,00)</w:t>
            </w:r>
          </w:p>
        </w:tc>
        <w:tc>
          <w:tcPr>
            <w:tcW w:w="1758" w:type="dxa"/>
          </w:tcPr>
          <w:p w:rsidR="005603EC" w:rsidRDefault="00AB61AC">
            <w:pPr>
              <w:pStyle w:val="Compact"/>
              <w:spacing w:line="240" w:lineRule="auto"/>
              <w:jc w:val="center"/>
            </w:pPr>
            <w:r>
              <w:rPr>
                <w:sz w:val="22"/>
              </w:rPr>
              <w:t xml:space="preserve">6,4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−8,1 (4,00)</w:t>
            </w:r>
          </w:p>
        </w:tc>
        <w:tc>
          <w:tcPr>
            <w:tcW w:w="1758" w:type="dxa"/>
          </w:tcPr>
          <w:p w:rsidR="005603EC" w:rsidRDefault="00AB61AC">
            <w:pPr>
              <w:pStyle w:val="Compact"/>
              <w:spacing w:line="240" w:lineRule="auto"/>
              <w:jc w:val="center"/>
            </w:pPr>
            <w:r>
              <w:rPr>
                <w:sz w:val="22"/>
              </w:rPr>
              <w:t xml:space="preserve">10,3 (2,97)</w:t>
            </w:r>
          </w:p>
        </w:tc>
        <w:tc>
          <w:tcPr>
            <w:tcW w:w="1758" w:type="dxa"/>
          </w:tcPr>
          <w:p w:rsidR="005603EC" w:rsidRDefault="00AB61AC">
            <w:pPr>
              <w:pStyle w:val="Compact"/>
              <w:spacing w:line="240" w:lineRule="auto"/>
              <w:jc w:val="center"/>
            </w:pPr>
            <w:r>
              <w:rPr>
                <w:sz w:val="22"/>
              </w:rPr>
              <w:t xml:space="preserve">5,9 (3,41)</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206,5 (1,00)</w:t>
            </w:r>
          </w:p>
        </w:tc>
        <w:tc>
          <w:tcPr>
            <w:tcW w:w="1758" w:type="dxa"/>
          </w:tcPr>
          <w:p w:rsidR="005603EC" w:rsidRDefault="00AB61AC">
            <w:pPr>
              <w:pStyle w:val="Compact"/>
              <w:spacing w:line="240" w:lineRule="auto"/>
              <w:jc w:val="center"/>
            </w:pPr>
            <w:r>
              <w:rPr>
                <w:sz w:val="22"/>
              </w:rPr>
              <w:t xml:space="preserve">208,5 (1,00)</w:t>
            </w:r>
          </w:p>
        </w:tc>
        <w:tc>
          <w:tcPr>
            <w:tcW w:w="1758" w:type="dxa"/>
          </w:tcPr>
          <w:p w:rsidR="005603EC" w:rsidRDefault="00AB61AC">
            <w:pPr>
              <w:pStyle w:val="Compact"/>
              <w:spacing w:line="240" w:lineRule="auto"/>
              <w:jc w:val="center"/>
            </w:pPr>
            <w:r>
              <w:rPr>
                <w:sz w:val="22"/>
              </w:rPr>
              <w:t xml:space="preserve">121,1 (2,58)</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2,0 (3,96)</w:t>
            </w:r>
          </w:p>
        </w:tc>
        <w:tc>
          <w:tcPr>
            <w:tcW w:w="1758" w:type="dxa"/>
          </w:tcPr>
          <w:p w:rsidR="005603EC" w:rsidRDefault="00AB61AC">
            <w:pPr>
              <w:pStyle w:val="Compact"/>
              <w:spacing w:line="240" w:lineRule="auto"/>
              <w:jc w:val="center"/>
            </w:pPr>
            <w:r>
              <w:rPr>
                <w:sz w:val="22"/>
              </w:rPr>
              <w:t xml:space="preserve">0,6 (1,85)</w:t>
            </w:r>
          </w:p>
        </w:tc>
        <w:tc>
          <w:tcPr>
            <w:tcW w:w="1758" w:type="dxa"/>
          </w:tcPr>
          <w:p w:rsidR="005603EC" w:rsidRDefault="00AB61AC">
            <w:pPr>
              <w:pStyle w:val="Compact"/>
              <w:spacing w:line="240" w:lineRule="auto"/>
              <w:jc w:val="center"/>
            </w:pPr>
            <w:r>
              <w:rPr>
                <w:sz w:val="22"/>
              </w:rPr>
              <w:t xml:space="preserve">0,9 (2,31)</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17,2 (4,00)</w:t>
            </w:r>
          </w:p>
        </w:tc>
        <w:tc>
          <w:tcPr>
            <w:tcW w:w="1758" w:type="dxa"/>
          </w:tcPr>
          <w:p w:rsidR="005603EC" w:rsidRDefault="00AB61AC">
            <w:pPr>
              <w:pStyle w:val="Compact"/>
              <w:spacing w:line="240" w:lineRule="auto"/>
              <w:jc w:val="center"/>
            </w:pPr>
            <w:r>
              <w:rPr>
                <w:sz w:val="22"/>
              </w:rPr>
              <w:t xml:space="preserve">3,5 (1,69)</w:t>
            </w:r>
          </w:p>
        </w:tc>
        <w:tc>
          <w:tcPr>
            <w:tcW w:w="1758" w:type="dxa"/>
          </w:tcPr>
          <w:p w:rsidR="005603EC" w:rsidRDefault="00AB61AC">
            <w:pPr>
              <w:pStyle w:val="Compact"/>
              <w:spacing w:line="240" w:lineRule="auto"/>
              <w:jc w:val="center"/>
            </w:pPr>
            <w:r>
              <w:rPr>
                <w:sz w:val="22"/>
              </w:rPr>
              <w:t xml:space="preserve">7,3 (2,45)</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36,5 (4,00)</w:t>
            </w:r>
          </w:p>
        </w:tc>
        <w:tc>
          <w:tcPr>
            <w:tcW w:w="1758" w:type="dxa"/>
          </w:tcPr>
          <w:p w:rsidR="005603EC" w:rsidRDefault="00AB61AC">
            <w:pPr>
              <w:pStyle w:val="Compact"/>
              <w:spacing w:line="240" w:lineRule="auto"/>
              <w:jc w:val="center"/>
            </w:pPr>
            <w:r>
              <w:rPr>
                <w:sz w:val="22"/>
              </w:rPr>
              <w:t xml:space="preserve">65,5 (2,72)</w:t>
            </w:r>
          </w:p>
        </w:tc>
        <w:tc>
          <w:tcPr>
            <w:tcW w:w="1758" w:type="dxa"/>
          </w:tcPr>
          <w:p w:rsidR="005603EC" w:rsidRDefault="00AB61AC">
            <w:pPr>
              <w:pStyle w:val="Compact"/>
              <w:spacing w:line="240" w:lineRule="auto"/>
              <w:jc w:val="center"/>
            </w:pPr>
            <w:r>
              <w:rPr>
                <w:sz w:val="22"/>
              </w:rPr>
              <w:t xml:space="preserve">82,2 (1,89)</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60,1 (1,33)</w:t>
            </w:r>
          </w:p>
        </w:tc>
        <w:tc>
          <w:tcPr>
            <w:tcW w:w="1758" w:type="dxa"/>
          </w:tcPr>
          <w:p w:rsidR="005603EC" w:rsidRDefault="00AB61AC">
            <w:pPr>
              <w:pStyle w:val="Compact"/>
              <w:spacing w:line="240" w:lineRule="auto"/>
              <w:jc w:val="center"/>
            </w:pPr>
            <w:r>
              <w:rPr>
                <w:sz w:val="22"/>
              </w:rPr>
              <w:t xml:space="preserve">18,4 (4,00)</w:t>
            </w:r>
          </w:p>
        </w:tc>
        <w:tc>
          <w:tcPr>
            <w:tcW w:w="1758" w:type="dxa"/>
          </w:tcPr>
          <w:p w:rsidR="005603EC" w:rsidRDefault="00AB61AC">
            <w:pPr>
              <w:pStyle w:val="Compact"/>
              <w:spacing w:line="240" w:lineRule="auto"/>
              <w:jc w:val="center"/>
            </w:pPr>
            <w:r>
              <w:rPr>
                <w:sz w:val="22"/>
              </w:rPr>
              <w:t xml:space="preserve">37,0 (2,87)</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60,9 (1,61)</w:t>
            </w:r>
          </w:p>
        </w:tc>
        <w:tc>
          <w:tcPr>
            <w:tcW w:w="1758" w:type="dxa"/>
          </w:tcPr>
          <w:p w:rsidR="005603EC" w:rsidRDefault="00AB61AC">
            <w:pPr>
              <w:pStyle w:val="Compact"/>
              <w:spacing w:line="240" w:lineRule="auto"/>
              <w:jc w:val="center"/>
            </w:pPr>
            <w:r>
              <w:rPr>
                <w:sz w:val="22"/>
              </w:rPr>
              <w:t xml:space="preserve">31,4 (3,57)</w:t>
            </w:r>
          </w:p>
        </w:tc>
        <w:tc>
          <w:tcPr>
            <w:tcW w:w="1758" w:type="dxa"/>
          </w:tcPr>
          <w:p w:rsidR="005603EC" w:rsidRDefault="00AB61AC">
            <w:pPr>
              <w:pStyle w:val="Compact"/>
              <w:spacing w:line="240" w:lineRule="auto"/>
              <w:jc w:val="center"/>
            </w:pPr>
            <w:r>
              <w:rPr>
                <w:sz w:val="22"/>
              </w:rPr>
              <w:t xml:space="preserve">31,6 (3,56)</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3,96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3,76</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3,55</w:t>
            </w:r>
          </w:p>
        </w:tc>
        <w:tc>
          <w:tcPr>
            <w:tcW w:w="1758" w:type="dxa"/>
          </w:tcPr>
          <w:p w:rsidR="005603EC" w:rsidRDefault="00AB61AC">
            <w:pPr>
              <w:pStyle w:val="Compact"/>
              <w:spacing w:line="240" w:lineRule="auto"/>
              <w:jc w:val="center"/>
            </w:pPr>
            <w:r>
              <w:rPr>
                <w:b/>
                <w:bCs/>
                <w:sz w:val="22"/>
              </w:rPr>
              <w:t xml:space="preserve">3,42</w:t>
            </w:r>
          </w:p>
        </w:tc>
        <w:tc>
          <w:tcPr>
            <w:tcW w:w="1758" w:type="dxa"/>
          </w:tcPr>
          <w:p w:rsidR="005603EC" w:rsidRDefault="00AB61AC">
            <w:pPr>
              <w:pStyle w:val="Compact"/>
              <w:spacing w:line="240" w:lineRule="auto"/>
              <w:jc w:val="center"/>
            </w:pPr>
            <w:r>
              <w:rPr>
                <w:b/>
                <w:bCs/>
                <w:sz w:val="22"/>
              </w:rPr>
              <w:t xml:space="preserve">3,80</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2,56</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3,99</w:t>
            </w:r>
          </w:p>
        </w:tc>
        <w:tc>
          <w:tcPr>
            <w:tcW w:w="1758" w:type="dxa"/>
          </w:tcPr>
          <w:p w:rsidR="005603EC" w:rsidRDefault="00AB61AC">
            <w:pPr>
              <w:pStyle w:val="Compact"/>
              <w:spacing w:line="240" w:lineRule="auto"/>
              <w:jc w:val="center"/>
            </w:pPr>
            <w:r>
              <w:rPr>
                <w:b/>
                <w:bCs/>
                <w:sz w:val="22"/>
              </w:rPr>
              <w:t xml:space="preserve">2,09</w:t>
            </w:r>
          </w:p>
        </w:tc>
        <w:tc>
          <w:tcPr>
            <w:tcW w:w="1758" w:type="dxa"/>
          </w:tcPr>
          <w:p w:rsidR="005603EC" w:rsidRDefault="00AB61AC">
            <w:pPr>
              <w:pStyle w:val="Compact"/>
              <w:spacing w:line="240" w:lineRule="auto"/>
              <w:jc w:val="center"/>
            </w:pPr>
            <w:r>
              <w:rPr>
                <w:b/>
                <w:bCs/>
                <w:sz w:val="22"/>
              </w:rPr>
              <w:t xml:space="preserve">2,22</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1,47</w:t>
            </w:r>
          </w:p>
        </w:tc>
        <w:tc>
          <w:tcPr>
            <w:tcW w:w="1758" w:type="dxa"/>
          </w:tcPr>
          <w:p w:rsidR="005603EC" w:rsidRDefault="00AB61AC">
            <w:pPr>
              <w:pStyle w:val="Compact"/>
              <w:spacing w:line="240" w:lineRule="auto"/>
              <w:jc w:val="center"/>
            </w:pPr>
            <w:r>
              <w:rPr>
                <w:b/>
                <w:bCs/>
                <w:sz w:val="22"/>
              </w:rPr>
              <w:t xml:space="preserve">3,79</w:t>
            </w:r>
          </w:p>
        </w:tc>
        <w:tc>
          <w:tcPr>
            <w:tcW w:w="1758" w:type="dxa"/>
          </w:tcPr>
          <w:p w:rsidR="005603EC" w:rsidRDefault="00AB61AC">
            <w:pPr>
              <w:pStyle w:val="Compact"/>
              <w:spacing w:line="240" w:lineRule="auto"/>
              <w:jc w:val="center"/>
            </w:pPr>
            <w:r>
              <w:rPr>
                <w:b/>
                <w:bCs/>
                <w:sz w:val="22"/>
              </w:rPr>
              <w:t xml:space="preserve">3,21</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3,27</w:t>
            </w:r>
          </w:p>
        </w:tc>
        <w:tc>
          <w:tcPr>
            <w:tcW w:w="1758" w:type="dxa"/>
          </w:tcPr>
          <w:p w:rsidR="005603EC" w:rsidRDefault="00AB61AC">
            <w:pPr>
              <w:pStyle w:val="Compact"/>
              <w:spacing w:line="240" w:lineRule="auto"/>
              <w:jc w:val="center"/>
            </w:pPr>
            <w:r>
              <w:rPr>
                <w:b/>
                <w:bCs/>
                <w:sz w:val="22"/>
              </w:rPr>
              <w:t xml:space="preserve">3,13</w:t>
            </w:r>
          </w:p>
        </w:tc>
        <w:tc>
          <w:tcPr>
            <w:tcW w:w="1758" w:type="dxa"/>
          </w:tcPr>
          <w:p w:rsidR="005603EC" w:rsidRDefault="00AB61AC">
            <w:pPr>
              <w:pStyle w:val="Compact"/>
              <w:spacing w:line="240" w:lineRule="auto"/>
              <w:jc w:val="center"/>
            </w:pPr>
            <w:r>
              <w:rPr>
                <w:b/>
                <w:bCs/>
                <w:sz w:val="22"/>
              </w:rPr>
              <w:t xml:space="preserve">3,248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color w:val="FF0000"/>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8,87 (3,35)</w:t>
            </w:r>
          </w:p>
        </w:tc>
        <w:tc>
          <w:tcPr>
            <w:tcW w:w="1758" w:type="dxa"/>
          </w:tcPr>
          <w:p w:rsidR="005603EC" w:rsidRDefault="00AB61AC">
            <w:pPr>
              <w:pStyle w:val="Compact"/>
              <w:spacing w:line="240" w:lineRule="auto"/>
              <w:jc w:val="center"/>
            </w:pPr>
            <w:r>
              <w:rPr>
                <w:sz w:val="22"/>
              </w:rPr>
              <w:t xml:space="preserve">18,24 (4,00)</w:t>
            </w:r>
          </w:p>
        </w:tc>
        <w:tc>
          <w:tcPr>
            <w:tcW w:w="1758" w:type="dxa"/>
          </w:tcPr>
          <w:p w:rsidR="005603EC" w:rsidRDefault="00AB61AC">
            <w:pPr>
              <w:pStyle w:val="Compact"/>
              <w:spacing w:line="240" w:lineRule="auto"/>
              <w:jc w:val="center"/>
            </w:pPr>
            <w:r>
              <w:rPr>
                <w:sz w:val="22"/>
              </w:rPr>
              <w:t xml:space="preserve">9,76 (3,70)</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15,32 (3,93)</w:t>
            </w:r>
          </w:p>
        </w:tc>
        <w:tc>
          <w:tcPr>
            <w:tcW w:w="1758" w:type="dxa"/>
          </w:tcPr>
          <w:p w:rsidR="005603EC" w:rsidRDefault="00AB61AC">
            <w:pPr>
              <w:pStyle w:val="Compact"/>
              <w:spacing w:line="240" w:lineRule="auto"/>
              <w:jc w:val="center"/>
            </w:pPr>
            <w:r>
              <w:rPr>
                <w:sz w:val="22"/>
              </w:rPr>
              <w:t xml:space="preserve">19,96 (4,00)</w:t>
            </w:r>
          </w:p>
        </w:tc>
        <w:tc>
          <w:tcPr>
            <w:tcW w:w="1758" w:type="dxa"/>
          </w:tcPr>
          <w:p w:rsidR="005603EC" w:rsidRDefault="00AB61AC">
            <w:pPr>
              <w:pStyle w:val="Compact"/>
              <w:spacing w:line="240" w:lineRule="auto"/>
              <w:jc w:val="center"/>
            </w:pPr>
            <w:r>
              <w:rPr>
                <w:sz w:val="22"/>
              </w:rPr>
              <w:t xml:space="preserve">13,11 (3,04)</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10,6 (4,00)</w:t>
            </w:r>
          </w:p>
        </w:tc>
        <w:tc>
          <w:tcPr>
            <w:tcW w:w="1758" w:type="dxa"/>
          </w:tcPr>
          <w:p w:rsidR="005603EC" w:rsidRDefault="00AB61AC">
            <w:pPr>
              <w:pStyle w:val="Compact"/>
              <w:spacing w:line="240" w:lineRule="auto"/>
              <w:jc w:val="center"/>
            </w:pPr>
            <w:r>
              <w:rPr>
                <w:sz w:val="22"/>
              </w:rPr>
              <w:t xml:space="preserve">20,2 (4,00)</w:t>
            </w:r>
          </w:p>
        </w:tc>
        <w:tc>
          <w:tcPr>
            <w:tcW w:w="1758" w:type="dxa"/>
          </w:tcPr>
          <w:p w:rsidR="005603EC" w:rsidRDefault="00AB61AC">
            <w:pPr>
              <w:pStyle w:val="Compact"/>
              <w:spacing w:line="240" w:lineRule="auto"/>
              <w:jc w:val="center"/>
            </w:pPr>
            <w:r>
              <w:rPr>
                <w:sz w:val="22"/>
              </w:rPr>
              <w:t xml:space="preserve">11,1 (4,00)</w:t>
            </w:r>
          </w:p>
        </w:tc>
      </w:tr>
      <w:tr w:rsidR="005603EC" w:rsidTr="005603EC">
        <w:trPr>
          <w:cantSplit/>
        </w:trPr>
        <w:tc>
          <w:tcPr>
            <w:tcW w:w="4082" w:type="dxa"/>
          </w:tcPr>
          <w:p w:rsidR="005603EC" w:rsidRDefault="00AB61AC">
            <w:pPr>
              <w:pStyle w:val="Compact"/>
              <w:spacing w:line="240" w:lineRule="auto"/>
            </w:pPr>
            <w:r>
              <w:rPr>
                <w:sz w:val="22"/>
              </w:rPr>
              <w:t xml:space="preserve">A1. 3-bosqich kreditlar ulushi, %</w:t>
            </w:r>
          </w:p>
        </w:tc>
        <w:tc>
          <w:tcPr>
            <w:tcW w:w="1758" w:type="dxa"/>
          </w:tcPr>
          <w:p w:rsidR="005603EC" w:rsidRDefault="00AB61AC">
            <w:pPr>
              <w:pStyle w:val="Compact"/>
              <w:spacing w:line="240" w:lineRule="auto"/>
              <w:jc w:val="center"/>
            </w:pPr>
            <w:r>
              <w:rPr>
                <w:sz w:val="22"/>
              </w:rPr>
              <w:t xml:space="preserve">7,5 (2,50)</w:t>
            </w:r>
          </w:p>
        </w:tc>
        <w:tc>
          <w:tcPr>
            <w:tcW w:w="1758" w:type="dxa"/>
          </w:tcPr>
          <w:p w:rsidR="005603EC" w:rsidRDefault="00AB61AC">
            <w:pPr>
              <w:pStyle w:val="Compact"/>
              <w:spacing w:line="240" w:lineRule="auto"/>
              <w:jc w:val="center"/>
            </w:pPr>
            <w:r>
              <w:rPr>
                <w:sz w:val="22"/>
              </w:rPr>
              <w:t xml:space="preserve">12,3 (1,53)</w:t>
            </w:r>
          </w:p>
        </w:tc>
        <w:tc>
          <w:tcPr>
            <w:tcW w:w="1758" w:type="dxa"/>
          </w:tcPr>
          <w:p w:rsidR="005603EC" w:rsidRDefault="00AB61AC">
            <w:pPr>
              <w:pStyle w:val="Compact"/>
              <w:spacing w:line="240" w:lineRule="auto"/>
              <w:jc w:val="center"/>
            </w:pPr>
            <w:r>
              <w:rPr>
                <w:sz w:val="22"/>
              </w:rPr>
              <w:t xml:space="preserve">7,2 (2,56)</w:t>
            </w:r>
          </w:p>
        </w:tc>
      </w:tr>
      <w:tr w:rsidR="005603EC" w:rsidTr="005603EC">
        <w:trPr>
          <w:cantSplit/>
        </w:trPr>
        <w:tc>
          <w:tcPr>
            <w:tcW w:w="4082" w:type="dxa"/>
          </w:tcPr>
          <w:p w:rsidR="005603EC" w:rsidRDefault="00AB61AC">
            <w:pPr>
              <w:pStyle w:val="Compact"/>
              <w:spacing w:line="240" w:lineRule="auto"/>
            </w:pPr>
            <w:r>
              <w:rPr>
                <w:sz w:val="22"/>
              </w:rPr>
              <w:t xml:space="preserve">A2. 2-bosqich kreditlar ulushi, %</w:t>
            </w:r>
          </w:p>
        </w:tc>
        <w:tc>
          <w:tcPr>
            <w:tcW w:w="1758" w:type="dxa"/>
          </w:tcPr>
          <w:p w:rsidR="005603EC" w:rsidRDefault="00AB61AC">
            <w:pPr>
              <w:pStyle w:val="Compact"/>
              <w:spacing w:line="240" w:lineRule="auto"/>
              <w:jc w:val="center"/>
            </w:pPr>
            <w:r>
              <w:rPr>
                <w:sz w:val="22"/>
              </w:rPr>
              <w:t xml:space="preserve">35,7 (1,00)</w:t>
            </w:r>
          </w:p>
        </w:tc>
        <w:tc>
          <w:tcPr>
            <w:tcW w:w="1758" w:type="dxa"/>
          </w:tcPr>
          <w:p w:rsidR="005603EC" w:rsidRDefault="00AB61AC">
            <w:pPr>
              <w:pStyle w:val="Compact"/>
              <w:spacing w:line="240" w:lineRule="auto"/>
              <w:jc w:val="center"/>
            </w:pPr>
            <w:r>
              <w:rPr>
                <w:sz w:val="22"/>
              </w:rPr>
              <w:t xml:space="preserve">25,3 (1,97)</w:t>
            </w:r>
          </w:p>
        </w:tc>
        <w:tc>
          <w:tcPr>
            <w:tcW w:w="1758" w:type="dxa"/>
          </w:tcPr>
          <w:p w:rsidR="005603EC" w:rsidRDefault="00AB61AC">
            <w:pPr>
              <w:pStyle w:val="Compact"/>
              <w:spacing w:line="240" w:lineRule="auto"/>
              <w:jc w:val="center"/>
            </w:pPr>
            <w:r>
              <w:rPr>
                <w:sz w:val="22"/>
              </w:rPr>
              <w:t xml:space="preserve">6,6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6,5 (3,35)</w:t>
            </w:r>
          </w:p>
        </w:tc>
        <w:tc>
          <w:tcPr>
            <w:tcW w:w="1758" w:type="dxa"/>
          </w:tcPr>
          <w:p w:rsidR="005603EC" w:rsidRDefault="00AB61AC">
            <w:pPr>
              <w:pStyle w:val="Compact"/>
              <w:spacing w:line="240" w:lineRule="auto"/>
              <w:jc w:val="center"/>
            </w:pPr>
            <w:r>
              <w:rPr>
                <w:sz w:val="22"/>
              </w:rPr>
              <w:t xml:space="preserve">29,1 (1,09)</w:t>
            </w:r>
          </w:p>
        </w:tc>
        <w:tc>
          <w:tcPr>
            <w:tcW w:w="1758" w:type="dxa"/>
          </w:tcPr>
          <w:p w:rsidR="005603EC" w:rsidRDefault="00AB61AC">
            <w:pPr>
              <w:pStyle w:val="Compact"/>
              <w:spacing w:line="240" w:lineRule="auto"/>
              <w:jc w:val="center"/>
            </w:pPr>
            <w:r>
              <w:rPr>
                <w:sz w:val="22"/>
              </w:rPr>
              <w:t xml:space="preserve">17,8 (2,22)</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221,0 (1,00)</w:t>
            </w:r>
          </w:p>
        </w:tc>
        <w:tc>
          <w:tcPr>
            <w:tcW w:w="1758" w:type="dxa"/>
          </w:tcPr>
          <w:p w:rsidR="005603EC" w:rsidRDefault="00AB61AC">
            <w:pPr>
              <w:pStyle w:val="Compact"/>
              <w:spacing w:line="240" w:lineRule="auto"/>
              <w:jc w:val="center"/>
            </w:pPr>
            <w:r>
              <w:rPr>
                <w:sz w:val="22"/>
              </w:rPr>
              <w:t xml:space="preserve">324,5 (1,00)</w:t>
            </w:r>
          </w:p>
        </w:tc>
        <w:tc>
          <w:tcPr>
            <w:tcW w:w="1758" w:type="dxa"/>
          </w:tcPr>
          <w:p w:rsidR="005603EC" w:rsidRDefault="00AB61AC">
            <w:pPr>
              <w:pStyle w:val="Compact"/>
              <w:spacing w:line="240" w:lineRule="auto"/>
              <w:jc w:val="center"/>
            </w:pPr>
            <w:r>
              <w:rPr>
                <w:sz w:val="22"/>
              </w:rPr>
              <w:t xml:space="preserve">140,1 (2,20)</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1,7 (3,49)</w:t>
            </w:r>
          </w:p>
        </w:tc>
        <w:tc>
          <w:tcPr>
            <w:tcW w:w="1758" w:type="dxa"/>
          </w:tcPr>
          <w:p w:rsidR="005603EC" w:rsidRDefault="00AB61AC">
            <w:pPr>
              <w:pStyle w:val="Compact"/>
              <w:spacing w:line="240" w:lineRule="auto"/>
              <w:jc w:val="center"/>
            </w:pPr>
            <w:r>
              <w:rPr>
                <w:sz w:val="22"/>
              </w:rPr>
              <w:t xml:space="preserve">0,2 (1,22)</w:t>
            </w:r>
          </w:p>
        </w:tc>
        <w:tc>
          <w:tcPr>
            <w:tcW w:w="1758" w:type="dxa"/>
          </w:tcPr>
          <w:p w:rsidR="005603EC" w:rsidRDefault="00AB61AC">
            <w:pPr>
              <w:pStyle w:val="Compact"/>
              <w:spacing w:line="240" w:lineRule="auto"/>
              <w:jc w:val="center"/>
            </w:pPr>
            <w:r>
              <w:rPr>
                <w:sz w:val="22"/>
              </w:rPr>
              <w:t xml:space="preserve">−0,7 (1,00)</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15,7 (4,00)</w:t>
            </w:r>
          </w:p>
        </w:tc>
        <w:tc>
          <w:tcPr>
            <w:tcW w:w="1758" w:type="dxa"/>
          </w:tcPr>
          <w:p w:rsidR="005603EC" w:rsidRDefault="00AB61AC">
            <w:pPr>
              <w:pStyle w:val="Compact"/>
              <w:spacing w:line="240" w:lineRule="auto"/>
              <w:jc w:val="center"/>
            </w:pPr>
            <w:r>
              <w:rPr>
                <w:sz w:val="22"/>
              </w:rPr>
              <w:t xml:space="preserve">0,8 (1,16)</w:t>
            </w:r>
          </w:p>
        </w:tc>
        <w:tc>
          <w:tcPr>
            <w:tcW w:w="1758" w:type="dxa"/>
          </w:tcPr>
          <w:p w:rsidR="005603EC" w:rsidRDefault="00AB61AC">
            <w:pPr>
              <w:pStyle w:val="Compact"/>
              <w:spacing w:line="240" w:lineRule="auto"/>
              <w:jc w:val="center"/>
            </w:pPr>
            <w:r>
              <w:rPr>
                <w:sz w:val="22"/>
              </w:rPr>
              <w:t xml:space="preserve">−5,9 (1,00)</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41,5 (4,00)</w:t>
            </w:r>
          </w:p>
        </w:tc>
        <w:tc>
          <w:tcPr>
            <w:tcW w:w="1758" w:type="dxa"/>
          </w:tcPr>
          <w:p w:rsidR="005603EC" w:rsidRDefault="00AB61AC">
            <w:pPr>
              <w:pStyle w:val="Compact"/>
              <w:spacing w:line="240" w:lineRule="auto"/>
              <w:jc w:val="center"/>
            </w:pPr>
            <w:r>
              <w:rPr>
                <w:sz w:val="22"/>
              </w:rPr>
              <w:t xml:space="preserve">87,6 (1,62)</w:t>
            </w:r>
          </w:p>
        </w:tc>
        <w:tc>
          <w:tcPr>
            <w:tcW w:w="1758" w:type="dxa"/>
          </w:tcPr>
          <w:p w:rsidR="005603EC" w:rsidRDefault="00AB61AC">
            <w:pPr>
              <w:pStyle w:val="Compact"/>
              <w:spacing w:line="240" w:lineRule="auto"/>
              <w:jc w:val="center"/>
            </w:pPr>
            <w:r>
              <w:rPr>
                <w:sz w:val="22"/>
              </w:rPr>
              <w:t xml:space="preserve">89,0 (1,55)</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61,2 (1,25)</w:t>
            </w:r>
          </w:p>
        </w:tc>
        <w:tc>
          <w:tcPr>
            <w:tcW w:w="1758" w:type="dxa"/>
          </w:tcPr>
          <w:p w:rsidR="005603EC" w:rsidRDefault="00AB61AC">
            <w:pPr>
              <w:pStyle w:val="Compact"/>
              <w:spacing w:line="240" w:lineRule="auto"/>
              <w:jc w:val="center"/>
            </w:pPr>
            <w:r>
              <w:rPr>
                <w:sz w:val="22"/>
              </w:rPr>
              <w:t xml:space="preserve">–</w:t>
            </w:r>
          </w:p>
        </w:tc>
        <w:tc>
          <w:tcPr>
            <w:tcW w:w="1758" w:type="dxa"/>
          </w:tcPr>
          <w:p w:rsidR="005603EC" w:rsidRDefault="00AB61AC">
            <w:pPr>
              <w:pStyle w:val="Compact"/>
              <w:spacing w:line="240" w:lineRule="auto"/>
              <w:jc w:val="center"/>
            </w:pPr>
            <w:r>
              <w:rPr>
                <w:sz w:val="22"/>
              </w:rPr>
              <w:t xml:space="preserve">–</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60,4 (1,64)</w:t>
            </w:r>
          </w:p>
        </w:tc>
        <w:tc>
          <w:tcPr>
            <w:tcW w:w="1758" w:type="dxa"/>
          </w:tcPr>
          <w:p w:rsidR="005603EC" w:rsidRDefault="00AB61AC">
            <w:pPr>
              <w:pStyle w:val="Compact"/>
              <w:spacing w:line="240" w:lineRule="auto"/>
              <w:jc w:val="center"/>
            </w:pPr>
            <w:r>
              <w:rPr>
                <w:sz w:val="22"/>
              </w:rPr>
              <w:t xml:space="preserve">22,4 (4,00)</w:t>
            </w:r>
          </w:p>
        </w:tc>
        <w:tc>
          <w:tcPr>
            <w:tcW w:w="1758" w:type="dxa"/>
          </w:tcPr>
          <w:p w:rsidR="005603EC" w:rsidRDefault="00AB61AC">
            <w:pPr>
              <w:pStyle w:val="Compact"/>
              <w:spacing w:line="240" w:lineRule="auto"/>
              <w:jc w:val="center"/>
            </w:pPr>
            <w:r>
              <w:rPr>
                <w:sz w:val="22"/>
              </w:rPr>
              <w:t xml:space="preserve">31,4 (3,57)</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3,76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3,58</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2,28</w:t>
            </w:r>
          </w:p>
        </w:tc>
        <w:tc>
          <w:tcPr>
            <w:tcW w:w="1758" w:type="dxa"/>
          </w:tcPr>
          <w:p w:rsidR="005603EC" w:rsidRDefault="00AB61AC">
            <w:pPr>
              <w:pStyle w:val="Compact"/>
              <w:spacing w:line="240" w:lineRule="auto"/>
              <w:jc w:val="center"/>
            </w:pPr>
            <w:r>
              <w:rPr>
                <w:b/>
                <w:bCs/>
                <w:sz w:val="22"/>
              </w:rPr>
              <w:t xml:space="preserve">1,53</w:t>
            </w:r>
          </w:p>
        </w:tc>
        <w:tc>
          <w:tcPr>
            <w:tcW w:w="1758" w:type="dxa"/>
          </w:tcPr>
          <w:p w:rsidR="005603EC" w:rsidRDefault="00AB61AC">
            <w:pPr>
              <w:pStyle w:val="Compact"/>
              <w:spacing w:line="240" w:lineRule="auto"/>
              <w:jc w:val="center"/>
            </w:pPr>
            <w:r>
              <w:rPr>
                <w:b/>
                <w:bCs/>
                <w:sz w:val="22"/>
              </w:rPr>
              <w:t xml:space="preserve">2,93</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2,37</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3,83</w:t>
            </w:r>
          </w:p>
        </w:tc>
        <w:tc>
          <w:tcPr>
            <w:tcW w:w="1758" w:type="dxa"/>
          </w:tcPr>
          <w:p w:rsidR="005603EC" w:rsidRDefault="00AB61AC">
            <w:pPr>
              <w:pStyle w:val="Compact"/>
              <w:spacing w:line="240" w:lineRule="auto"/>
              <w:jc w:val="center"/>
            </w:pPr>
            <w:r>
              <w:rPr>
                <w:b/>
                <w:bCs/>
                <w:sz w:val="22"/>
              </w:rPr>
              <w:t xml:space="preserve">1,33</w:t>
            </w:r>
          </w:p>
        </w:tc>
        <w:tc>
          <w:tcPr>
            <w:tcW w:w="1758" w:type="dxa"/>
          </w:tcPr>
          <w:p w:rsidR="005603EC" w:rsidRDefault="00AB61AC">
            <w:pPr>
              <w:pStyle w:val="Compact"/>
              <w:spacing w:line="240" w:lineRule="auto"/>
              <w:jc w:val="center"/>
            </w:pPr>
            <w:r>
              <w:rPr>
                <w:b/>
                <w:bCs/>
                <w:sz w:val="22"/>
              </w:rPr>
              <w:t xml:space="preserve">1,18</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1,45</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3,57</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2,81</w:t>
            </w:r>
          </w:p>
        </w:tc>
        <w:tc>
          <w:tcPr>
            <w:tcW w:w="1758" w:type="dxa"/>
          </w:tcPr>
          <w:p w:rsidR="005603EC" w:rsidRDefault="00AB61AC">
            <w:pPr>
              <w:pStyle w:val="Compact"/>
              <w:spacing w:line="240" w:lineRule="auto"/>
              <w:jc w:val="center"/>
            </w:pPr>
            <w:r>
              <w:rPr>
                <w:b/>
                <w:bCs/>
                <w:sz w:val="22"/>
              </w:rPr>
              <w:t xml:space="preserve">2,47</w:t>
            </w:r>
          </w:p>
        </w:tc>
        <w:tc>
          <w:tcPr>
            <w:tcW w:w="1758" w:type="dxa"/>
          </w:tcPr>
          <w:p w:rsidR="005603EC" w:rsidRDefault="00AB61AC">
            <w:pPr>
              <w:pStyle w:val="Compact"/>
              <w:spacing w:line="240" w:lineRule="auto"/>
              <w:jc w:val="center"/>
            </w:pPr>
            <w:r>
              <w:rPr>
                <w:b/>
                <w:bCs/>
                <w:sz w:val="22"/>
              </w:rPr>
              <w:t xml:space="preserve">2,78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color w:val="FF0000"/>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color w:val="FF0000"/>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tcPr>
          <w:p>
            <w:pPr>
              <w:spacing w:before="0" w:after="0" w:line="240" w:lineRule="auto"/>
              <w:ind w:firstLine="0"/>
              <w:jc w:val="left"/>
            </w:pPr>
            <w:r>
              <w:rPr>
                <w:rFonts w:ascii="Times New Roman" w:hAnsi="Times New Roman" w:eastAsia="Times New Roman" w:cs="Times New Roman"/>
                <w:b/>
                <w:color w:val="FF0000"/>
                <w:sz w:val="22"/>
              </w:rPr>
              <w:t>Bank va hisobot turi</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2021</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2022</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2023</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2024</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2025</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3,14</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3,27</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2,18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2,31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2,47</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3,25</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r>
    </w:tbl>
    <w:p w:rsidR="005603EC" w:rsidRDefault="00AB61AC">
      <w:pPr>
        <w:pStyle w:val="af"/>
        <w:spacing w:after="0" w:line="360" w:lineRule="auto"/>
        <w:ind w:firstLine="709"/>
        <w:jc w:val="both"/>
      </w:pPr>
      <w:r>
        <w:rPr>
          <w:i/>
          <w:iCs/>
          <w:color w:val="FF0000"/>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color w:val="FF0000"/>
        </w:rPr>
        <w:t xml:space="preserve">3.1.3-rasm. Uch bankda moliyaviy barqarorlikning integral indeksi: milliy hisobot va MHXS asosida, 2021–2025-yillar, ball</w:t>
      </w:r>
      <w:r>
        <w:rPr>
          <w:rStyle w:val="aff8"/>
          <w:color w:val="FF0000"/>
        </w:rPr>
        <w:footnoteReference w:id="412"/>
      </w:r>
    </w:p>
    <w:p w:rsidR="005603EC" w:rsidRDefault="00AB61AC">
      <w:pPr>
        <w:pStyle w:val="af"/>
        <w:spacing w:after="0" w:line="360" w:lineRule="auto"/>
        <w:ind w:firstLine="709"/>
        <w:jc w:val="both"/>
      </w:pPr>
      <w:r>
        <w:rPr>
          <w:color w:val="FF0000"/>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color w:val="FF0000"/>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color w:val="FF0000"/>
        </w:rPr>
        <w:t xml:space="preserve">3.1.4</w:t>
      </w:r>
      <w:r>
        <w:rPr>
          <w:b/>
        </w:rPr>
        <w:t xml:space="preserve">-rasm</w:t>
      </w:r>
      <w:r>
        <w:rPr>
          <w:b/>
        </w:rPr>
        <w:t xml:space="preserve">. Moliyaviy barqarorlikning integral indeksi qiymatlarining vaznlar tizimiga sezgirligi, 2025-yil</w:t>
      </w:r>
      <w:r>
        <w:rPr>
          <w:rStyle w:val="aff8"/>
        </w:rPr>
        <w:footnoteReference w:id="413"/>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5"/>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6"/>
      </w:r>
      <w:r>
        <w:t>. Moliyaviy stress indekslarini qurishda ham M. Illing va Y. Liu turli vaznlash usullarini solishtirib, eng yaxshi usulni indeksning haqiqiy stress davrlarini aniqlash qobiliyati bo‘yicha tanlagan</w:t>
      </w:r>
      <w:r>
        <w:rPr>
          <w:rStyle w:val="aff8"/>
        </w:rPr>
        <w:footnoteReference w:id="417"/>
      </w:r>
      <w:r>
        <w:t>. A.M. Karminskiy esa reyting modellarida vaznlar ekspert yo‘li bilan belgilansa ham, ular albatta statistik tekshiruvdan o‘tkazilishi lozimligini ta’kidlaydi</w:t>
      </w:r>
      <w:r>
        <w:rPr>
          <w:rStyle w:val="aff8"/>
        </w:rPr>
        <w:footnoteReference w:id="418"/>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 xml:space="preserve">K. Shannon entropiyasi asosida har bir ko‘rsatkich</w:t>
            </w:r>
            <w:r>
              <w:rPr>
                <w:color w:val="FF0000"/>
                <w:sz w:val="22"/>
              </w:rPr>
              <w:t xml:space="preserve"> ballarining 25 ta bank-yil kuzatuvi</w:t>
            </w:r>
            <w:r>
              <w:rPr>
                <w:sz w:val="22"/>
              </w:rPr>
              <w:t xml:space="preserve">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r>
              <w:rPr>
                <w:color w:val="FF0000"/>
                <w:sz w:val="22"/>
              </w:rPr>
              <w:t xml:space="preserve"> (koeffitsiyentlar modulining ulushi; kutilganiga teskari ishorali koeffitsiyentga ega blok vazni – 0)</w:t>
            </w:r>
          </w:p>
        </w:tc>
        <w:tc>
          <w:tcPr>
            <w:tcW w:w="2381" w:type="dxa"/>
          </w:tcPr>
          <w:p w:rsidR="005603EC" w:rsidRDefault="00AB61AC">
            <w:pPr>
              <w:pStyle w:val="Compact"/>
              <w:spacing w:line="240" w:lineRule="auto"/>
            </w:pPr>
            <w:r>
              <w:rPr>
                <w:sz w:val="22"/>
              </w:rPr>
              <w:t xml:space="preserve">25 bank, 2021–2024-yillar choraklik ma’lumotlari</w:t>
            </w:r>
            <w:r>
              <w:rPr>
                <w:color w:val="FF0000"/>
                <w:sz w:val="22"/>
              </w:rPr>
              <w:t xml:space="preserve"> (308 kuzatuv), 8 ko‘rsatkichli panel indeksining 3 bloki (aktivlar sifati, likvidlik, daromadlilik)</w:t>
            </w:r>
            <w:r>
              <w:rPr>
                <w:sz w:val="22"/>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0"/>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1"/>
      </w:r>
      <w:r>
        <w:rPr>
          <w:rStyle w:val="aff8"/>
        </w:rPr>
        <w:footnoteReference w:id="422"/>
      </w:r>
      <w:r>
        <w:rPr>
          <w:rStyle w:val="aff8"/>
        </w:rPr>
        <w:footnoteReference w:id="423"/>
      </w:r>
      <w:r>
        <w:rPr>
          <w:rStyle w:val="aff8"/>
        </w:rPr>
        <w:footnoteReference w:id="424"/>
      </w:r>
      <w:r>
        <w:rPr>
          <w:rStyle w:val="aff8"/>
        </w:rPr>
        <w:footnoteReference w:id="425"/>
      </w:r>
      <w:r>
        <w:t>. Yuqori likvid aktivlar ulushi esa “SNS” reyting agentligi bazasidan olindi</w:t>
      </w:r>
      <w:r>
        <w:rPr>
          <w:rStyle w:val="aff8"/>
        </w:rPr>
        <w:footnoteReference w:id="426"/>
      </w:r>
      <w:r>
        <w:t>. Logit usuli uchun 3.3-paragrafda shakllantirilgan 25 ta bank paneli qo‘llandi</w:t>
      </w:r>
      <w:r>
        <w:rPr>
          <w:color w:val="FF0000"/>
        </w:rPr>
        <w:t xml:space="preserve"> (panelning tarkibi 3.3-paragrafda, muammo hodisasining ta’rifi esa 4.1-paragrafda batafsil yoritiladi</w:t>
      </w:r>
      <w:r>
        <w:rPr>
          <w:color w:val="FF0000"/>
        </w:rPr>
        <w:t xml:space="preserve">). Bu panelda kapital monandligi koeffitsiyentlari, MHXS 9 bo‘yicha kreditlar bosqichlari va valyuta tarkibi bank kesimida e’lon qilinmagani sababli indeks 13 ta ko‘rsatkichning barcha banklar uchun mavjud bo‘lgan sakkiztasi asosida hisoblanadi. Ikki indeksni farqlash uchun bundan keyin 13 ko‘rsatkichli to‘liq indeks MBII-13, 8 ko‘rsatkichli panel indeksi esa MBII-8 deb belgilanadi. MBII-8 da kapital bloki</w:t>
      </w:r>
      <w:r>
        <w:rPr>
          <w:rStyle w:val="aff8"/>
        </w:rPr>
        <w:footnoteReference w:id="427"/>
      </w:r>
      <w:r>
        <w:t xml:space="preserve">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color w:val="FF0000"/>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yaqin yoki undan yuqori vazn bergan</w:t>
      </w:r>
      <w:r>
        <w:t xml:space="preserve">: entropiya,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color w:val="FF0000"/>
        </w:rPr>
        <w:t xml:space="preserve">(0,30)</w:t>
      </w:r>
      <w:r>
        <w:rPr/>
        <w:t xml:space="preserve">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color w:val="FF0000"/>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color w:val="FF0000"/>
        </w:rPr>
        <w:t xml:space="preserve">Jadval ma’lumotlaridan</w:t>
      </w:r>
      <w:r>
        <w:t xml:space="preserve"> ko‘rinib turibdiki, usullar o‘rtasidagi farq asosan </w:t>
      </w:r>
      <w:r>
        <w:rPr>
          <w:color w:val="FF0000"/>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color w:val="FF0000"/>
        </w:rPr>
        <w:t xml:space="preserve">Tanlangan banklarning</w:t>
      </w:r>
      <w:r>
        <w:rPr>
          <w:b/>
          <w:bCs/>
        </w:rPr>
        <w:t xml:space="preserve">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color w:val="FF0000"/>
                <w:sz w:val="22"/>
              </w:rPr>
              <w:t xml:space="preserve">Bank / ko‘rsatkich</w:t>
            </w:r>
          </w:p>
        </w:tc>
        <w:tc>
          <w:tcPr>
            <w:tcW w:w="1176" w:type="dxa"/>
            <w:shd w:val="clear" w:color="auto" w:fill="DEEBF7"/>
          </w:tcPr>
          <w:p w:rsidR="005603EC" w:rsidRDefault="00AB61AC">
            <w:pPr>
              <w:pStyle w:val="Compact"/>
              <w:spacing w:line="240" w:lineRule="auto"/>
              <w:jc w:val="center"/>
            </w:pPr>
            <w:r>
              <w:rPr>
                <w:b/>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color w:val="FF0000"/>
                <w:sz w:val="22"/>
              </w:rPr>
              <w:t xml:space="preserve">“Aloqabank” ATB (tanlanmadan tashqari)</w:t>
            </w:r>
          </w:p>
        </w:tc>
        <w:tc>
          <w:tcPr>
            <w:tcW w:w="1176" w:type="dxa"/>
          </w:tcPr>
          <w:p w:rsidR="005603EC" w:rsidRDefault="00AB61AC">
            <w:pPr>
              <w:pStyle w:val="Compact"/>
              <w:spacing w:line="240" w:lineRule="auto"/>
              <w:jc w:val="center"/>
            </w:pPr>
            <w:r>
              <w:rPr>
                <w:color w:val="FF0000"/>
                <w:sz w:val="22"/>
              </w:rPr>
              <w:t xml:space="preserve">2,78</w:t>
            </w:r>
          </w:p>
        </w:tc>
        <w:tc>
          <w:tcPr>
            <w:tcW w:w="1176" w:type="dxa"/>
          </w:tcPr>
          <w:p w:rsidR="005603EC" w:rsidRDefault="00AB61AC">
            <w:pPr>
              <w:pStyle w:val="Compact"/>
              <w:spacing w:line="240" w:lineRule="auto"/>
              <w:jc w:val="center"/>
            </w:pPr>
            <w:r>
              <w:rPr>
                <w:color w:val="FF0000"/>
                <w:sz w:val="22"/>
              </w:rPr>
              <w:t xml:space="preserve">2,23</w:t>
            </w:r>
          </w:p>
        </w:tc>
        <w:tc>
          <w:tcPr>
            <w:tcW w:w="1176" w:type="dxa"/>
          </w:tcPr>
          <w:p w:rsidR="005603EC" w:rsidRDefault="00AB61AC">
            <w:pPr>
              <w:pStyle w:val="Compact"/>
              <w:spacing w:line="240" w:lineRule="auto"/>
              <w:jc w:val="center"/>
            </w:pPr>
            <w:r>
              <w:rPr>
                <w:color w:val="FF0000"/>
                <w:sz w:val="22"/>
              </w:rPr>
              <w:t xml:space="preserve">2,41</w:t>
            </w:r>
          </w:p>
        </w:tc>
        <w:tc>
          <w:tcPr>
            <w:tcW w:w="1176" w:type="dxa"/>
          </w:tcPr>
          <w:p w:rsidR="005603EC" w:rsidRDefault="00AB61AC">
            <w:pPr>
              <w:pStyle w:val="Compact"/>
              <w:spacing w:line="240" w:lineRule="auto"/>
              <w:jc w:val="center"/>
            </w:pPr>
            <w:r>
              <w:rPr>
                <w:color w:val="FF0000"/>
                <w:sz w:val="22"/>
              </w:rPr>
              <w:t xml:space="preserve">2,49</w:t>
            </w:r>
          </w:p>
        </w:tc>
        <w:tc>
          <w:tcPr>
            <w:tcW w:w="1126" w:type="dxa"/>
          </w:tcPr>
          <w:p w:rsidR="005603EC" w:rsidRDefault="00AB61AC">
            <w:pPr>
              <w:pStyle w:val="Compact"/>
              <w:spacing w:line="240" w:lineRule="auto"/>
              <w:jc w:val="center"/>
            </w:pPr>
            <w:r>
              <w:rPr>
                <w:color w:val="FF0000"/>
                <w:sz w:val="22"/>
              </w:rPr>
              <w:t xml:space="preserve">3,01</w:t>
            </w:r>
          </w:p>
        </w:tc>
        <w:tc>
          <w:tcPr>
            <w:tcW w:w="1176" w:type="dxa"/>
          </w:tcPr>
          <w:p w:rsidR="005603EC" w:rsidRDefault="00AB61AC">
            <w:pPr>
              <w:pStyle w:val="Compact"/>
              <w:spacing w:line="240" w:lineRule="auto"/>
              <w:jc w:val="center"/>
            </w:pPr>
            <w:r>
              <w:rPr>
                <w:color w:val="FF0000"/>
                <w:sz w:val="22"/>
              </w:rPr>
              <w:t xml:space="preserve">2,38</w:t>
            </w:r>
          </w:p>
        </w:tc>
      </w:tr>
      <w:tr w:rsidR="005603EC" w:rsidTr="005603EC">
        <w:trPr>
          <w:cantSplit/>
        </w:trPr>
        <w:tc>
          <w:tcPr>
            <w:tcW w:w="2560" w:type="dxa"/>
          </w:tcPr>
          <w:p w:rsidR="005603EC" w:rsidRDefault="00AB61AC">
            <w:pPr>
              <w:pStyle w:val="Compact"/>
              <w:spacing w:line="240" w:lineRule="auto"/>
            </w:pPr>
            <w:r>
              <w:rPr>
                <w:sz w:val="22"/>
              </w:rPr>
              <w:t xml:space="preserve">Sinfi </w:t>
            </w:r>
            <w:r>
              <w:rPr>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line="240" w:lineRule="auto"/>
        <w:jc w:val="both"/>
      </w:pPr>
      <w:r>
        <w:rPr>
          <w:color w:val="FF0000"/>
          <w:sz w:val="24"/>
        </w:rPr>
        <w:t xml:space="preserve">Izoh: “Aloqabank” ATB empirik vaznlarni baholashda qatnashmagan va tanlanmadan tashqari tekshiruv uchun keltirilgan; jadvalning quyi uch qatoridagi ko‘rsatkichlar beshta bank bo‘yicha hisoblangan.</w:t>
      </w:r>
    </w:p>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w:t>
      </w:r>
      <w:r>
        <w:rPr>
          <w:color w:val="FF0000"/>
        </w:rPr>
        <w:t xml:space="preserve"> Tanlanmadan tashqari “Aloqabank” ATB da esa manzara boshqacha: tayanch vaznlarda bank II sinfda (2,78 ball) bo‘lsa, tarqoqlikka asoslangan uch usul vaznlarida III sinfga (2,23–2,49 ball) tushadi. Buning sababi shundaki, bu usullar daromadlilik blokiga yuqori vazn beradi, bank esa 2025-yilda MHXS bo‘yicha zarar ko‘rgan. Bu holat empirik vaznlar ular baholangan tanlanmaning xususiyatlariga bog‘liqligini amalda tasdiqlaydi.</w:t>
      </w:r>
      <w:r>
        <w:t xml:space="preserve"> Muammo hodisalarini bashorat qilish kuchi bo‘yicha empirik vaznlar </w:t>
      </w:r>
      <w:r>
        <w:rPr/>
        <w:t xml:space="preserve">tayanch vaznlar</w:t>
      </w:r>
      <w:r>
        <w:t xml:space="preserve">dan biroz ustun (</w:t>
      </w:r>
      <w:r>
        <w:rPr>
          <w:color w:val="FF0000"/>
        </w:rPr>
        <w:t xml:space="preserve">AUC 0,865–0,907, tayanch vaznlarda – 0,864)</w:t>
      </w:r>
      <w:r>
        <w:t xml:space="preserve">, biroq farq katta emas, </w:t>
      </w:r>
      <w:r>
        <w:rPr/>
        <w:t xml:space="preserve">tayanch vaznlar</w:t>
      </w:r>
      <w:r>
        <w:t xml:space="preserve">ning bashorat kuchi esa bosh komponentlar usuli bilan </w:t>
      </w:r>
      <w:r>
        <w:rPr>
          <w:color w:val="FF0000"/>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color w:val="FF0000"/>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t xml:space="preserve">tayanch vaznlar</w:t>
      </w:r>
      <w:r>
        <w:t xml:space="preserve"> atrofida tanlangan holatda</w:t>
      </w:r>
      <w:r>
        <w:rPr>
          <w:color w:val="FF0000"/>
        </w:rPr>
        <w:t xml:space="preserve"> (Dirixle taqsimotining parametri α = 20·w, bu yerda w – blokning tayanch vazni)</w:t>
      </w:r>
      <w:r>
        <w:t xml:space="preserve"> va vaznlar to‘liq tasodifiy, ya’ni hech qanday dastlabki farazsiz tanlangan holatda </w:t>
      </w:r>
      <w:r>
        <w:rPr>
          <w:color w:val="FF0000"/>
        </w:rPr>
        <w:t xml:space="preserve">(3.2.1-rasm)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line="240" w:lineRule="auto"/>
        <w:jc w:val="both"/>
      </w:pPr>
      <w:r>
        <w:rPr>
          <w:color w:val="FF0000"/>
          <w:sz w:val="24"/>
        </w:rPr>
        <w:t xml:space="preserve">Izoh: SQB – “O‘zsanoatqurilishbank” ATB, MKB – “Mikrokreditbank” ATB, BRB – “Biznesni rivojlantirish banki” ATB.</w:t>
      </w:r>
    </w:p>
    <w:p w:rsidR="005603EC" w:rsidRDefault="00AB61AC">
      <w:pPr>
        <w:pStyle w:val="af"/>
        <w:spacing w:before="120" w:after="240" w:line="240" w:lineRule="auto"/>
        <w:jc w:val="center"/>
      </w:pPr>
      <w:r>
        <w:rPr>
          <w:b/>
          <w:color w:val="FF0000"/>
        </w:rPr>
        <w:t xml:space="preserve">3.2.1-rasm</w:t>
      </w:r>
      <w:r>
        <w:rPr>
          <w:b/>
        </w:rPr>
        <w:t xml:space="preserve">.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color w:val="FF0000"/>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w:t>
      </w:r>
      <w:r>
        <w:rPr>
          <w:color w:val="FF0000"/>
        </w:rPr>
        <w:t xml:space="preserve"> Tahlilda bunday holat, masalan, “Biznesni rivojlantirish banki” ATB ning 2021-yildagi ko‘rsatkichida kuzatilgan: vaznlar tayanch vaznlar atrofida o‘zgarganda uning sinfi atigi 51,2 foiz holatda saqlanadi, vaznlar to‘liq tasodifiy olinganda esa eng sezgir kuzatuv “Xalq banki” ATB ning 2024-yildagi ko‘rsatkichi bo‘lib, uning sinfi 39,4 foiz holatda saqlanadi.</w:t>
      </w:r>
      <w:r>
        <w:t xml:space="preserve">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color w:val="FF0000"/>
        </w:rPr>
        <w:t xml:space="preserve">Vaznlardan tashqari, i</w:t>
      </w:r>
      <w:r>
        <w:t xml:space="preserve">ntegral indeksning ikkinchi metodik elementi – barqarorlik sinflari chegaralari, ya’ni 3,25; 2,5 va 1,75 ball</w:t>
      </w:r>
      <w:r>
        <w:rPr>
          <w:color w:val="FF0000"/>
        </w:rPr>
        <w:t xml:space="preserve"> hisoblanadi</w:t>
      </w:r>
      <w:r>
        <w:t xml:space="preserve">. </w:t>
      </w:r>
      <w:r>
        <w:rPr>
          <w:color w:val="FF0000"/>
        </w:rPr>
        <w:t xml:space="preserve">Ular 3.1-paragrafda 1–4 ballik shkalani teng to‘rt oraliqqa bo‘lish yo‘li bilan oldindan belgilangan edi.</w:t>
      </w:r>
      <w:r>
        <w:t xml:space="preserve"> Ularni empirik tekshirish uchun 25 ta bank panelida</w:t>
      </w:r>
      <w:r>
        <w:rPr>
          <w:color w:val="FF0000"/>
        </w:rPr>
        <w:t xml:space="preserve"> MBII-8 bo‘yicha</w:t>
      </w:r>
      <w:r>
        <w:t xml:space="preserve">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 xml:space="preserve">Integral indeks sinflari bo‘yicha muammo hodisalarining yuz berish chastotasi, </w:t>
      </w:r>
      <w:r>
        <w:rPr>
          <w:b/>
          <w:bCs/>
          <w:color w:val="FF0000"/>
        </w:rPr>
        <w:t xml:space="preserve">2021–2024-yillar kuzatuvlari</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color w:val="FF0000"/>
          <w:sz w:val="24"/>
        </w:rPr>
        <w:t xml:space="preserve">Izoh: 25 ta bank paneli, milliy hisobot asosidagi 8 ko‘rsatkichli choraklik indeks</w:t>
      </w:r>
      <w:r>
        <w:rPr>
          <w:color w:val="FF0000"/>
          <w:sz w:val="24"/>
        </w:rPr>
        <w:t xml:space="preserve"> (MBII-8)</w:t>
      </w:r>
      <w:r>
        <w:rPr>
          <w:color w:val="FF0000"/>
          <w:sz w:val="24"/>
        </w:rPr>
        <w:t xml:space="preserve">; muammo hodisalari har bir kuzatuvdan keyingi to‘rt chorak, ya’ni 2025-yil oxirigacha bo‘lgan davrda kuzatilgan. 2025-yil kuzatuvlari keyingi to‘rt chorak ma’lumotlari to‘liq bo‘lmagani sababli kiritilmagan.</w:t>
      </w:r>
    </w:p>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color w:val="FF0000"/>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r>
        <w:rPr>
          <w:color w:val="FF0000"/>
        </w:rPr>
        <w:t xml:space="preserve"> Sinflar chegaralari MBII-13 va MBII-8 uchun bir xil bo‘lib, ular MBII-8 bo‘yicha tekshirildi, chunki 25 ta bank panelida kuzatuvlar soni yetarli. MBII-13 bo‘yicha beshta bankning 2021–2024-yillardagi 20 ta kuzatuvida ham natija shu yo‘nalishda: keyingi yilda muammo hodisasi I sinfdagi 2 ta kuzatuvda kuzatilmagan, II sinfdagi 12 ta kuzatuvning 2 tasida (17 foiz), III sinfdagi 6 ta kuzatuvning 2 tasida (33 foiz) yuz bergan. Masalan, 2023-yilda III sinfda bo‘lgan “Mikrokreditbank” va “Biznesni rivojlantirish banki” ATBlarida 2024-yilda yirik zarar qayd etilgan. Kuzatuvlar soni kamligi sababli bu natija statistik dalil emas, balki MBII-8 bo‘yicha olingan xulosani tasdiqlovchi qo‘shimcha tekshiruv hisoblanadi.</w:t>
      </w:r>
    </w:p>
    <w:p w:rsidR="005603EC" w:rsidRDefault="00AB61AC">
      <w:pPr>
        <w:pStyle w:val="af"/>
        <w:spacing w:after="0" w:line="360" w:lineRule="auto"/>
        <w:ind w:firstLine="709"/>
        <w:jc w:val="both"/>
      </w:pPr>
      <w:r>
        <w:rPr>
          <w:color w:val="FF0000"/>
        </w:rPr>
        <w:t xml:space="preserve">Shundan so‘ng </w:t>
      </w:r>
      <w:r>
        <w:rPr>
          <w:color w:val="FF0000"/>
        </w:rPr>
        <w:t xml:space="preserve">empirik tekshiruvdan o‘tgan, tayanch vaznli indeks</w:t>
      </w:r>
      <w:r>
        <w:t xml:space="preserve"> beshta bankning 2021–2025-yillardagi moliyaviy barqarorligi dinamikasini baholash uchun qo‘llandi </w:t>
      </w:r>
      <w:r>
        <w:rPr>
          <w:color w:val="FF0000"/>
        </w:rPr>
        <w:t xml:space="preserve">(3.2.2-rasm)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tcPr>
          <w:p>
            <w:pPr>
              <w:spacing w:before="0" w:after="0" w:line="240" w:lineRule="auto"/>
              <w:ind w:firstLine="0"/>
              <w:jc w:val="left"/>
            </w:pPr>
            <w:r>
              <w:rPr>
                <w:rFonts w:ascii="Times New Roman" w:hAnsi="Times New Roman" w:eastAsia="Times New Roman" w:cs="Times New Roman"/>
                <w:b/>
                <w:color w:val="FF0000"/>
                <w:sz w:val="22"/>
              </w:rPr>
              <w:t>Bank</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2021</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2022</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2023</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2024</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2025</w:t>
            </w:r>
          </w:p>
        </w:tc>
      </w:tr>
      <w:tr>
        <w:tc>
          <w:tcPr>
            <w:tcW w:type="dxa" w:w="3685"/>
          </w:tcPr>
          <w:p>
            <w:pPr>
              <w:spacing w:before="0" w:after="0" w:line="240" w:lineRule="auto"/>
              <w:ind w:firstLine="0"/>
              <w:jc w:val="left"/>
            </w:pPr>
            <w:r>
              <w:rPr>
                <w:rFonts w:ascii="Times New Roman" w:hAnsi="Times New Roman" w:eastAsia="Times New Roman" w:cs="Times New Roman"/>
                <w:b/>
                <w:color w:val="70AD47"/>
                <w:sz w:val="20"/>
              </w:rPr>
              <w:t xml:space="preserve">━━ </w:t>
            </w:r>
            <w:r>
              <w:rPr>
                <w:rFonts w:ascii="Times New Roman" w:hAnsi="Times New Roman" w:eastAsia="Times New Roman" w:cs="Times New Roman"/>
                <w:b w:val="0"/>
                <w:color w:val="FF0000"/>
                <w:sz w:val="22"/>
              </w:rPr>
              <w:t>“Xalq banki”</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2,66</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2,96</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3,38</w:t>
            </w:r>
          </w:p>
        </w:tc>
      </w:tr>
      <w:tr>
        <w:tc>
          <w:tcPr>
            <w:tcW w:type="dxa" w:w="3685"/>
          </w:tcPr>
          <w:p>
            <w:pPr>
              <w:spacing w:before="0" w:after="0" w:line="240" w:lineRule="auto"/>
              <w:ind w:firstLine="0"/>
              <w:jc w:val="left"/>
            </w:pPr>
            <w:r>
              <w:rPr>
                <w:rFonts w:ascii="Times New Roman" w:hAnsi="Times New Roman" w:eastAsia="Times New Roman" w:cs="Times New Roman"/>
                <w:b/>
                <w:color w:val="FFC000"/>
                <w:sz w:val="20"/>
              </w:rPr>
              <w:t xml:space="preserve">━━ </w:t>
            </w:r>
            <w:r>
              <w:rPr>
                <w:rFonts w:ascii="Times New Roman" w:hAnsi="Times New Roman" w:eastAsia="Times New Roman" w:cs="Times New Roman"/>
                <w:b w:val="0"/>
                <w:color w:val="FF0000"/>
                <w:sz w:val="22"/>
              </w:rPr>
              <w:t>“Biznesni rivojlantirish banki”</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2,51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2,03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2,58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3,23</w:t>
            </w:r>
          </w:p>
        </w:tc>
      </w:tr>
      <w:tr>
        <w:tc>
          <w:tcPr>
            <w:tcW w:type="dxa" w:w="3685"/>
          </w:tcPr>
          <w:p>
            <w:pPr>
              <w:spacing w:before="0" w:after="0" w:line="240" w:lineRule="auto"/>
              <w:ind w:firstLine="0"/>
              <w:jc w:val="left"/>
            </w:pPr>
            <w:r>
              <w:rPr>
                <w:rFonts w:ascii="Times New Roman" w:hAnsi="Times New Roman" w:eastAsia="Times New Roman" w:cs="Times New Roman"/>
                <w:b/>
                <w:color w:val="7030A0"/>
                <w:sz w:val="20"/>
              </w:rPr>
              <w:t xml:space="preserve">━━ </w:t>
            </w:r>
            <w:r>
              <w:rPr>
                <w:rFonts w:ascii="Times New Roman" w:hAnsi="Times New Roman" w:eastAsia="Times New Roman" w:cs="Times New Roman"/>
                <w:b w:val="0"/>
                <w:color w:val="FF0000"/>
                <w:sz w:val="22"/>
              </w:rPr>
              <w:t>“Ipoteka-bank”</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3,11</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2,18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2,31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2,47</w:t>
            </w:r>
          </w:p>
        </w:tc>
      </w:tr>
      <w:tr>
        <w:tc>
          <w:tcPr>
            <w:tcW w:type="dxa" w:w="3685"/>
          </w:tcPr>
          <w:p>
            <w:pPr>
              <w:spacing w:before="0" w:after="0" w:line="240" w:lineRule="auto"/>
              <w:ind w:firstLine="0"/>
              <w:jc w:val="left"/>
            </w:pPr>
            <w:r>
              <w:rPr>
                <w:rFonts w:ascii="Times New Roman" w:hAnsi="Times New Roman" w:eastAsia="Times New Roman" w:cs="Times New Roman"/>
                <w:b/>
                <w:color w:val="00A3A3"/>
                <w:sz w:val="20"/>
              </w:rPr>
              <w:t xml:space="preserve">╍╍ </w:t>
            </w:r>
            <w:r>
              <w:rPr>
                <w:rFonts w:ascii="Times New Roman" w:hAnsi="Times New Roman" w:eastAsia="Times New Roman" w:cs="Times New Roman"/>
                <w:b w:val="0"/>
                <w:color w:val="FF0000"/>
                <w:sz w:val="22"/>
              </w:rPr>
              <w:t>“Aloqabank” (tanlanmadan tashqari)</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r>
    </w:tbl>
    <w:p w:rsidR="005603EC" w:rsidRDefault="00AB61AC">
      <w:pPr>
        <w:pStyle w:val="af"/>
        <w:spacing w:line="240" w:lineRule="auto"/>
        <w:jc w:val="both"/>
      </w:pPr>
      <w:r>
        <w:rPr>
          <w:color w:val="FF0000"/>
          <w:sz w:val="24"/>
        </w:rPr>
        <w:t xml:space="preserve">Izoh: qizil uzuq chiziqlar – I va II sinflar (3,25 ball) hamda II va III sinflar (2,50 ball) chegaralari.</w:t>
      </w:r>
    </w:p>
    <w:p w:rsidR="005603EC" w:rsidRDefault="00AB61AC">
      <w:pPr>
        <w:pStyle w:val="af"/>
        <w:spacing w:before="120" w:after="240" w:line="240" w:lineRule="auto"/>
        <w:jc w:val="center"/>
      </w:pPr>
      <w:r>
        <w:rPr>
          <w:b/>
          <w:color w:val="FF0000"/>
        </w:rPr>
        <w:t xml:space="preserve">3.2.2-rasm</w:t>
      </w:r>
      <w:r>
        <w:rPr>
          <w:b/>
        </w:rPr>
        <w:t xml:space="preserve">.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color w:val="FF0000"/>
        </w:rPr>
        <w:t xml:space="preserve">Natijalarning umumiyligini tekshirish maqsadida i</w:t>
      </w:r>
      <w:r>
        <w:rPr/>
        <w:t xml:space="preserve">ndeks empirik vaznlar baholanishida qatnashmagan oltinchi bank – “Aloqabank” ATB ma’lumotlarida ham tekshirildi </w:t>
      </w:r>
      <w:r>
        <w:rPr>
          <w:color w:val="FF0000"/>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w:t>
      </w:r>
      <w:r>
        <w:rPr>
          <w:color w:val="FF0000"/>
        </w:rPr>
        <w:t xml:space="preserve">indeks 3,248 ballni tashkil etib, I sinf chegarasiga yaqinlashgan</w:t>
      </w:r>
      <w:r>
        <w:rPr/>
        <w:t xml:space="preserve">.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r>
      <w:r>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xml:space="preserve">. </w:t>
      </w:r>
      <w:r>
        <w:rPr>
          <w:color w:val="FF0000"/>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w:t>
      </w:r>
      <w:r>
        <w:rPr>
          <w:color w:val="FF0000"/>
        </w:rPr>
        <w:t xml:space="preserve">Bu panel indeksi 3.2-paragrafda kiritilgan MBII-8 belgisi bilan ifodalanadi.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r>
      <w:r>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color w:val="FF0000"/>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color w:val="FF0000"/>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0,16</w:t>
      </w:r>
      <w:r>
        <w:t xml:space="preserve"> ballga oshiradi. Bu natija P. Athanasoglou va hammualliflar xulosasiga mos keladi</w:t>
      </w:r>
      <w:r>
        <w:rPr>
          <w:rStyle w:val="aff8"/>
        </w:rPr>
        <w:footnoteReference w:id="470"/>
      </w:r>
      <w:r>
        <w:t xml:space="preserve">, biroq inersiyaning nisbatan pastligi bir martalik zararlar va qayta kapitallashtirishlar bilan izohlanadi. </w:t>
      </w:r>
      <w:r>
        <w:rPr>
          <w:color w:val="FF0000"/>
        </w:rPr>
        <w:t xml:space="preserve">Mazkur holat</w:t>
      </w:r>
      <w:r>
        <w:t xml:space="preserve">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color w:val="FF0000"/>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w:t>
      </w:r>
      <w:r>
        <w:rPr>
          <w:color w:val="FF0000"/>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color w:val="FF0000"/>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color w:val="FF0000"/>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color w:val="FF0000"/>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color w:val="FF0000"/>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w:t>
      </w:r>
      <w:r>
        <w:rPr>
          <w:color w:val="FF0000"/>
        </w:rPr>
        <w:t xml:space="preserve">ning</w:t>
      </w:r>
      <w:r>
        <w:t xml:space="preserve">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r>
      <w:r>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w:t>
      </w:r>
      <w:r>
        <w:rPr>
          <w:color w:val="FF0000"/>
        </w:rPr>
        <w:t xml:space="preserve">etgan. Uning asosiy sababi 2.3-paragrafda aniqlangan holat bilan izohlanadi:</w:t>
      </w:r>
      <w:r>
        <w:t xml:space="preserve"> 2025-yil yakunida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w:t>
      </w:r>
      <w:r>
        <w:rPr>
          <w:color w:val="FF0000"/>
        </w:rPr>
        <w:t xml:space="preserve"> bo‘lib</w:t>
      </w:r>
      <w:r>
        <w:t xml:space="preserve">,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t xml:space="preserve">ular YaIM o‘sishi bilan kuchli bog‘langan (asosiy stavka bilan korrelyatsiya koeffitsiyenti −0,76), 3.3-paragrafda esa asosiy stavkaning ta’siri faqat 5–10 foiz darajada, so‘m kursiniki esa faqat Pooled modelda ahamiyatli bo‘lgan</w:t>
      </w:r>
      <w:r>
        <w:rPr>
          <w:color w:val="FF0000"/>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color w:val="FF0000"/>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color w:val="FF0000"/>
        </w:rPr>
        <w:t xml:space="preserve">Ta’kidlash joizki, 3</w:t>
      </w:r>
      <w:r>
        <w:rPr/>
        <w:t xml:space="preserve">.3-paragrafdagi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color w:val="FF0000"/>
        </w:rPr>
        <w:t xml:space="preserve">Shu bilan birga,</w:t>
      </w:r>
      <w:r>
        <w:t xml:space="preserve">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color w:val="FF0000"/>
        </w:rPr>
        <w:t xml:space="preserve">.</w:t>
      </w:r>
      <w:r>
        <w:t xml:space="preserve">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w:t>
      </w:r>
      <w:r>
        <w:rPr>
          <w:color w:val="FF0000"/>
        </w:rPr>
        <w:t xml:space="preserve"> holat</w:t>
      </w:r>
      <w:r>
        <w:t xml:space="preserve"> 3.3-paragrafda </w:t>
      </w:r>
      <w:r>
        <w:lastRenderedPageBreak/>
      </w:r>
      <w:r>
        <w:t xml:space="preserve">aniqlangan omillar bilan izohlanadi: davlat banklarida daromadlilik past (aktivlar bo‘yicha tortilgan ROA 1,0 foiz), shu sababli muammoli kreditlarning </w:t>
      </w:r>
      <w:r>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rPr>
          <w:color w:val="FF0000"/>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color w:val="FF0000"/>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color w:val="FF0000"/>
        </w:rPr>
        <w:t xml:space="preserve">. Jumladan,</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color w:val="FF0000"/>
        </w:rPr>
        <w:t xml:space="preserve">ning</w:t>
      </w:r>
      <w:r>
        <w:t xml:space="preserve">,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color w:val="FF0000"/>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color w:val="FF0000"/>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w:t>
      </w:r>
      <w:r>
        <w:rPr/>
        <w:t xml:space="preserve">, “Aloqabank” ATB – 3,248</w:t>
      </w:r>
      <w:r>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color w:val="FF0000"/>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color w:val="FF0000"/>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color w:val="FF0000"/>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color w:val="FF0000"/>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rPr>
          <w:color w:val="FF0000"/>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color w:val="FF0000"/>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color w:val="FF0000"/>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color w:val="FF0000"/>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color w:val="FF0000"/>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color w:val="FF0000"/>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color w:val="FF0000"/>
        </w:rPr>
        <w:t xml:space="preserve">(</w:t>
      </w:r>
      <w:r>
        <w:t xml:space="preserve">kapital yetarliligi, aktivlar sifati, likvidlik, daromadlilik va valyuta riskiga sezgirlik</w:t>
      </w:r>
      <w:r>
        <w:rPr>
          <w:color w:val="FF0000"/>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color w:val="FF0000"/>
        </w:rPr>
        <w:t xml:space="preserve">. Shu bilan birga, banklar tartibi</w:t>
      </w:r>
      <w:r>
        <w:t xml:space="preserve"> vaznlarning oqilona o‘zgarishlariga barqaror </w:t>
      </w:r>
      <w:r>
        <w:rPr/>
        <w:t>(tartib korrelyatsiyasi 0,95–0,98)</w:t>
      </w:r>
      <w:r>
        <w:t xml:space="preserve">. </w:t>
      </w:r>
      <w:r>
        <w:rPr>
          <w:color w:val="FF0000"/>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color w:val="FF0000"/>
        </w:rPr>
        <w:t xml:space="preserve">Bundan tashqari, i</w:t>
      </w:r>
      <w:r>
        <w:t xml:space="preserve">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color w:val="FF0000"/>
          <w:lang w:val="ru-RU"/>
        </w:rPr>
        <w:t xml:space="preserve">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182.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color w:val="FF0000"/>
          <w:lang w:val="ru-RU"/>
        </w:rPr>
        <w:t xml:space="preserve">183.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color w:val="FF0000"/>
          <w:lang w:val="ru-RU"/>
        </w:rPr>
        <w:t xml:space="preserve">185.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186.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color w:val="FF0000"/>
          <w:lang w:val="ru-RU"/>
        </w:rPr>
        <w:t xml:space="preserve">187.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color w:val="FF0000"/>
        </w:rPr>
        <w:t xml:space="preserve">193.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color w:val="FF0000"/>
        </w:rPr>
        <w:t xml:space="preserve">194.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color w:val="FF0000"/>
        </w:rPr>
        <w:t xml:space="preserve">195.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196.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197.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color w:val="FF0000"/>
        </w:rPr>
        <w:t xml:space="preserve">198.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color w:val="FF0000"/>
        </w:rPr>
        <w:t xml:space="preserve">199.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200.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color w:val="FF0000"/>
        </w:rPr>
        <w:t xml:space="preserve">201.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color w:val="FF0000"/>
        </w:rPr>
        <w:t xml:space="preserve">203.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204. </w:t>
      </w:r>
      <w:r>
        <w:rPr/>
        <w:t>O‘zbekiston Respublikasi Markaziy banki. Moliyaviy barqarorlik sharhi: 2025-yil. – Toshkent, 2026.</w:t>
      </w:r>
    </w:p>
    <w:p w:rsidR="005603EC" w:rsidRDefault="00AB61AC">
      <w:pPr>
        <w:pStyle w:val="af"/>
        <w:spacing w:after="0" w:line="360" w:lineRule="auto"/>
        <w:ind w:firstLine="709"/>
        <w:jc w:val="both"/>
      </w:pPr>
      <w:r>
        <w:t>205. The Central Bank of the Republic of Uzbekistan. Financial Stability Report for H1 2025. – Tashkent, 2025. – https://cbu.uz.</w:t>
      </w:r>
    </w:p>
    <w:p w:rsidR="005603EC" w:rsidRDefault="00AB61AC">
      <w:pPr>
        <w:pStyle w:val="af"/>
        <w:spacing w:after="0" w:line="360" w:lineRule="auto"/>
        <w:ind w:firstLine="709"/>
        <w:jc w:val="both"/>
      </w:pPr>
      <w:r>
        <w:t>206.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207.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208.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w:t>
      </w:r>
      <w:r>
        <w:rPr>
          <w:color w:val="FF0000"/>
        </w:rPr>
        <w:t xml:space="preserve">2.3.2- va 2.3.4-jadvallar ma’lumotlari</w:t>
      </w:r>
      <w:r>
        <w:t xml:space="preserve">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rPr>
          <w:color w:val="FF0000"/>
        </w:rPr>
        <w:t xml:space="preserve"> Tadqiqot natijasida muallif tomonidan banklarning Markaziy bankka taqdim etilgan prudensial hisobot shakllari va MHXS bo‘yicha moliyaviy hisobotlari asosida hisoblandi.</w:t>
      </w:r>
    </w:p>
  </w:footnote>
  <w:footnote w:id="413">
    <w:p w:rsidR="00AB61AC" w:rsidRDefault="00AB61AC">
      <w:pPr>
        <w:pStyle w:val="aff9"/>
      </w:pPr>
      <w:r>
        <w:rPr>
          <w:rStyle w:val="aff8"/>
        </w:rPr>
        <w:footnoteRef/>
      </w:r>
      <w:r>
        <w:t xml:space="preserve"> Tadqiqot natijasida muallif tomonidan 3.1.3 va 3.1.5-jadvallar ma’lumotlari asosida hisoblandi.</w:t>
      </w:r>
    </w:p>
  </w:footnote>
  <w:footnote w:id="41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5">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6">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7">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8">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3">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4">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5">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6">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va “SNS” reyting agentligi bazasi asosida hisoblandi.</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7">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91,7</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76,9</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71,5</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78,1</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57,0</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52,7</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58,6</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57,7</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53,1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55,8</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“Xalq banki”</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2.66</c:v>
                </c:pt>
                <c:pt idx="1">
                  <c:v>2.71</c:v>
                </c:pt>
                <c:pt idx="2">
                  <c:v>2.96</c:v>
                </c:pt>
                <c:pt idx="3">
                  <c:v>3.2</c:v>
                </c:pt>
                <c:pt idx="4">
                  <c:v>3.38</c:v>
                </c:pt>
              </c:numCache>
            </c:numRef>
          </c:val>
          <c:smooth val="0"/>
        </c:ser>
        <c:ser>
          <c:idx val="1"/>
          <c:order val="1"/>
          <c:tx>
            <c:strRef>
              <c:f>Sheet1!$C$1</c:f>
              <c:strCache>
                <c:ptCount val="1"/>
                <c:pt idx="0">
                  <c:v>“Biznesni rivojlantirish banki”</c:v>
                </c:pt>
              </c:strCache>
            </c:strRef>
          </c:tx>
          <c:spPr>
            <a:ln w="28575">
              <a:solidFill>
                <a:srgbClr val="FFC000"/>
              </a:solidFill>
            </a:ln>
          </c:spPr>
          <c:marker>
            <c:symbol val="circle"/>
            <c:size val="5"/>
            <c:spPr>
              <a:solidFill>
                <a:srgbClr val="FFC000"/>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2.51</c:v>
                </c:pt>
                <c:pt idx="1">
                  <c:v>2.25</c:v>
                </c:pt>
                <c:pt idx="2">
                  <c:v>2.03</c:v>
                </c:pt>
                <c:pt idx="3">
                  <c:v>2.58</c:v>
                </c:pt>
                <c:pt idx="4">
                  <c:v>3.23</c:v>
                </c:pt>
              </c:numCache>
            </c:numRef>
          </c:val>
          <c:smooth val="0"/>
        </c:ser>
        <c:ser>
          <c:idx val="2"/>
          <c:order val="2"/>
          <c:tx>
            <c:strRef>
              <c:f>Sheet1!$D$1</c:f>
              <c:strCache>
                <c:ptCount val="1"/>
                <c:pt idx="0">
                  <c:v>“Ipoteka-bank”</c:v>
                </c:pt>
              </c:strCache>
            </c:strRef>
          </c:tx>
          <c:spPr>
            <a:ln w="28575">
              <a:solidFill>
                <a:srgbClr val="7030A0"/>
              </a:solidFill>
            </a:ln>
          </c:spPr>
          <c:marker>
            <c:symbol val="circle"/>
            <c:size val="5"/>
            <c:spPr>
              <a:solidFill>
                <a:srgbClr val="7030A0"/>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3.32</c:v>
                </c:pt>
                <c:pt idx="1">
                  <c:v>3.37</c:v>
                </c:pt>
                <c:pt idx="2">
                  <c:v>2.69</c:v>
                </c:pt>
                <c:pt idx="3">
                  <c:v>3.13</c:v>
                </c:pt>
                <c:pt idx="4">
                  <c:v>3.11</c:v>
                </c:pt>
              </c:numCache>
            </c:numRef>
          </c:val>
          <c:smooth val="0"/>
        </c:ser>
        <c:ser>
          <c:idx val="3"/>
          <c:order val="3"/>
          <c:tx>
            <c:strRef>
              <c:f>Sheet1!$E$1</c:f>
              <c:strCache>
                <c:ptCount val="1"/>
                <c:pt idx="0">
                  <c:v>“O‘zsanoatqurilishbank”</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2.92</c:v>
                </c:pt>
                <c:pt idx="1">
                  <c:v>2.81</c:v>
                </c:pt>
                <c:pt idx="2">
                  <c:v>2.91</c:v>
                </c:pt>
                <c:pt idx="3">
                  <c:v>2.72</c:v>
                </c:pt>
                <c:pt idx="4">
                  <c:v>2.81</c:v>
                </c:pt>
              </c:numCache>
            </c:numRef>
          </c:val>
          <c:smooth val="0"/>
        </c:ser>
        <c:ser>
          <c:idx val="4"/>
          <c:order val="4"/>
          <c:tx>
            <c:strRef>
              <c:f>Sheet1!$F$1</c:f>
              <c:strCache>
                <c:ptCount val="1"/>
                <c:pt idx="0">
                  <c:v>“Mikrokreditbank”</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2.18</c:v>
                </c:pt>
                <c:pt idx="1">
                  <c:v>2.31</c:v>
                </c:pt>
                <c:pt idx="2">
                  <c:v>2.22</c:v>
                </c:pt>
                <c:pt idx="3">
                  <c:v>2.25</c:v>
                </c:pt>
                <c:pt idx="4">
                  <c:v>2.47</c:v>
                </c:pt>
              </c:numCache>
            </c:numRef>
          </c:val>
          <c:smooth val="0"/>
        </c:ser>
        <c:ser>
          <c:idx val="5"/>
          <c:order val="5"/>
          <c:tx>
            <c:strRef>
              <c:f>Sheet1!$G$1</c:f>
              <c:strCache>
                <c:ptCount val="1"/>
                <c:pt idx="0">
                  <c:v>“Aloqabank” (tanlanmadan tashqari)</c:v>
                </c:pt>
              </c:strCache>
            </c:strRef>
          </c:tx>
          <c:spPr>
            <a:ln w="28575">
              <a:solidFill>
                <a:srgbClr val="00A3A3"/>
              </a:solidFill>
              <a:prstDash val="dash"/>
            </a:ln>
          </c:spPr>
          <c:marker>
            <c:symbol val="circle"/>
            <c:size val="5"/>
            <c:spPr>
              <a:solidFill>
                <a:srgbClr val="00A3A3"/>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layout>
                <c:manualLayout>
                  <c:x val="0"/>
                  <c:y val="-0.1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layout>
                <c:manualLayout>
                  <c:x val="-0.06"/>
                  <c:y val="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