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266</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w:t>
      </w:r>
      <w:r>
        <w:rPr>
          <w:color w:val="FF0000"/>
        </w:rPr>
        <w:t xml:space="preserve">Shuni ta’kidlash joizki, YaIM o‘sishi va asosiy stavka bo‘yicha olingan baholar</w:t>
      </w:r>
      <w:r>
        <w:rPr>
          <w:highlight w:val="green"/>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highlight w:val="green"/>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 xml:space="preserve">shu chorakning o‘zida 0,153 foiz punktga oshiradi. Laglar tuzilishi farq qilsa-da, koeffitsiyentlarning yaqinligi bahoning barqarorligini ko‘rsatadi. </w:t>
      </w:r>
      <w:r>
        <w:rPr>
          <w:color w:val="FF0000"/>
        </w:rPr>
        <w:t xml:space="preserve">Ta’kidlash joizki, 3</w:t>
      </w:r>
      <w:r>
        <w:rPr>
          <w:highlight w:val="green"/>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