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DENOV TADBIRKORLIK VA PEDAGOGIKA UNIVERSITETI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80</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83</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83</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95</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113</w:t>
      </w:r>
    </w:p>
    <w:p w:rsidR="005603EC" w:rsidRDefault="00AB61AC">
      <w:pPr>
        <w:tabs>
          <w:tab w:val="right" w:leader="dot" w:pos="9354"/>
        </w:tabs>
        <w:spacing w:after="80" w:line="240" w:lineRule="auto"/>
        <w:ind w:left="454"/>
      </w:pPr>
      <w:r>
        <w:rPr>
          <w:sz w:val="26"/>
        </w:rPr>
        <w:t>II bob bo‘yicha xulosalar</w:t>
      </w:r>
      <w:r>
        <w:rPr>
          <w:sz w:val="26"/>
        </w:rPr>
        <w:tab/>
        <w:t>137</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140</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140</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156</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169</w:t>
      </w:r>
    </w:p>
    <w:p w:rsidR="005603EC" w:rsidRDefault="00AB61AC">
      <w:pPr>
        <w:tabs>
          <w:tab w:val="right" w:leader="dot" w:pos="9354"/>
        </w:tabs>
        <w:spacing w:after="80" w:line="240" w:lineRule="auto"/>
        <w:ind w:left="454"/>
      </w:pPr>
      <w:r>
        <w:rPr>
          <w:sz w:val="26"/>
        </w:rPr>
        <w:t>III bob bo‘yicha xulosalar</w:t>
      </w:r>
      <w:r>
        <w:rPr>
          <w:sz w:val="26"/>
        </w:rPr>
        <w:tab/>
        <w:t>187</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190</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190</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206</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218</w:t>
      </w:r>
    </w:p>
    <w:p w:rsidR="005603EC" w:rsidRDefault="00AB61AC">
      <w:pPr>
        <w:tabs>
          <w:tab w:val="right" w:leader="dot" w:pos="9354"/>
        </w:tabs>
        <w:spacing w:after="80" w:line="240" w:lineRule="auto"/>
        <w:ind w:left="454"/>
      </w:pPr>
      <w:r>
        <w:rPr>
          <w:sz w:val="26"/>
        </w:rPr>
        <w:t>IV bob bo‘yicha xulosalar</w:t>
      </w:r>
      <w:r>
        <w:rPr>
          <w:sz w:val="26"/>
        </w:rPr>
        <w:tab/>
        <w:t>231</w:t>
      </w:r>
    </w:p>
    <w:p w:rsidR="005603EC" w:rsidRDefault="00AB61AC">
      <w:pPr>
        <w:tabs>
          <w:tab w:val="right" w:leader="dot" w:pos="9354"/>
        </w:tabs>
        <w:spacing w:after="80" w:line="240" w:lineRule="auto"/>
      </w:pPr>
      <w:r>
        <w:rPr>
          <w:b/>
          <w:sz w:val="26"/>
        </w:rPr>
        <w:t>XULOSA</w:t>
      </w:r>
      <w:r>
        <w:rPr>
          <w:b/>
          <w:sz w:val="26"/>
        </w:rPr>
        <w:tab/>
        <w:t>234</w:t>
      </w:r>
    </w:p>
    <w:p w:rsidR="005603EC" w:rsidRDefault="00AB61AC">
      <w:pPr>
        <w:tabs>
          <w:tab w:val="right" w:leader="dot" w:pos="9354"/>
        </w:tabs>
        <w:spacing w:after="80" w:line="240" w:lineRule="auto"/>
      </w:pPr>
      <w:r>
        <w:rPr>
          <w:b/>
          <w:sz w:val="26"/>
        </w:rPr>
        <w:t>FOYDALANILGAN ADABIYOTLAR RO‘YXATI</w:t>
      </w:r>
      <w:r>
        <w:rPr>
          <w:b/>
          <w:sz w:val="26"/>
        </w:rPr>
        <w:tab/>
        <w:t>239</w:t>
      </w:r>
    </w:p>
    <w:p w:rsidR="005603EC" w:rsidRDefault="00AB61AC">
      <w:pPr>
        <w:tabs>
          <w:tab w:val="right" w:leader="dot" w:pos="9354"/>
        </w:tabs>
        <w:spacing w:after="80" w:line="240" w:lineRule="auto"/>
      </w:pPr>
      <w:r>
        <w:rPr>
          <w:b/>
          <w:sz w:val="26"/>
        </w:rPr>
        <w:t>ILOVALAR</w:t>
      </w:r>
      <w:r>
        <w:rPr>
          <w:b/>
          <w:sz w:val="26"/>
        </w:rPr>
        <w:tab/>
        <w:t>259</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color w:val="FF0000"/>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pedagogika universiteti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color w:val="0070C0"/>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 ekonometrik modellashtirish, stress-test, ssenariyli prognozlash</w:t>
      </w:r>
      <w:r>
        <w:rPr>
          <w:color w:val="FF0000"/>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color w:val="FF0000"/>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color w:val="FF0000"/>
        </w:rPr>
        <w:t xml:space="preserve">25 ta bank paneli ma’lumotlari (10 ta muammo hodisasi) asosida empirik </w:t>
      </w:r>
      <w:r>
        <w:rPr>
          <w:color w:val="FF0000"/>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color w:val="0070C0"/>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color w:val="FF0000"/>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color w:val="FF0000"/>
        </w:rPr>
        <w:t xml:space="preserve">asosiy matni 235 betni</w:t>
      </w:r>
      <w:r>
        <w:t xml:space="preserve"> tashkil etadi, unda 60 dan ortiq jadval va rasm keltirilgan, foydalanilgan </w:t>
      </w:r>
      <w:r>
        <w:rPr>
          <w:color w:val="FF0000"/>
        </w:rPr>
        <w:t xml:space="preserve">adabiyotlar </w:t>
      </w:r>
      <w:r>
        <w:rPr>
          <w:color w:val="FF0000"/>
        </w:rPr>
        <w:t xml:space="preserve">ro‘yxati 197 ta manbani</w:t>
      </w:r>
      <w:r>
        <w:t xml:space="preserve"> o‘z ichiga oladi, </w:t>
      </w:r>
      <w:r>
        <w:rPr>
          <w:color w:val="FF0000"/>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53800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53800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199.85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color w:val="FF0000"/>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color w:val="FF0000"/>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color w:val="FF0000"/>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color w:val="FF0000"/>
        </w:rPr>
        <w:footnoteReference w:id="84"/>
      </w:r>
      <w:r>
        <w:rPr>
          <w:color w:val="FF0000"/>
        </w:rPr>
        <w:t xml:space="preserve">, foiz stavkasi riski esa 25 foiz bankda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color w:val="FF0000"/>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color w:val="FF0000"/>
        </w:rPr>
        <w:footnoteReference w:id="85"/>
      </w:r>
      <w:r>
        <w:t xml:space="preserve">. Bundan kelib chiqadiki, moliyaviy barqarorlikni baholashda </w:t>
      </w:r>
      <w:r>
        <w:rPr>
          <w:color w:val="FF0000"/>
        </w:rPr>
        <w:t xml:space="preserve">aktivlar sifati va boshqaruv sifati bilan bir qatorda likvidlik hamda bozor risklariga, O‘zbekiston sharoitida birinchi navbatda valyuta riskiga sezgirlik bloklari ham bo‘lishi lozim</w:t>
      </w:r>
      <w:r>
        <w:t xml:space="preserve">. </w:t>
      </w:r>
      <w:r>
        <w:rPr>
          <w:color w:val="FF0000"/>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color w:val="FF0000"/>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color w:val="FF0000"/>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color w:val="FF0000"/>
        </w:rPr>
        <w:t xml:space="preserve">Mualliflar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color w:val="FF0000"/>
        </w:rPr>
        <w:footnoteReference w:id="99"/>
      </w:r>
      <w:r>
        <w:rPr>
          <w:color w:val="FF0000"/>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280800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280800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21.1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color w:val="FF0000"/>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BAITE, 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376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376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187.1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color w:val="FF0000"/>
                <w:sz w:val="22"/>
              </w:rPr>
              <w:t xml:space="preserve">0–5</w:t>
            </w:r>
          </w:p>
        </w:tc>
        <w:tc>
          <w:tcPr>
            <w:tcW w:w="3345" w:type="dxa"/>
          </w:tcPr>
          <w:p w:rsidR="005603EC" w:rsidRDefault="005603EC">
            <w:pPr>
              <w:pStyle w:val="Compact"/>
              <w:spacing w:line="240" w:lineRule="auto"/>
            </w:pPr>
            <w:r>
              <w:rPr>
                <w:color w:val="FF0000"/>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448000"/>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t>ularning afzalliklarini birlashtirish orqali takomillashtirilgan integral baholash tizimini qurish mumkin (1.2.5-rasm).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2DCEA7E" wp14:editId="201CCBDA">
                <wp:extent cx="5940000" cy="3060000"/>
                <wp:effectExtent l="0" t="0" r="0" b="0"/>
                <wp:docPr id="1125258388" name="1.2.5-rasm"/>
                <wp:cNvGraphicFramePr/>
                <a:graphic xmlns:a="http://schemas.openxmlformats.org/drawingml/2006/main">
                  <a:graphicData uri="http://schemas.microsoft.com/office/word/2010/wordprocessingGroup">
                    <wpg:wgp>
                      <wpg:cNvGrpSpPr/>
                      <wpg:grpSpPr>
                        <a:xfrm>
                          <a:off x="0" y="0"/>
                          <a:ext cx="5940000" cy="3060000"/>
                          <a:chOff x="0" y="0"/>
                          <a:chExt cx="5940000" cy="3060000"/>
                        </a:xfrm>
                      </wpg:grpSpPr>
                      <wps:wsp>
                        <wps:cNvPr id="306501053" name="Shape 31"/>
                        <wps:cNvSpPr/>
                        <wps:spPr>
                          <a:xfrm>
                            <a:off x="36000" y="0"/>
                            <a:ext cx="1296000" cy="216000"/>
                          </a:xfrm>
                          <a:prstGeom prst="roundRect">
                            <a:avLst>
                              <a:gd name="adj" fmla="val 10000"/>
                            </a:avLst>
                          </a:prstGeom>
                          <a:noFill/>
                          <a:ln>
                            <a:noFill/>
                          </a:ln>
                        </wps:spPr>
                        <wps:txbx>
                          <w:txbxContent>
                            <w:p w:rsidR="00AB61AC" w:rsidRDefault="00AB61AC">
                              <w:pPr>
                                <w:spacing w:after="0" w:line="228" w:lineRule="auto"/>
                                <w:jc w:val="center"/>
                              </w:pPr>
                              <w:r>
                                <w:rPr>
                                  <w:b/>
                                  <w:color w:val="000000"/>
                                  <w:sz w:val="22"/>
                                </w:rPr>
                                <w:t>Xalqaro standartlar</w:t>
                              </w:r>
                            </w:p>
                          </w:txbxContent>
                        </wps:txbx>
                        <wps:bodyPr rot="0" vert="horz" wrap="square" lIns="36000" tIns="18000" rIns="36000" bIns="18000" anchor="ctr" anchorCtr="0">
                          <a:noAutofit/>
                        </wps:bodyPr>
                      </wps:wsp>
                      <wps:wsp>
                        <wps:cNvPr id="1464213668" name="Shape 32"/>
                        <wps:cNvSpPr/>
                        <wps:spPr>
                          <a:xfrm>
                            <a:off x="2160000" y="0"/>
                            <a:ext cx="1728000" cy="216000"/>
                          </a:xfrm>
                          <a:prstGeom prst="roundRect">
                            <a:avLst>
                              <a:gd name="adj" fmla="val 10000"/>
                            </a:avLst>
                          </a:prstGeom>
                          <a:noFill/>
                          <a:ln>
                            <a:noFill/>
                          </a:ln>
                        </wps:spPr>
                        <wps:txbx>
                          <w:txbxContent>
                            <w:p w:rsidR="00AB61AC" w:rsidRDefault="00AB61AC">
                              <w:pPr>
                                <w:spacing w:after="0" w:line="228" w:lineRule="auto"/>
                                <w:jc w:val="center"/>
                              </w:pPr>
                              <w:r>
                                <w:rPr>
                                  <w:b/>
                                  <w:color w:val="000000"/>
                                  <w:sz w:val="22"/>
                                </w:rPr>
                                <w:t>Baholash bloklari</w:t>
                              </w:r>
                            </w:p>
                          </w:txbxContent>
                        </wps:txbx>
                        <wps:bodyPr rot="0" vert="horz" wrap="square" lIns="36000" tIns="18000" rIns="36000" bIns="18000" anchor="ctr" anchorCtr="0">
                          <a:noAutofit/>
                        </wps:bodyPr>
                      </wps:wsp>
                      <wps:wsp>
                        <wps:cNvPr id="962622541" name="Connector 33"/>
                        <wps:cNvCnPr/>
                        <wps:spPr>
                          <a:xfrm>
                            <a:off x="1332000" y="486000"/>
                            <a:ext cx="828000" cy="0"/>
                          </a:xfrm>
                          <a:prstGeom prst="straightConnector1">
                            <a:avLst/>
                          </a:prstGeom>
                          <a:ln w="12700">
                            <a:solidFill>
                              <a:srgbClr val="70AD47"/>
                            </a:solidFill>
                          </a:ln>
                        </wps:spPr>
                        <wps:bodyPr/>
                      </wps:wsp>
                      <wps:wsp>
                        <wps:cNvPr id="998208637" name="Connector 34"/>
                        <wps:cNvCnPr/>
                        <wps:spPr>
                          <a:xfrm>
                            <a:off x="1332000" y="486000"/>
                            <a:ext cx="828000" cy="1782000"/>
                          </a:xfrm>
                          <a:prstGeom prst="straightConnector1">
                            <a:avLst/>
                          </a:prstGeom>
                          <a:ln w="12700">
                            <a:solidFill>
                              <a:srgbClr val="70AD47"/>
                            </a:solidFill>
                          </a:ln>
                        </wps:spPr>
                        <wps:bodyPr/>
                      </wps:wsp>
                      <wps:wsp>
                        <wps:cNvPr id="1876390223" name="Connector 35"/>
                        <wps:cNvCnPr/>
                        <wps:spPr>
                          <a:xfrm>
                            <a:off x="1332000" y="1080000"/>
                            <a:ext cx="828000" cy="0"/>
                          </a:xfrm>
                          <a:prstGeom prst="straightConnector1">
                            <a:avLst/>
                          </a:prstGeom>
                          <a:ln w="12700">
                            <a:solidFill>
                              <a:srgbClr val="EB6834"/>
                            </a:solidFill>
                          </a:ln>
                        </wps:spPr>
                        <wps:bodyPr/>
                      </wps:wsp>
                      <wps:wsp>
                        <wps:cNvPr id="396049303" name="Connector 36"/>
                        <wps:cNvCnPr/>
                        <wps:spPr>
                          <a:xfrm flipV="1">
                            <a:off x="1332000" y="486000"/>
                            <a:ext cx="828000" cy="1188000"/>
                          </a:xfrm>
                          <a:prstGeom prst="straightConnector1">
                            <a:avLst/>
                          </a:prstGeom>
                          <a:ln w="12700">
                            <a:solidFill>
                              <a:srgbClr val="5B9BD5"/>
                            </a:solidFill>
                          </a:ln>
                        </wps:spPr>
                        <wps:bodyPr/>
                      </wps:wsp>
                      <wps:wsp>
                        <wps:cNvPr id="2119524111" name="Connector 37"/>
                        <wps:cNvCnPr/>
                        <wps:spPr>
                          <a:xfrm flipV="1">
                            <a:off x="1332000" y="1080000"/>
                            <a:ext cx="828000" cy="594000"/>
                          </a:xfrm>
                          <a:prstGeom prst="straightConnector1">
                            <a:avLst/>
                          </a:prstGeom>
                          <a:ln w="12700">
                            <a:solidFill>
                              <a:srgbClr val="5B9BD5"/>
                            </a:solidFill>
                          </a:ln>
                        </wps:spPr>
                        <wps:bodyPr/>
                      </wps:wsp>
                      <wps:wsp>
                        <wps:cNvPr id="2079973820" name="Connector 38"/>
                        <wps:cNvCnPr/>
                        <wps:spPr>
                          <a:xfrm>
                            <a:off x="1332000" y="1674000"/>
                            <a:ext cx="828000" cy="0"/>
                          </a:xfrm>
                          <a:prstGeom prst="straightConnector1">
                            <a:avLst/>
                          </a:prstGeom>
                          <a:ln w="12700">
                            <a:solidFill>
                              <a:srgbClr val="5B9BD5"/>
                            </a:solidFill>
                          </a:ln>
                        </wps:spPr>
                        <wps:bodyPr/>
                      </wps:wsp>
                      <wps:wsp>
                        <wps:cNvPr id="896074386" name="Connector 39"/>
                        <wps:cNvCnPr/>
                        <wps:spPr>
                          <a:xfrm>
                            <a:off x="1332000" y="1674000"/>
                            <a:ext cx="828000" cy="594000"/>
                          </a:xfrm>
                          <a:prstGeom prst="straightConnector1">
                            <a:avLst/>
                          </a:prstGeom>
                          <a:ln w="12700">
                            <a:solidFill>
                              <a:srgbClr val="5B9BD5"/>
                            </a:solidFill>
                          </a:ln>
                        </wps:spPr>
                        <wps:bodyPr/>
                      </wps:wsp>
                      <wps:wsp>
                        <wps:cNvPr id="1755073317" name="Connector 40"/>
                        <wps:cNvCnPr/>
                        <wps:spPr>
                          <a:xfrm>
                            <a:off x="1332000" y="1674000"/>
                            <a:ext cx="828000" cy="1188000"/>
                          </a:xfrm>
                          <a:prstGeom prst="straightConnector1">
                            <a:avLst/>
                          </a:prstGeom>
                          <a:ln w="12700">
                            <a:solidFill>
                              <a:srgbClr val="5B9BD5"/>
                            </a:solidFill>
                          </a:ln>
                        </wps:spPr>
                        <wps:bodyPr/>
                      </wps:wsp>
                      <wps:wsp>
                        <wps:cNvPr id="900840568" name="Connector 41"/>
                        <wps:cNvCnPr/>
                        <wps:spPr>
                          <a:xfrm flipV="1">
                            <a:off x="1332000" y="486000"/>
                            <a:ext cx="828000" cy="1782000"/>
                          </a:xfrm>
                          <a:prstGeom prst="straightConnector1">
                            <a:avLst/>
                          </a:prstGeom>
                          <a:ln w="12700">
                            <a:solidFill>
                              <a:srgbClr val="2A78D6"/>
                            </a:solidFill>
                          </a:ln>
                        </wps:spPr>
                        <wps:bodyPr/>
                      </wps:wsp>
                      <wps:wsp>
                        <wps:cNvPr id="1680594737" name="Connector 42"/>
                        <wps:cNvCnPr/>
                        <wps:spPr>
                          <a:xfrm flipV="1">
                            <a:off x="1332000" y="1080000"/>
                            <a:ext cx="828000" cy="1188000"/>
                          </a:xfrm>
                          <a:prstGeom prst="straightConnector1">
                            <a:avLst/>
                          </a:prstGeom>
                          <a:ln w="12700">
                            <a:solidFill>
                              <a:srgbClr val="2A78D6"/>
                            </a:solidFill>
                          </a:ln>
                        </wps:spPr>
                        <wps:bodyPr/>
                      </wps:wsp>
                      <wps:wsp>
                        <wps:cNvPr id="296985432" name="Connector 43"/>
                        <wps:cNvCnPr/>
                        <wps:spPr>
                          <a:xfrm flipV="1">
                            <a:off x="1332000" y="1674000"/>
                            <a:ext cx="828000" cy="594000"/>
                          </a:xfrm>
                          <a:prstGeom prst="straightConnector1">
                            <a:avLst/>
                          </a:prstGeom>
                          <a:ln w="12700">
                            <a:solidFill>
                              <a:srgbClr val="2A78D6"/>
                            </a:solidFill>
                          </a:ln>
                        </wps:spPr>
                        <wps:bodyPr/>
                      </wps:wsp>
                      <wps:wsp>
                        <wps:cNvPr id="1826501331" name="Connector 44"/>
                        <wps:cNvCnPr/>
                        <wps:spPr>
                          <a:xfrm>
                            <a:off x="1332000" y="2268000"/>
                            <a:ext cx="828000" cy="0"/>
                          </a:xfrm>
                          <a:prstGeom prst="straightConnector1">
                            <a:avLst/>
                          </a:prstGeom>
                          <a:ln w="12700">
                            <a:solidFill>
                              <a:srgbClr val="2A78D6"/>
                            </a:solidFill>
                          </a:ln>
                        </wps:spPr>
                        <wps:bodyPr/>
                      </wps:wsp>
                      <wps:wsp>
                        <wps:cNvPr id="1667834260" name="Connector 45"/>
                        <wps:cNvCnPr/>
                        <wps:spPr>
                          <a:xfrm>
                            <a:off x="1332000" y="2268000"/>
                            <a:ext cx="828000" cy="594000"/>
                          </a:xfrm>
                          <a:prstGeom prst="straightConnector1">
                            <a:avLst/>
                          </a:prstGeom>
                          <a:ln w="12700">
                            <a:solidFill>
                              <a:srgbClr val="2A78D6"/>
                            </a:solidFill>
                          </a:ln>
                        </wps:spPr>
                        <wps:bodyPr/>
                      </wps:wsp>
                      <wps:wsp>
                        <wps:cNvPr id="585478401" name="Connector 46"/>
                        <wps:cNvCnPr/>
                        <wps:spPr>
                          <a:xfrm flipV="1">
                            <a:off x="1332000" y="486000"/>
                            <a:ext cx="828000" cy="2376000"/>
                          </a:xfrm>
                          <a:prstGeom prst="straightConnector1">
                            <a:avLst/>
                          </a:prstGeom>
                          <a:ln w="12700">
                            <a:solidFill>
                              <a:srgbClr val="7F7F7F"/>
                            </a:solidFill>
                          </a:ln>
                        </wps:spPr>
                        <wps:bodyPr/>
                      </wps:wsp>
                      <wps:wsp>
                        <wps:cNvPr id="1172422250" name="Connector 47"/>
                        <wps:cNvCnPr/>
                        <wps:spPr>
                          <a:xfrm flipV="1">
                            <a:off x="1332000" y="1080000"/>
                            <a:ext cx="828000" cy="1782000"/>
                          </a:xfrm>
                          <a:prstGeom prst="straightConnector1">
                            <a:avLst/>
                          </a:prstGeom>
                          <a:ln w="12700">
                            <a:solidFill>
                              <a:srgbClr val="7F7F7F"/>
                            </a:solidFill>
                          </a:ln>
                        </wps:spPr>
                        <wps:bodyPr/>
                      </wps:wsp>
                      <wps:wsp>
                        <wps:cNvPr id="437676166" name="Connector 48"/>
                        <wps:cNvCnPr/>
                        <wps:spPr>
                          <a:xfrm flipV="1">
                            <a:off x="1332000" y="1674000"/>
                            <a:ext cx="828000" cy="1188000"/>
                          </a:xfrm>
                          <a:prstGeom prst="straightConnector1">
                            <a:avLst/>
                          </a:prstGeom>
                          <a:ln w="12700">
                            <a:solidFill>
                              <a:srgbClr val="7F7F7F"/>
                            </a:solidFill>
                          </a:ln>
                        </wps:spPr>
                        <wps:bodyPr/>
                      </wps:wsp>
                      <wps:wsp>
                        <wps:cNvPr id="1036464930" name="Connector 49"/>
                        <wps:cNvCnPr/>
                        <wps:spPr>
                          <a:xfrm flipV="1">
                            <a:off x="1332000" y="2268000"/>
                            <a:ext cx="828000" cy="594000"/>
                          </a:xfrm>
                          <a:prstGeom prst="straightConnector1">
                            <a:avLst/>
                          </a:prstGeom>
                          <a:ln w="12700">
                            <a:solidFill>
                              <a:srgbClr val="7F7F7F"/>
                            </a:solidFill>
                          </a:ln>
                        </wps:spPr>
                        <wps:bodyPr/>
                      </wps:wsp>
                      <wps:wsp>
                        <wps:cNvPr id="1232499839" name="Shape 50"/>
                        <wps:cNvSpPr/>
                        <wps:spPr>
                          <a:xfrm>
                            <a:off x="36000" y="288000"/>
                            <a:ext cx="129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txbxContent>
                        </wps:txbx>
                        <wps:bodyPr rot="0" vert="horz" wrap="square" lIns="36000" tIns="18000" rIns="36000" bIns="18000" anchor="ctr" anchorCtr="0">
                          <a:noAutofit/>
                        </wps:bodyPr>
                      </wps:wsp>
                      <wps:wsp>
                        <wps:cNvPr id="1405927111" name="Shape 51"/>
                        <wps:cNvSpPr/>
                        <wps:spPr>
                          <a:xfrm>
                            <a:off x="36000" y="882000"/>
                            <a:ext cx="129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MHXS 9</w:t>
                              </w:r>
                            </w:p>
                          </w:txbxContent>
                        </wps:txbx>
                        <wps:bodyPr rot="0" vert="horz" wrap="square" lIns="36000" tIns="18000" rIns="36000" bIns="18000" anchor="ctr" anchorCtr="0">
                          <a:noAutofit/>
                        </wps:bodyPr>
                      </wps:wsp>
                      <wps:wsp>
                        <wps:cNvPr id="203556911" name="Shape 52"/>
                        <wps:cNvSpPr/>
                        <wps:spPr>
                          <a:xfrm>
                            <a:off x="36000" y="1476000"/>
                            <a:ext cx="129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XVJ barqarorlik</w:t>
                              </w:r>
                            </w:p>
                            <w:p w:rsidR="00AB61AC" w:rsidRDefault="00AB61AC">
                              <w:pPr>
                                <w:spacing w:after="0" w:line="228" w:lineRule="auto"/>
                                <w:jc w:val="center"/>
                              </w:pPr>
                              <w:r>
                                <w:rPr>
                                  <w:b/>
                                  <w:color w:val="000000"/>
                                  <w:sz w:val="22"/>
                                </w:rPr>
                                <w:t>ko‘rsatkichlari</w:t>
                              </w:r>
                            </w:p>
                          </w:txbxContent>
                        </wps:txbx>
                        <wps:bodyPr rot="0" vert="horz" wrap="square" lIns="36000" tIns="18000" rIns="36000" bIns="18000" anchor="ctr" anchorCtr="0">
                          <a:noAutofit/>
                        </wps:bodyPr>
                      </wps:wsp>
                      <wps:wsp>
                        <wps:cNvPr id="185082303" name="Shape 53"/>
                        <wps:cNvSpPr/>
                        <wps:spPr>
                          <a:xfrm>
                            <a:off x="36000" y="2070000"/>
                            <a:ext cx="129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CAMELS</w:t>
                              </w:r>
                            </w:p>
                          </w:txbxContent>
                        </wps:txbx>
                        <wps:bodyPr rot="0" vert="horz" wrap="square" lIns="36000" tIns="18000" rIns="36000" bIns="18000" anchor="ctr" anchorCtr="0">
                          <a:noAutofit/>
                        </wps:bodyPr>
                      </wps:wsp>
                      <wps:wsp>
                        <wps:cNvPr id="1054442472" name="Shape 54"/>
                        <wps:cNvSpPr/>
                        <wps:spPr>
                          <a:xfrm>
                            <a:off x="36000" y="2664000"/>
                            <a:ext cx="1296000" cy="396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2"/>
                                </w:rPr>
                                <w:t>Reyting agentliklari</w:t>
                              </w:r>
                            </w:p>
                          </w:txbxContent>
                        </wps:txbx>
                        <wps:bodyPr rot="0" vert="horz" wrap="square" lIns="36000" tIns="18000" rIns="36000" bIns="18000" anchor="ctr" anchorCtr="0">
                          <a:noAutofit/>
                        </wps:bodyPr>
                      </wps:wsp>
                      <wps:wsp>
                        <wps:cNvPr id="1037059812" name="Shape 55"/>
                        <wps:cNvSpPr/>
                        <wps:spPr>
                          <a:xfrm>
                            <a:off x="2160000" y="288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Kapital yetarliligi</w:t>
                              </w:r>
                            </w:p>
                          </w:txbxContent>
                        </wps:txbx>
                        <wps:bodyPr rot="0" vert="horz" wrap="square" lIns="36000" tIns="18000" rIns="36000" bIns="18000" anchor="ctr" anchorCtr="0">
                          <a:noAutofit/>
                        </wps:bodyPr>
                      </wps:wsp>
                      <wps:wsp>
                        <wps:cNvPr id="10180073" name="Shape 56"/>
                        <wps:cNvSpPr/>
                        <wps:spPr>
                          <a:xfrm>
                            <a:off x="2160000" y="882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Aktivlar sifati</w:t>
                              </w:r>
                            </w:p>
                          </w:txbxContent>
                        </wps:txbx>
                        <wps:bodyPr rot="0" vert="horz" wrap="square" lIns="36000" tIns="18000" rIns="36000" bIns="18000" anchor="ctr" anchorCtr="0">
                          <a:noAutofit/>
                        </wps:bodyPr>
                      </wps:wsp>
                      <wps:wsp>
                        <wps:cNvPr id="1985593180" name="Shape 57"/>
                        <wps:cNvSpPr/>
                        <wps:spPr>
                          <a:xfrm>
                            <a:off x="2160000" y="1476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Daromadlilik</w:t>
                              </w:r>
                            </w:p>
                          </w:txbxContent>
                        </wps:txbx>
                        <wps:bodyPr rot="0" vert="horz" wrap="square" lIns="36000" tIns="18000" rIns="36000" bIns="18000" anchor="ctr" anchorCtr="0">
                          <a:noAutofit/>
                        </wps:bodyPr>
                      </wps:wsp>
                      <wps:wsp>
                        <wps:cNvPr id="3048674" name="Shape 58"/>
                        <wps:cNvSpPr/>
                        <wps:spPr>
                          <a:xfrm>
                            <a:off x="2160000" y="2070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Likvidlik</w:t>
                              </w:r>
                            </w:p>
                          </w:txbxContent>
                        </wps:txbx>
                        <wps:bodyPr rot="0" vert="horz" wrap="square" lIns="36000" tIns="18000" rIns="36000" bIns="18000" anchor="ctr" anchorCtr="0">
                          <a:noAutofit/>
                        </wps:bodyPr>
                      </wps:wsp>
                      <wps:wsp>
                        <wps:cNvPr id="1507394694" name="Shape 59"/>
                        <wps:cNvSpPr/>
                        <wps:spPr>
                          <a:xfrm>
                            <a:off x="2160000" y="2664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Bozor (valyuta) riskiga</w:t>
                              </w:r>
                            </w:p>
                            <w:p w:rsidR="00AB61AC" w:rsidRDefault="00AB61AC">
                              <w:pPr>
                                <w:spacing w:after="0" w:line="228" w:lineRule="auto"/>
                                <w:jc w:val="center"/>
                              </w:pPr>
                              <w:r>
                                <w:rPr>
                                  <w:color w:val="000000"/>
                                  <w:sz w:val="22"/>
                                </w:rPr>
                                <w:t>sezgirlik</w:t>
                              </w:r>
                            </w:p>
                          </w:txbxContent>
                        </wps:txbx>
                        <wps:bodyPr rot="0" vert="horz" wrap="square" lIns="36000" tIns="18000" rIns="36000" bIns="18000" anchor="ctr" anchorCtr="0">
                          <a:noAutofit/>
                        </wps:bodyPr>
                      </wps:wsp>
                      <wps:wsp>
                        <wps:cNvPr id="1929941536" name="Connector 60"/>
                        <wps:cNvCnPr/>
                        <wps:spPr>
                          <a:xfrm>
                            <a:off x="3888000" y="486000"/>
                            <a:ext cx="648000" cy="1152000"/>
                          </a:xfrm>
                          <a:prstGeom prst="straightConnector1">
                            <a:avLst/>
                          </a:prstGeom>
                          <a:ln w="15875">
                            <a:solidFill>
                              <a:srgbClr val="404040"/>
                            </a:solidFill>
                            <a:tailEnd type="triangle" w="med" len="med"/>
                          </a:ln>
                        </wps:spPr>
                        <wps:bodyPr/>
                      </wps:wsp>
                      <wps:wsp>
                        <wps:cNvPr id="1659247945" name="Connector 61"/>
                        <wps:cNvCnPr/>
                        <wps:spPr>
                          <a:xfrm>
                            <a:off x="3888000" y="1080000"/>
                            <a:ext cx="648000" cy="558000"/>
                          </a:xfrm>
                          <a:prstGeom prst="straightConnector1">
                            <a:avLst/>
                          </a:prstGeom>
                          <a:ln w="15875">
                            <a:solidFill>
                              <a:srgbClr val="404040"/>
                            </a:solidFill>
                            <a:tailEnd type="triangle" w="med" len="med"/>
                          </a:ln>
                        </wps:spPr>
                        <wps:bodyPr/>
                      </wps:wsp>
                      <wps:wsp>
                        <wps:cNvPr id="2085040389" name="Connector 62"/>
                        <wps:cNvCnPr/>
                        <wps:spPr>
                          <a:xfrm flipV="1">
                            <a:off x="3888000" y="1638000"/>
                            <a:ext cx="648000" cy="36000"/>
                          </a:xfrm>
                          <a:prstGeom prst="straightConnector1">
                            <a:avLst/>
                          </a:prstGeom>
                          <a:ln w="15875">
                            <a:solidFill>
                              <a:srgbClr val="404040"/>
                            </a:solidFill>
                            <a:tailEnd type="triangle" w="med" len="med"/>
                          </a:ln>
                        </wps:spPr>
                        <wps:bodyPr/>
                      </wps:wsp>
                      <wps:wsp>
                        <wps:cNvPr id="1736952842" name="Connector 63"/>
                        <wps:cNvCnPr/>
                        <wps:spPr>
                          <a:xfrm flipV="1">
                            <a:off x="3888000" y="1638000"/>
                            <a:ext cx="648000" cy="630000"/>
                          </a:xfrm>
                          <a:prstGeom prst="straightConnector1">
                            <a:avLst/>
                          </a:prstGeom>
                          <a:ln w="15875">
                            <a:solidFill>
                              <a:srgbClr val="404040"/>
                            </a:solidFill>
                            <a:tailEnd type="triangle" w="med" len="med"/>
                          </a:ln>
                        </wps:spPr>
                        <wps:bodyPr/>
                      </wps:wsp>
                      <wps:wsp>
                        <wps:cNvPr id="786672286" name="Connector 64"/>
                        <wps:cNvCnPr/>
                        <wps:spPr>
                          <a:xfrm flipV="1">
                            <a:off x="3888000" y="1638000"/>
                            <a:ext cx="648000" cy="1224000"/>
                          </a:xfrm>
                          <a:prstGeom prst="straightConnector1">
                            <a:avLst/>
                          </a:prstGeom>
                          <a:ln w="15875">
                            <a:solidFill>
                              <a:srgbClr val="404040"/>
                            </a:solidFill>
                            <a:tailEnd type="triangle" w="med" len="med"/>
                          </a:ln>
                        </wps:spPr>
                        <wps:bodyPr/>
                      </wps:wsp>
                      <wps:wsp>
                        <wps:cNvPr id="54195489" name="Shape 65"/>
                        <wps:cNvSpPr/>
                        <wps:spPr>
                          <a:xfrm>
                            <a:off x="4536000" y="1134000"/>
                            <a:ext cx="1368000" cy="1008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4"/>
                                  <w:szCs w:val="24"/>
                                </w:rPr>
                                <w:t>Moliyaviy</w:t>
                              </w:r>
                            </w:p>
                            <w:p w:rsidR="00AB61AC" w:rsidRDefault="00AB61AC">
                              <w:pPr>
                                <w:spacing w:after="0" w:line="228" w:lineRule="auto"/>
                                <w:jc w:val="center"/>
                              </w:pPr>
                              <w:r>
                                <w:rPr>
                                  <w:b/>
                                  <w:color w:val="FFFFFF"/>
                                  <w:sz w:val="24"/>
                                  <w:szCs w:val="24"/>
                                </w:rPr>
                                <w:t>barqarorlikning</w:t>
                              </w:r>
                            </w:p>
                            <w:p w:rsidR="00AB61AC" w:rsidRDefault="00AB61AC">
                              <w:pPr>
                                <w:spacing w:after="0" w:line="228" w:lineRule="auto"/>
                                <w:jc w:val="center"/>
                              </w:pPr>
                              <w:r>
                                <w:rPr>
                                  <w:b/>
                                  <w:color w:val="FFFFFF"/>
                                  <w:sz w:val="24"/>
                                  <w:szCs w:val="24"/>
                                </w:rPr>
                                <w:t>integral bahosi</w:t>
                              </w:r>
                            </w:p>
                          </w:txbxContent>
                        </wps:txbx>
                        <wps:bodyPr rot="0" vert="horz" wrap="square" lIns="36000" tIns="18000" rIns="36000" bIns="18000" anchor="ctr" anchorCtr="0">
                          <a:noAutofit/>
                        </wps:bodyPr>
                      </wps:wsp>
                    </wpg:wgp>
                  </a:graphicData>
                </a:graphic>
              </wp:inline>
            </w:drawing>
          </mc:Choice>
          <mc:Fallback>
            <w:pict>
              <v:group w14:anchorId="72DCEA7E" id="1.2.5-rasm" o:spid="_x0000_s1131" style="width:467.7pt;height:240.95pt;mso-position-horizontal-relative:char;mso-position-vertical-relative:line" coordsize="59400,30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">
                <v:roundrect id="Shape 31" o:spid="_x0000_s1132" style="position:absolute;left:360;width:1296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" filled="f" stroked="f">
                  <v:textbox inset="1mm,.5mm,1mm,.5mm">
                    <w:txbxContent>
                      <w:p w:rsidR="00AB61AC" w:rsidRDefault="00AB61AC">
                        <w:pPr>
                          <w:spacing w:after="0" w:line="228" w:lineRule="auto"/>
                          <w:jc w:val="center"/>
                        </w:pPr>
                        <w:r>
                          <w:rPr>
                            <w:b/>
                            <w:color w:val="000000"/>
                            <w:sz w:val="22"/>
                          </w:rPr>
                          <w:t>Xalqaro standartlar</w:t>
                        </w:r>
                      </w:p>
                    </w:txbxContent>
                  </v:textbox>
                </v:roundrect>
                <v:roundrect id="Shape 32" o:spid="_x0000_s1133" style="position:absolute;left:21600;width:1728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" filled="f" stroked="f">
                  <v:textbox inset="1mm,.5mm,1mm,.5mm">
                    <w:txbxContent>
                      <w:p w:rsidR="00AB61AC" w:rsidRDefault="00AB61AC">
                        <w:pPr>
                          <w:spacing w:after="0" w:line="228" w:lineRule="auto"/>
                          <w:jc w:val="center"/>
                        </w:pPr>
                        <w:r>
                          <w:rPr>
                            <w:b/>
                            <w:color w:val="000000"/>
                            <w:sz w:val="22"/>
                          </w:rPr>
                          <w:t>Baholash bloklari</w:t>
                        </w:r>
                      </w:p>
                    </w:txbxContent>
                  </v:textbox>
                </v:roundrect>
                <v:shape id="Connector 33" o:spid="_x0000_s1134" type="#_x0000_t32" style="position:absolute;left:13320;top:486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" strokecolor="#70ad47" strokeweight="1pt"/>
                <v:shape id="Connector 34" o:spid="_x0000_s1135" type="#_x0000_t32" style="position:absolute;left:13320;top:4860;width:8280;height:178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" strokecolor="#70ad47" strokeweight="1pt"/>
                <v:shape id="Connector 35" o:spid="_x0000_s1136" type="#_x0000_t32" style="position:absolute;left:13320;top:1080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" strokecolor="#eb6834" strokeweight="1pt"/>
                <v:shape id="Connector 36" o:spid="_x0000_s1137" type="#_x0000_t32" style="position:absolute;left:13320;top:486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" strokecolor="#5b9bd5" strokeweight="1pt"/>
                <v:shape id="Connector 37" o:spid="_x0000_s1138" type="#_x0000_t32" style="position:absolute;left:13320;top:1080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" strokecolor="#5b9bd5" strokeweight="1pt"/>
                <v:shape id="Connector 38" o:spid="_x0000_s1139" type="#_x0000_t32" style="position:absolute;left:13320;top:1674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" strokecolor="#5b9bd5" strokeweight="1pt"/>
                <v:shape id="Connector 39" o:spid="_x0000_s1140" type="#_x0000_t32" style="position:absolute;left:13320;top:1674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" strokecolor="#5b9bd5" strokeweight="1pt"/>
                <v:shape id="Connector 40" o:spid="_x0000_s1141" type="#_x0000_t32" style="position:absolute;left:13320;top:16740;width:8280;height:118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" strokecolor="#5b9bd5" strokeweight="1pt"/>
                <v:shape id="Connector 41" o:spid="_x0000_s1142" type="#_x0000_t32" style="position:absolute;left:13320;top:486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" strokecolor="#2a78d6" strokeweight="1pt"/>
                <v:shape id="Connector 42" o:spid="_x0000_s1143" type="#_x0000_t32" style="position:absolute;left:13320;top:1080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" strokecolor="#2a78d6" strokeweight="1pt"/>
                <v:shape id="Connector 43" o:spid="_x0000_s1144" type="#_x0000_t32" style="position:absolute;left:13320;top:1674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" strokecolor="#2a78d6" strokeweight="1pt"/>
                <v:shape id="Connector 44" o:spid="_x0000_s1145" type="#_x0000_t32" style="position:absolute;left:13320;top:2268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" strokecolor="#2a78d6" strokeweight="1pt"/>
                <v:shape id="Connector 45" o:spid="_x0000_s1146" type="#_x0000_t32" style="position:absolute;left:13320;top:2268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" strokecolor="#2a78d6" strokeweight="1pt"/>
                <v:shape id="Connector 46" o:spid="_x0000_s1147" type="#_x0000_t32" style="position:absolute;left:13320;top:4860;width:8280;height:237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" strokecolor="#7f7f7f" strokeweight="1pt"/>
                <v:shape id="Connector 47" o:spid="_x0000_s1148" type="#_x0000_t32" style="position:absolute;left:13320;top:1080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" strokecolor="#7f7f7f" strokeweight="1pt"/>
                <v:shape id="Connector 48" o:spid="_x0000_s1149" type="#_x0000_t32" style="position:absolute;left:13320;top:1674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" strokecolor="#7f7f7f" strokeweight="1pt"/>
                <v:shape id="Connector 49" o:spid="_x0000_s1150" type="#_x0000_t32" style="position:absolute;left:13320;top:2268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" strokecolor="#7f7f7f" strokeweight="1pt"/>
                <v:roundrect id="Shape 50" o:spid="_x0000_s1151" style="position:absolute;left:360;top:288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txbxContent>
                  </v:textbox>
                </v:roundrect>
                <v:roundrect id="Shape 51" o:spid="_x0000_s1152" style="position:absolute;left:360;top:882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MHXS 9</w:t>
                        </w:r>
                      </w:p>
                    </w:txbxContent>
                  </v:textbox>
                </v:roundrect>
                <v:roundrect id="Shape 52" o:spid="_x0000_s1153" style="position:absolute;left:360;top:1476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" fillcolor="#9dc3e6" strokecolor="#9dc3e6" strokeweight="1pt">
                  <v:textbox inset="1mm,.5mm,1mm,.5mm">
                    <w:txbxContent>
                      <w:p w:rsidR="00AB61AC" w:rsidRDefault="00AB61AC">
                        <w:pPr>
                          <w:spacing w:after="0" w:line="228" w:lineRule="auto"/>
                          <w:jc w:val="center"/>
                        </w:pPr>
                        <w:r>
                          <w:rPr>
                            <w:b/>
                            <w:color w:val="000000"/>
                            <w:sz w:val="22"/>
                          </w:rPr>
                          <w:t>XVJ barqarorlik</w:t>
                        </w:r>
                      </w:p>
                      <w:p w:rsidR="00AB61AC" w:rsidRDefault="00AB61AC">
                        <w:pPr>
                          <w:spacing w:after="0" w:line="228" w:lineRule="auto"/>
                          <w:jc w:val="center"/>
                        </w:pPr>
                        <w:r>
                          <w:rPr>
                            <w:b/>
                            <w:color w:val="000000"/>
                            <w:sz w:val="22"/>
                          </w:rPr>
                          <w:t>ko‘rsatkichlari</w:t>
                        </w:r>
                      </w:p>
                    </w:txbxContent>
                  </v:textbox>
                </v:roundrect>
                <v:roundrect id="Shape 53" o:spid="_x0000_s1154" style="position:absolute;left:360;top:2070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2"/>
                          </w:rPr>
                          <w:t>CAMELS</w:t>
                        </w:r>
                      </w:p>
                    </w:txbxContent>
                  </v:textbox>
                </v:roundrect>
                <v:roundrect id="Shape 54" o:spid="_x0000_s1155" style="position:absolute;left:360;top:2664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" fillcolor="#a5a5a5" strokecolor="#a5a5a5" strokeweight="1pt">
                  <v:textbox inset="1mm,.5mm,1mm,.5mm">
                    <w:txbxContent>
                      <w:p w:rsidR="00AB61AC" w:rsidRDefault="00AB61AC">
                        <w:pPr>
                          <w:spacing w:after="0" w:line="228" w:lineRule="auto"/>
                          <w:jc w:val="center"/>
                        </w:pPr>
                        <w:r>
                          <w:rPr>
                            <w:b/>
                            <w:color w:val="000000"/>
                            <w:sz w:val="22"/>
                          </w:rPr>
                          <w:t>Reyting agentliklari</w:t>
                        </w:r>
                      </w:p>
                    </w:txbxContent>
                  </v:textbox>
                </v:roundrect>
                <v:roundrect id="Shape 55" o:spid="_x0000_s1156" style="position:absolute;left:21600;top:288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" fillcolor="#deebf7" strokecolor="#5b9bd5" strokeweight="1pt">
                  <v:textbox inset="1mm,.5mm,1mm,.5mm">
                    <w:txbxContent>
                      <w:p w:rsidR="00AB61AC" w:rsidRDefault="00AB61AC">
                        <w:pPr>
                          <w:spacing w:after="0" w:line="228" w:lineRule="auto"/>
                          <w:jc w:val="center"/>
                        </w:pPr>
                        <w:r>
                          <w:rPr>
                            <w:color w:val="000000"/>
                            <w:sz w:val="22"/>
                          </w:rPr>
                          <w:t>Kapital yetarliligi</w:t>
                        </w:r>
                      </w:p>
                    </w:txbxContent>
                  </v:textbox>
                </v:roundrect>
                <v:roundrect id="Shape 56" o:spid="_x0000_s1157" style="position:absolute;left:21600;top:882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" fillcolor="#deebf7" strokecolor="#5b9bd5" strokeweight="1pt">
                  <v:textbox inset="1mm,.5mm,1mm,.5mm">
                    <w:txbxContent>
                      <w:p w:rsidR="00AB61AC" w:rsidRDefault="00AB61AC">
                        <w:pPr>
                          <w:spacing w:after="0" w:line="228" w:lineRule="auto"/>
                          <w:jc w:val="center"/>
                        </w:pPr>
                        <w:r>
                          <w:rPr>
                            <w:color w:val="000000"/>
                            <w:sz w:val="22"/>
                          </w:rPr>
                          <w:t>Aktivlar sifati</w:t>
                        </w:r>
                      </w:p>
                    </w:txbxContent>
                  </v:textbox>
                </v:roundrect>
                <v:roundrect id="Shape 57" o:spid="_x0000_s1158" style="position:absolute;left:21600;top:1476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" fillcolor="#deebf7" strokecolor="#5b9bd5" strokeweight="1pt">
                  <v:textbox inset="1mm,.5mm,1mm,.5mm">
                    <w:txbxContent>
                      <w:p w:rsidR="00AB61AC" w:rsidRDefault="00AB61AC">
                        <w:pPr>
                          <w:spacing w:after="0" w:line="228" w:lineRule="auto"/>
                          <w:jc w:val="center"/>
                        </w:pPr>
                        <w:r>
                          <w:rPr>
                            <w:color w:val="000000"/>
                            <w:sz w:val="22"/>
                          </w:rPr>
                          <w:t>Daromadlilik</w:t>
                        </w:r>
                      </w:p>
                    </w:txbxContent>
                  </v:textbox>
                </v:roundrect>
                <v:roundrect id="Shape 58" o:spid="_x0000_s1159" style="position:absolute;left:21600;top:2070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" fillcolor="#deebf7" strokecolor="#5b9bd5" strokeweight="1pt">
                  <v:textbox inset="1mm,.5mm,1mm,.5mm">
                    <w:txbxContent>
                      <w:p w:rsidR="00AB61AC" w:rsidRDefault="00AB61AC">
                        <w:pPr>
                          <w:spacing w:after="0" w:line="228" w:lineRule="auto"/>
                          <w:jc w:val="center"/>
                        </w:pPr>
                        <w:r>
                          <w:rPr>
                            <w:color w:val="000000"/>
                            <w:sz w:val="22"/>
                          </w:rPr>
                          <w:t>Likvidlik</w:t>
                        </w:r>
                      </w:p>
                    </w:txbxContent>
                  </v:textbox>
                </v:roundrect>
                <v:roundrect id="Shape 59" o:spid="_x0000_s1160" style="position:absolute;left:21600;top:2664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" fillcolor="#deebf7" strokecolor="#5b9bd5" strokeweight="1pt">
                  <v:textbox inset="1mm,.5mm,1mm,.5mm">
                    <w:txbxContent>
                      <w:p w:rsidR="00AB61AC" w:rsidRDefault="00AB61AC">
                        <w:pPr>
                          <w:spacing w:after="0" w:line="228" w:lineRule="auto"/>
                          <w:jc w:val="center"/>
                        </w:pPr>
                        <w:r>
                          <w:rPr>
                            <w:color w:val="000000"/>
                            <w:sz w:val="22"/>
                          </w:rPr>
                          <w:t>Bozor (valyuta) riskiga</w:t>
                        </w:r>
                      </w:p>
                      <w:p w:rsidR="00AB61AC" w:rsidRDefault="00AB61AC">
                        <w:pPr>
                          <w:spacing w:after="0" w:line="228" w:lineRule="auto"/>
                          <w:jc w:val="center"/>
                        </w:pPr>
                        <w:r>
                          <w:rPr>
                            <w:color w:val="000000"/>
                            <w:sz w:val="22"/>
                          </w:rPr>
                          <w:t>sezgirlik</w:t>
                        </w:r>
                      </w:p>
                    </w:txbxContent>
                  </v:textbox>
                </v:roundrect>
                <v:shape id="Connector 60" o:spid="_x0000_s1161" type="#_x0000_t32" style="position:absolute;left:38880;top:4860;width:6480;height:11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" strokecolor="#404040" strokeweight="1.25pt">
                  <v:stroke endarrow="block"/>
                </v:shape>
                <v:shape id="Connector 61" o:spid="_x0000_s1162" type="#_x0000_t32" style="position:absolute;left:38880;top:10800;width:6480;height:55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" strokecolor="#404040" strokeweight="1.25pt">
                  <v:stroke endarrow="block"/>
                </v:shape>
                <v:shape id="Connector 62" o:spid="_x0000_s1163" type="#_x0000_t32" style="position:absolute;left:38880;top:16380;width:6480;height:3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" strokecolor="#404040" strokeweight="1.25pt">
                  <v:stroke endarrow="block"/>
                </v:shape>
                <v:shape id="Connector 63" o:spid="_x0000_s1164" type="#_x0000_t32" style="position:absolute;left:38880;top:16380;width:6480;height:63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" strokecolor="#404040" strokeweight="1.25pt">
                  <v:stroke endarrow="block"/>
                </v:shape>
                <v:shape id="Connector 64" o:spid="_x0000_s1165" type="#_x0000_t32" style="position:absolute;left:38880;top:16380;width:6480;height:122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" strokecolor="#404040" strokeweight="1.25pt">
                  <v:stroke endarrow="block"/>
                </v:shape>
                <v:roundrect id="Shape 65" o:spid="_x0000_s1166" style="position:absolute;left:45360;top:11340;width:13680;height:100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4"/>
                            <w:szCs w:val="24"/>
                          </w:rPr>
                          <w:t>Moliyaviy</w:t>
                        </w:r>
                      </w:p>
                      <w:p w:rsidR="00AB61AC" w:rsidRDefault="00AB61AC">
                        <w:pPr>
                          <w:spacing w:after="0" w:line="228" w:lineRule="auto"/>
                          <w:jc w:val="center"/>
                        </w:pPr>
                        <w:r>
                          <w:rPr>
                            <w:b/>
                            <w:color w:val="FFFFFF"/>
                            <w:sz w:val="24"/>
                            <w:szCs w:val="24"/>
                          </w:rPr>
                          <w:t>barqarorlikning</w:t>
                        </w:r>
                      </w:p>
                      <w:p w:rsidR="00AB61AC" w:rsidRDefault="00AB61AC">
                        <w:pPr>
                          <w:spacing w:after="0" w:line="228" w:lineRule="auto"/>
                          <w:jc w:val="center"/>
                        </w:pPr>
                        <w:r>
                          <w:rPr>
                            <w:b/>
                            <w:color w:val="FFFFFF"/>
                            <w:sz w:val="24"/>
                            <w:szCs w:val="24"/>
                          </w:rPr>
                          <w:t>integral bahosi</w:t>
                        </w:r>
                      </w:p>
                    </w:txbxContent>
                  </v:textbox>
                </v:roundrect>
                <w10:anchorlock/>
              </v:group>
            </w:pict>
          </mc:Fallback>
        </mc:AlternateContent>
      </w:r>
    </w:p>
    <w:p w:rsidR="005603EC" w:rsidRDefault="00AB61AC">
      <w:pPr>
        <w:pStyle w:val="af"/>
        <w:spacing w:before="120" w:after="240" w:line="240" w:lineRule="auto"/>
        <w:jc w:val="center"/>
      </w:pPr>
      <w:r>
        <w:rPr>
          <w:b/>
        </w:rPr>
        <w:t>1.2.5-rasm. Xalqaro standartlarning moliyaviy barqarorlikni integral baholash bloklari bilan bog‘liqligi</w:t>
      </w:r>
      <w:r>
        <w:rPr>
          <w:rStyle w:val="aff8"/>
        </w:rPr>
        <w:footnoteReference w:id="167"/>
      </w:r>
    </w:p>
    <w:p w:rsidR="005603EC" w:rsidRDefault="00AB61AC">
      <w:pPr>
        <w:pStyle w:val="af"/>
        <w:spacing w:after="0" w:line="360" w:lineRule="auto"/>
        <w:ind w:firstLine="709"/>
        <w:jc w:val="both"/>
      </w:pPr>
      <w:r>
        <w:t>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30400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304000"/>
                          <a:chOff x="0" y="0"/>
                          <a:chExt cx="5904000" cy="2304000"/>
                        </a:xfrm>
                      </wpg:grpSpPr>
                      <wps:wsp>
                        <wps:cNvPr id="1495102975"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(Xalqaro hisob-kitoblar banki tasnifi)</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BAITE, 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FIMS, SEER,</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181.4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(Xalqaro hisob-kitoblar banki tasnifi)</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BAITE, 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FIMS, SEER,</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CAMELS (1978–1979)</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FIMS, SEER, SCOR</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BAITE (1997), RATE (1998)</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ORAP (1997), SAABA</w:t>
            </w:r>
          </w:p>
        </w:tc>
        <w:tc>
          <w:tcPr>
            <w:tcW w:w="0" w:type="auto"/>
          </w:tcPr>
          <w:p w:rsidR="005603EC" w:rsidRDefault="00AB61AC">
            <w:pPr>
              <w:pStyle w:val="Compact"/>
              <w:spacing w:line="240" w:lineRule="auto"/>
            </w:pPr>
            <w:r>
              <w:rPr>
                <w:sz w:val="22"/>
              </w:rPr>
              <w:t>Reyting va ekspert tizimi</w:t>
            </w:r>
          </w:p>
        </w:tc>
        <w:tc>
          <w:tcPr>
            <w:tcW w:w="0" w:type="auto"/>
          </w:tcPr>
          <w:p w:rsidR="005603EC" w:rsidRDefault="00AB61AC">
            <w:pPr>
              <w:pStyle w:val="Compact"/>
              <w:spacing w:line="240" w:lineRule="auto"/>
            </w:pPr>
            <w:r>
              <w:rPr>
                <w:sz w:val="22"/>
              </w:rPr>
              <w:t>SAABA 25 ma’lumotlar bazasidan foydalanadi; 3 yillik to‘lov qobiliyati bahosi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Masofaviy nazorat va reyting</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RAST</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color w:val="FF0000"/>
        </w:rPr>
        <w:t xml:space="preserve"> 2015-yil 1-yanvardan Bazel III talablariga muvofiq tizimga asosiy kapital (CET1) mezoni qo‘shilgan va 1-darajali kapital chegaralari 2 foiz punktga oshirilgan</w:t>
      </w:r>
      <w:r>
        <w:rPr>
          <w:rStyle w:val="aff8"/>
          <w:color w:val="FF0000"/>
        </w:rPr>
        <w:footnoteReference w:id="177"/>
      </w:r>
      <w:r>
        <w:rPr>
          <w:color w:val="FF0000"/>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color w:val="FF0000"/>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color w:val="FF0000"/>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color w:val="FF0000"/>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color w:val="FF0000"/>
        </w:rPr>
        <w:footnoteReference w:id="181"/>
      </w:r>
      <w:r>
        <w:rPr>
          <w:color w:val="FF0000"/>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color w:val="FF0000"/>
        </w:rPr>
        <w:footnoteReference w:id="182"/>
      </w:r>
      <w:r>
        <w:rPr>
          <w:color w:val="FF0000"/>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color w:val="FF0000"/>
        </w:rPr>
        <w:t xml:space="preserve"> Federal rezerv tizimining nazorat bo‘yicha rais </w:t>
      </w:r>
      <w:r>
        <w:rPr>
          <w:color w:val="FF0000"/>
        </w:rPr>
        <w:lastRenderedPageBreak/>
        <w:t>o‘rinbosari M. Bowman bu o‘zgarishni nazoratning shaffoflik, miqdoriy omillar va bashorat qilinuvchanlik tomon qat’iy burilishi deb baholagan, taklif bo‘yicha fikrlar esa 2026-yil 17-avgustgacha qabul qilinadi</w:t>
      </w:r>
      <w:r>
        <w:rPr>
          <w:rStyle w:val="aff8"/>
          <w:color w:val="FF0000"/>
        </w:rPr>
        <w:footnoteReference w:id="186"/>
      </w:r>
      <w:r>
        <w:rPr>
          <w:color w:val="FF0000"/>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color w:val="FF0000"/>
        </w:rPr>
        <w:t xml:space="preserve">Angliya banki tomonidan ishlab chiqilgan va 1998-yildan Moliyaviy xizmatlar boshqarmasi tomonidan qo‘llangan RATE tizimi uch blokdan, ya’ni risklarni baholash, nazorat vositalari va samaradorlikni baholashdan iborat bo‘lgan</w:t>
      </w:r>
      <w:r>
        <w:rPr>
          <w:rStyle w:val="aff8"/>
          <w:color w:val="FF0000"/>
        </w:rPr>
        <w:footnoteReference w:id="190"/>
      </w:r>
      <w:r>
        <w:rPr>
          <w:color w:val="FF0000"/>
        </w:rPr>
        <w:t xml:space="preserve">. Risklarni baholashda CAMEL-B omillari (kapital, aktivlar, bozor riski, foyda, majburiyatlar, biznes) va COM omillari (nazorat, tashkiliy tuzilma, boshqaruv) asosida yagona ball chiqarilib, nazorat davri 6 oydan 3 yilgacha belgilangan</w:t>
      </w:r>
      <w:r>
        <w:rPr>
          <w:rStyle w:val="aff8"/>
          <w:color w:val="FF0000"/>
        </w:rPr>
        <w:footnoteReference w:id="191"/>
      </w:r>
      <w:r>
        <w:rPr>
          <w:rStyle w:val="aff8"/>
          <w:color w:val="FF0000"/>
        </w:rPr>
        <w:footnoteReference w:id="192"/>
      </w:r>
      <w:r>
        <w:rPr>
          <w:color w:val="FF0000"/>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color w:val="FF0000"/>
        </w:rPr>
        <w:footnoteReference w:id="193"/>
      </w:r>
      <w:r>
        <w:rPr>
          <w:color w:val="FF0000"/>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132000"/>
                <wp:effectExtent l="0" t="0" r="0" b="0"/>
                <wp:docPr id="9601" name="1.3.4-rasm"/>
                <wp:cNvGraphicFramePr/>
                <a:graphic>
                  <a:graphicData uri="http://schemas.microsoft.com/office/word/2010/wordprocessingGroup">
                    <wpg:wgp>
                      <wpg:cNvGrpSpPr/>
                      <wpg:grpSpPr>
                        <a:xfrm>
                          <a:off x="0" y="0"/>
                          <a:ext cx="5832000" cy="313200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color w:val="FF0000"/>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color w:val="FF0000"/>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color w:val="FF0000"/>
        </w:rPr>
        <w:footnoteReference w:id="195"/>
      </w:r>
      <w:r>
        <w:rPr>
          <w:color w:val="FF0000"/>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color w:val="FF0000"/>
        </w:rPr>
        <w:t xml:space="preserve"> va ular asosida bank sektorining risk dashbordini muntazam e’lon qiladi</w:t>
      </w:r>
      <w:r>
        <w:rPr>
          <w:rStyle w:val="aff8"/>
          <w:color w:val="FF0000"/>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Mualliflar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color w:val="FF0000"/>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color w:val="FF0000"/>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color w:val="FF0000"/>
        </w:rPr>
        <w:footnoteReference w:id="217"/>
      </w:r>
      <w:r>
        <w:rPr>
          <w:color w:val="FF0000"/>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color w:val="FF0000"/>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color w:val="FF0000"/>
        </w:rPr>
        <w:footnoteReference w:id="235"/>
      </w:r>
      <w:r>
        <w:rPr>
          <w:color w:val="FF0000"/>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color w:val="FF0000"/>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color w:val="FF0000"/>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color w:val="FF0000"/>
                <w:sz w:val="22"/>
              </w:rPr>
              <w:t xml:space="preserve">AQSh – FIMS; Yevropa Ittifoqi – EBA modellari</w:t>
            </w:r>
          </w:p>
        </w:tc>
        <w:tc>
          <w:tcPr>
            <w:tcW w:w="0" w:type="auto"/>
          </w:tcPr>
          <w:p w:rsidR="005603EC" w:rsidRDefault="00AB61AC">
            <w:pPr>
              <w:pStyle w:val="Compact"/>
              <w:spacing w:line="240" w:lineRule="auto"/>
            </w:pPr>
            <w:r>
              <w:rPr>
                <w:color w:val="FF0000"/>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color w:val="FF0000"/>
                <w:sz w:val="22"/>
              </w:rPr>
              <w:t xml:space="preserve">Buyuk Britaniya – RATE, PRA</w:t>
            </w:r>
          </w:p>
        </w:tc>
        <w:tc>
          <w:tcPr>
            <w:tcW w:w="0" w:type="auto"/>
          </w:tcPr>
          <w:p w:rsidR="005603EC" w:rsidRDefault="00AB61AC">
            <w:pPr>
              <w:pStyle w:val="Compact"/>
              <w:spacing w:line="240" w:lineRule="auto"/>
            </w:pPr>
            <w:r>
              <w:rPr>
                <w:color w:val="FF0000"/>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color w:val="FF0000"/>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color w:val="FF0000"/>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color w:val="FF0000"/>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color w:val="FF0000"/>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color w:val="FF0000"/>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color w:val="FF0000"/>
        </w:rPr>
        <w:t xml:space="preserve">Buyuk Britaniyada esa faol aralashuv tizimining bosqichi majburiy nazorat choralarini belgilaydi</w:t>
      </w:r>
      <w:r>
        <w:t xml:space="preserve">.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color w:val="FF0000"/>
        </w:rPr>
        <w:t xml:space="preserve"> Boshqaruv sifatini ochiq ma’lumotlar asosida miqdoriy baholab bo‘lmagani sababli III bobda ishlab chiqilgan integral indeksda u alohida blok sifatida emas, balki kuratorlarning </w:t>
      </w:r>
      <w:r>
        <w:rPr>
          <w:color w:val="FF0000"/>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2520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2520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198.45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color w:val="FF0000"/>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609850"/>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609850"/>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05.5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color w:val="FF0000"/>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color w:val="FF0000"/>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color w:val="FF0000"/>
                <w:sz w:val="22"/>
              </w:rPr>
              <w:t xml:space="preserve">I darajali kapital monandligi</w:t>
            </w:r>
          </w:p>
        </w:tc>
        <w:tc>
          <w:tcPr>
            <w:tcW w:w="0" w:type="auto"/>
          </w:tcPr>
          <w:p w:rsidR="005603EC" w:rsidRDefault="00AB61AC">
            <w:pPr>
              <w:pStyle w:val="Compact"/>
              <w:spacing w:line="240" w:lineRule="auto"/>
            </w:pPr>
            <w:r>
              <w:rPr>
                <w:color w:val="FF0000"/>
                <w:sz w:val="22"/>
              </w:rPr>
              <w:t xml:space="preserve">≥ 10% (2025-yilgacha); ≥ 6% + buferlar (2026-yildan)</w:t>
            </w:r>
          </w:p>
        </w:tc>
        <w:tc>
          <w:tcPr>
            <w:tcW w:w="0" w:type="auto"/>
          </w:tcPr>
          <w:p w:rsidR="005603EC" w:rsidRDefault="00AB61AC">
            <w:pPr>
              <w:pStyle w:val="Compact"/>
              <w:spacing w:line="240" w:lineRule="auto"/>
            </w:pPr>
            <w:r>
              <w:rPr>
                <w:color w:val="FF0000"/>
                <w:sz w:val="22"/>
              </w:rPr>
              <w:t xml:space="preserve">≥ 6%</w:t>
            </w:r>
          </w:p>
        </w:tc>
        <w:tc>
          <w:tcPr>
            <w:tcW w:w="0" w:type="auto"/>
          </w:tcPr>
          <w:p w:rsidR="005603EC" w:rsidRDefault="00AB61AC">
            <w:pPr>
              <w:pStyle w:val="Compact"/>
              <w:spacing w:line="240" w:lineRule="auto"/>
            </w:pPr>
            <w:r>
              <w:rPr>
                <w:color w:val="FF0000"/>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color w:val="FF0000"/>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color w:val="FF0000"/>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color w:val="FF0000"/>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color w:val="FF0000"/>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color w:val="FF0000"/>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color w:val="FF0000"/>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color w:val="FF0000"/>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color w:val="FF0000"/>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color w:val="FF0000"/>
                <w:sz w:val="22"/>
              </w:rPr>
              <w:t>Yuqori likvid aktivlar / jami aktivlar</w:t>
            </w:r>
          </w:p>
        </w:tc>
        <w:tc>
          <w:tcPr>
            <w:tcW w:w="0" w:type="auto"/>
          </w:tcPr>
          <w:p w:rsidR="005603EC" w:rsidRDefault="00AB61AC">
            <w:pPr>
              <w:pStyle w:val="Compact"/>
              <w:spacing w:line="240" w:lineRule="auto"/>
            </w:pPr>
            <w:r>
              <w:rPr>
                <w:color w:val="FF0000"/>
                <w:sz w:val="22"/>
              </w:rPr>
              <w:t>≥ 10%</w:t>
            </w:r>
          </w:p>
        </w:tc>
        <w:tc>
          <w:tcPr>
            <w:tcW w:w="0" w:type="auto"/>
          </w:tcPr>
          <w:p w:rsidR="005603EC" w:rsidRDefault="00AB61AC">
            <w:pPr>
              <w:pStyle w:val="Compact"/>
              <w:spacing w:line="240" w:lineRule="auto"/>
            </w:pPr>
            <w:r>
              <w:rPr>
                <w:color w:val="FF0000"/>
                <w:sz w:val="22"/>
              </w:rPr>
              <w:t>–</w:t>
            </w:r>
          </w:p>
        </w:tc>
        <w:tc>
          <w:tcPr>
            <w:tcW w:w="0" w:type="auto"/>
          </w:tcPr>
          <w:p w:rsidR="005603EC" w:rsidRDefault="00AB61AC">
            <w:pPr>
              <w:pStyle w:val="Compact"/>
              <w:spacing w:line="240" w:lineRule="auto"/>
            </w:pPr>
            <w:r>
              <w:rPr>
                <w:color w:val="FF0000"/>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color w:val="FF0000"/>
        </w:rPr>
        <w:t xml:space="preserve"> Jadvaldagi 2025-yilgacha amal qilgan talablar bankning prudensial hisobot shaklidagi belgilangan me’yorlar</w:t>
      </w:r>
      <w:r>
        <w:rPr>
          <w:rStyle w:val="aff8"/>
          <w:color w:val="FF0000"/>
        </w:rPr>
        <w:footnoteReference w:id="250"/>
      </w:r>
      <w:r>
        <w:rPr>
          <w:color w:val="FF0000"/>
        </w:rPr>
        <w:t>, 2026-yildan amal qiladigan talablar va buferlar esa Markaziy bankning moliyaviy barqarorlik sharhi bo‘yicha keltirildi</w:t>
      </w:r>
      <w:r>
        <w:rPr>
          <w:rStyle w:val="aff8"/>
          <w:color w:val="FF0000"/>
        </w:rPr>
        <w:footnoteReference w:id="251"/>
      </w:r>
      <w:r>
        <w:rPr>
          <w:color w:val="FF0000"/>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Amaldagi baholash tizimi natijalariga ko‘ra, O‘zbekiston bank tizimi kapital yetarliligi bo‘yicha barqaror holatda. Kapital monandligi 2021–2025-yillarda 17,4–18,3 foiz oralig‘ida bo‘lib, 2023-yil oxirida 17,5 foizni</w:t>
      </w:r>
      <w:r>
        <w:rPr>
          <w:rStyle w:val="aff8"/>
        </w:rPr>
        <w:footnoteReference w:id="259"/>
      </w:r>
      <w:r>
        <w:t xml:space="preserve">, 2025-yil oxirida 18,3 foizni tashkil etgan; asosiy kapital (CET1) monandligi 2025-yil oxirida 14,7 foizga </w:t>
      </w:r>
      <w:r>
        <w:lastRenderedPageBreak/>
        <w:t>teng bo‘lgan</w:t>
      </w:r>
      <w:r>
        <w:rPr>
          <w:rStyle w:val="aff8"/>
        </w:rPr>
        <w:footnoteReference w:id="260"/>
      </w:r>
      <w:r>
        <w:t>. Muammoli kreditlar ulushi esa 2021-yil oxiridagi 5,2 foizdan 2025-yil oxirida 3,0 foizgacha kamaygan</w:t>
      </w:r>
      <w:r>
        <w:rPr>
          <w:rStyle w:val="aff8"/>
        </w:rPr>
        <w:footnoteReference w:id="261"/>
      </w:r>
      <w:r>
        <w:t xml:space="preserve"> (2.1.3-rasm).</w:t>
      </w:r>
    </w:p>
    <w:p w:rsidR="005603EC" w:rsidRDefault="00AB61AC">
      <w:pPr>
        <w:pStyle w:val="af"/>
        <w:keepNext/>
        <w:spacing w:after="0" w:line="240" w:lineRule="auto"/>
        <w:jc w:val="center"/>
      </w:pPr>
      <w:r>
        <w:rPr>
          <w:noProof/>
          <w:lang w:val="ru-RU" w:eastAsia="ru-RU"/>
        </w:rPr>
        <w:drawing>
          <wp:inline distT="0" distB="0" distL="0" distR="0" wp14:anchorId="5FA4FFEB" wp14:editId="57FAD2EE">
            <wp:extent cx="5760000" cy="2880000"/>
            <wp:effectExtent l="0" t="0" r="0" b="0"/>
            <wp:docPr id="746980402" name="2.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rsidR="005603EC" w:rsidRDefault="00AB61AC">
      <w:pPr>
        <w:pStyle w:val="af"/>
        <w:spacing w:before="120" w:after="240" w:line="240" w:lineRule="auto"/>
        <w:jc w:val="center"/>
      </w:pPr>
      <w:r>
        <w:rPr>
          <w:b/>
        </w:rPr>
        <w:t>2.1.3-rasm. O‘zbekiston bank tizimida kapital monandligi ko‘rsatkichlari dinamikasi, %</w:t>
      </w:r>
      <w:r>
        <w:rPr>
          <w:rStyle w:val="aff8"/>
        </w:rPr>
        <w:footnoteReference w:id="262"/>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3"/>
      </w:r>
      <w:r>
        <w:t>. 2025-yil birinchi yarmi bo‘yicha sharhda bu ko‘rsatkichlar mos ravishda 6,1 va 8,4 foiz, leverej koeffitsiyenti esa 5,3 foiz deb baholangan edi</w:t>
      </w:r>
      <w:r>
        <w:rPr>
          <w:rStyle w:val="aff8"/>
        </w:rPr>
        <w:footnoteReference w:id="264"/>
      </w:r>
      <w:r>
        <w:t xml:space="preserve"> (2.1.4-rasm).</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2.1.4-rasm. Salbiy stress-ssenariyda bank tizimi kapital ko‘rsatkichlarining o‘zgarishi, %</w:t>
      </w:r>
      <w:r>
        <w:rPr>
          <w:rStyle w:val="aff8"/>
        </w:rPr>
        <w:footnoteReference w:id="265"/>
      </w:r>
    </w:p>
    <w:p w:rsidR="005603EC" w:rsidRDefault="00AB61AC">
      <w:pPr>
        <w:pStyle w:val="af"/>
        <w:spacing w:after="0" w:line="360" w:lineRule="auto"/>
        <w:ind w:firstLine="709"/>
        <w:jc w:val="both"/>
      </w:pPr>
      <w:r>
        <w:t xml:space="preserve">Rasmdan ko‘rinadiki, salbiy ssenariyda kapital ko‘rsatkichlari amaldagi regulyativ minimumlardan </w:t>
      </w:r>
      <w:r>
        <w:rPr>
          <w:color w:val="FF0000"/>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6"/>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Aktivlar sifati to‘g‘risida hisobotlarda kamsitib ko‘rsatish holatlari, ayniqsa imtiyozli va yo‘naltirilgan kreditlarda</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2026–2028-y.</w:t>
            </w:r>
          </w:p>
        </w:tc>
      </w:tr>
    </w:tbl>
    <w:p w:rsidR="005603EC" w:rsidRDefault="00AB61AC">
      <w:pPr>
        <w:pStyle w:val="af"/>
        <w:spacing w:after="0" w:line="360" w:lineRule="auto"/>
        <w:ind w:firstLine="709"/>
        <w:jc w:val="both"/>
      </w:pPr>
      <w:r>
        <w:t>Jadvalda keltirilgan tafovutlarni tahlil qilish ularni besh guruhga ajratish imkonini beradi (2.1.5-rasm).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48400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48400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195.6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2.1.5-rasm. Banklar moliyaviy barqarorligini baholashni xalqaro standartlarga moslashtirish muammolari</w:t>
      </w:r>
      <w:r>
        <w:rPr>
          <w:rStyle w:val="aff8"/>
        </w:rPr>
        <w:footnoteReference w:id="268"/>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9"/>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70"/>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1"/>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2"/>
      </w:r>
      <w:r>
        <w:t>. Hukumat va Markaziy bank barcha tijorat banklarini MHXS ga to‘liq o‘tkazishni maqsad qilib qo‘ygan</w:t>
      </w:r>
      <w:r>
        <w:rPr>
          <w:rStyle w:val="aff8"/>
        </w:rPr>
        <w:footnoteReference w:id="273"/>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4"/>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5"/>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6"/>
      </w:r>
      <w:r>
        <w:t>. To‘lov qobiliyati bo‘yicha makro stress-test MHXS 9 asosidagi muammoli kreditlar ma’lumotlari to‘liq shakllangandan keyingina shu ma’lumotlarga tayanadigan bo‘ladi</w:t>
      </w:r>
      <w:r>
        <w:rPr>
          <w:rStyle w:val="aff8"/>
        </w:rPr>
        <w:footnoteReference w:id="277"/>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8"/>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color w:val="FF0000"/>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9"/>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aff8"/>
        </w:rPr>
        <w:footnoteReference w:id="280"/>
      </w:r>
      <w:r>
        <w:rPr>
          <w:rStyle w:val="aff8"/>
        </w:rPr>
        <w:footnoteReference w:id="281"/>
      </w:r>
      <w:r>
        <w:t>.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2"/>
      </w:r>
      <w:r>
        <w:t>. 2023-yil oxirida bank tizimi aktivlari yalpi ichki mahsulotning 55 foiziga, kreditlar esa 40 foiziga teng bo‘lgan</w:t>
      </w:r>
      <w:r>
        <w:rPr>
          <w:rStyle w:val="aff8"/>
        </w:rPr>
        <w:footnoteReference w:id="283"/>
      </w:r>
      <w:r>
        <w:t>, 2026-yil 1-yanvar holatiga esa tijorat banklari aktivlari 924,8 trln so‘mni, kreditlari 604 trln so‘mni tashkil etgan</w:t>
      </w:r>
      <w:r>
        <w:rPr>
          <w:rStyle w:val="aff8"/>
        </w:rPr>
        <w:footnoteReference w:id="284"/>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5"/>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6"/>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7"/>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O‘zbekiston bank tizimining moliyaviy barqarorlik ko‘rsatkichlari, yil oxiriga, %</w:t>
      </w:r>
      <w:r>
        <w:rPr>
          <w:rStyle w:val="aff8"/>
        </w:rPr>
        <w:footnoteReference w:id="28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53,6</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color w:val="FF0000"/>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9"/>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288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90"/>
      </w:r>
    </w:p>
    <w:p w:rsidR="005603EC" w:rsidRDefault="00AB61AC">
      <w:pPr>
        <w:pStyle w:val="af"/>
        <w:spacing w:after="0" w:line="360" w:lineRule="auto"/>
        <w:ind w:firstLine="709"/>
        <w:jc w:val="both"/>
      </w:pPr>
      <w:r>
        <w:t>Xalqaro mezonlar nuqtai nazaridan bu ko‘rsatkichlar yuqori: Bazel III da jami kapital uchun 8 foiz, konservatsiya buferi bilan 10,5 foiz, asosiy kapital uchun esa 4,5 foiz minimum belgilangan</w:t>
      </w:r>
      <w:r>
        <w:rPr>
          <w:rStyle w:val="aff8"/>
        </w:rPr>
        <w:footnoteReference w:id="291"/>
      </w:r>
      <w:r>
        <w:t>. CAMELS tizimida eng yuqori, ya’ni 1-reyting kapital koeffitsiyentlari 4 va 8 foizlik chegaralardan ancha yuqori bo‘lganda beriladi</w:t>
      </w:r>
      <w:r>
        <w:rPr>
          <w:rStyle w:val="aff8"/>
        </w:rPr>
        <w:footnoteReference w:id="292"/>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3"/>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4"/>
      </w:r>
      <w:r>
        <w:t xml:space="preserve">. Uchinchidan, Markaziy bankning stress-testlari salbiy ssenariyda asosiy kapital koeffitsiyenti </w:t>
      </w:r>
      <w:r>
        <w:lastRenderedPageBreak/>
        <w:t>2028-yil oxirigacha 5,6 foizgacha, jami kapital monandligi esa 6,8 foizgacha pasayishi mumkinligini ko‘rsatgan</w:t>
      </w:r>
      <w:r>
        <w:rPr>
          <w:rStyle w:val="aff8"/>
        </w:rPr>
        <w:footnoteReference w:id="295"/>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6"/>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7"/>
      </w:r>
      <w:r>
        <w:t>, 2023-yil oxirida 19,5 foizni (shundan substandart kreditlar 16 foiz, muammoli kreditlar 3,5 foiz)</w:t>
      </w:r>
      <w:r>
        <w:rPr>
          <w:rStyle w:val="aff8"/>
        </w:rPr>
        <w:footnoteReference w:id="298"/>
      </w:r>
      <w:r>
        <w:t>, 2024-yilda 21 foizni tashkil etgan va faqat 2025-yilda 15 foizgacha kamaygan</w:t>
      </w:r>
      <w:r>
        <w:rPr>
          <w:rStyle w:val="aff8"/>
        </w:rPr>
        <w:footnoteReference w:id="299"/>
      </w:r>
      <w:r>
        <w:t xml:space="preserve"> (2.2.3-rasm). Jahon banki ma’lumotlariga ko‘ra, 2023-yil oxirida MHXS 9 bo‘yicha 3-bosqichdagi kreditlar ulushi 7,8 foiz bo‘lib, rasmiy ko‘rsatkichdan qariyb ikki barobar yuqori bo‘lgan</w:t>
      </w:r>
      <w:r>
        <w:rPr>
          <w:rStyle w:val="aff8"/>
        </w:rPr>
        <w:footnoteReference w:id="300"/>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288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1"/>
      </w:r>
    </w:p>
    <w:p w:rsidR="005603EC" w:rsidRDefault="00AB61AC">
      <w:pPr>
        <w:pStyle w:val="af"/>
        <w:spacing w:after="0" w:line="360" w:lineRule="auto"/>
        <w:ind w:firstLine="709"/>
        <w:jc w:val="both"/>
      </w:pPr>
      <w:r>
        <w:t>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2"/>
      </w:r>
      <w:r>
        <w:t>, 2022–2025-yillarda esa 36,7–52,6 foiz oralig‘ida bo‘lgan</w:t>
      </w:r>
      <w:r>
        <w:rPr>
          <w:rStyle w:val="aff8"/>
        </w:rPr>
        <w:footnoteReference w:id="303"/>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4"/>
      </w:r>
      <w:r>
        <w:t xml:space="preserve">, O.I. Lavrushin tahriridagi monografiyada esa </w:t>
      </w:r>
      <w:r>
        <w:lastRenderedPageBreak/>
        <w:t>ishlamaydigan kreditlar ulushining 10 foizgacha oshishi salbiy vaziyat darakchisi sifatida ko‘rsatiladi</w:t>
      </w:r>
      <w:r>
        <w:rPr>
          <w:rStyle w:val="aff8"/>
        </w:rPr>
        <w:footnoteReference w:id="305"/>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6"/>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288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7"/>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8"/>
      </w:r>
      <w:r>
        <w:t xml:space="preserve">, demak, tizim darajasidagi </w:t>
      </w:r>
      <w:r>
        <w:lastRenderedPageBreak/>
        <w:t>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9"/>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10"/>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t>Tizim darajasidagi agregat ko‘rsatkichlar alohida banklar o‘rtasidagi farqlarni yashiradi. Shu sababli tahlilni ikki tizimli davlat banki misolida chuqurlashtirish maqsadga muvofiq. Ularning 2021–2025-yillardagi asosiy ko‘rsatkichlari 2.2.2-jadvalda keltirildi.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“O‘zsanoatqurilishbank” ATB va “Mikrokreditbank” ATB ning moliyaviy barqarorlik ko‘rsatkichlari</w:t>
      </w:r>
      <w:r>
        <w:rPr>
          <w:rStyle w:val="aff8"/>
        </w:rPr>
        <w:footnoteReference w:id="3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b/>
                <w:bCs/>
                <w:i/>
                <w:iCs/>
                <w:sz w:val="22"/>
              </w:rPr>
              <w:t>“O‘zsanoatqurilishbank”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r w:rsidR="005603EC" w:rsidTr="005603EC">
        <w:trPr>
          <w:cantSplit/>
        </w:trPr>
        <w:tc>
          <w:tcPr>
            <w:tcW w:w="3402" w:type="dxa"/>
          </w:tcPr>
          <w:p w:rsidR="005603EC" w:rsidRDefault="00AB61AC">
            <w:pPr>
              <w:pStyle w:val="Compact"/>
              <w:spacing w:line="240" w:lineRule="auto"/>
            </w:pPr>
            <w:r>
              <w:rPr>
                <w:b/>
                <w:bCs/>
                <w:i/>
                <w:iCs/>
                <w:sz w:val="22"/>
              </w:rPr>
              <w:t>“Mikrokreditbank”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t>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rsidR="005603EC" w:rsidRDefault="00AB61AC">
      <w:pPr>
        <w:pStyle w:val="af"/>
        <w:keepNext/>
        <w:spacing w:after="0" w:line="240" w:lineRule="auto"/>
        <w:jc w:val="center"/>
      </w:pPr>
      <w:r>
        <w:rPr>
          <w:noProof/>
          <w:lang w:val="ru-RU" w:eastAsia="ru-RU"/>
        </w:rPr>
        <w:lastRenderedPageBreak/>
        <w:drawing>
          <wp:inline distT="0" distB="0" distL="0" distR="0" wp14:anchorId="2111D891" wp14:editId="44ADF822">
            <wp:extent cx="5760000" cy="2880000"/>
            <wp:effectExtent l="0" t="0" r="0" b="0"/>
            <wp:docPr id="978997021" name="2.2.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5603EC" w:rsidRDefault="00AB61AC">
      <w:pPr>
        <w:pStyle w:val="af"/>
        <w:spacing w:before="120" w:after="240" w:line="240" w:lineRule="auto"/>
        <w:jc w:val="center"/>
      </w:pPr>
      <w:r>
        <w:rPr>
          <w:b/>
        </w:rPr>
        <w:t>2.2.5-rasm. “O‘zsanoatqurilishbank” ATB va “Mikrokreditbank” ATB da regulyativ kapital monandligi, %</w:t>
      </w:r>
      <w:r>
        <w:rPr>
          <w:rStyle w:val="aff8"/>
        </w:rPr>
        <w:footnoteReference w:id="312"/>
      </w:r>
    </w:p>
    <w:p w:rsidR="005603EC" w:rsidRDefault="00AB61AC">
      <w:pPr>
        <w:pStyle w:val="af"/>
        <w:spacing w:after="0" w:line="360" w:lineRule="auto"/>
        <w:ind w:firstLine="709"/>
        <w:jc w:val="both"/>
      </w:pPr>
      <w:r>
        <w:t>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3"/>
      </w:r>
      <w:r>
        <w:t>.</w:t>
      </w:r>
    </w:p>
    <w:p w:rsidR="005603EC" w:rsidRDefault="00AB61AC">
      <w:pPr>
        <w:pStyle w:val="af"/>
        <w:spacing w:after="0" w:line="360" w:lineRule="auto"/>
        <w:ind w:firstLine="709"/>
        <w:jc w:val="both"/>
      </w:pPr>
      <w:r>
        <w:t>Aktivlar sifati bo‘yicha ham ikki bank turlicha manzarani namoyon etadi (2.2.6-rasm).</w:t>
      </w:r>
    </w:p>
    <w:p w:rsidR="005603EC" w:rsidRDefault="00AB61AC">
      <w:pPr>
        <w:pStyle w:val="af"/>
        <w:keepNext/>
        <w:spacing w:after="0" w:line="240" w:lineRule="auto"/>
        <w:jc w:val="center"/>
      </w:pPr>
      <w:r>
        <w:rPr>
          <w:noProof/>
          <w:lang w:val="ru-RU" w:eastAsia="ru-RU"/>
        </w:rPr>
        <w:lastRenderedPageBreak/>
        <w:drawing>
          <wp:inline distT="0" distB="0" distL="0" distR="0" wp14:anchorId="611518CD" wp14:editId="01655242">
            <wp:extent cx="5760000" cy="2880000"/>
            <wp:effectExtent l="0" t="0" r="0" b="0"/>
            <wp:docPr id="354289868" name="2.2.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5603EC" w:rsidRDefault="00AB61AC">
      <w:pPr>
        <w:pStyle w:val="af"/>
        <w:spacing w:before="120" w:after="240" w:line="240" w:lineRule="auto"/>
        <w:jc w:val="center"/>
      </w:pPr>
      <w:r>
        <w:rPr>
          <w:b/>
        </w:rPr>
        <w:t>2.2.6-rasm. “O‘zsanoatqurilishbank” ATB va “Mikrokreditbank” ATB da muammoli va substandart kreditlar ulushi, %</w:t>
      </w:r>
      <w:r>
        <w:rPr>
          <w:rStyle w:val="aff8"/>
        </w:rPr>
        <w:footnoteReference w:id="314"/>
      </w:r>
    </w:p>
    <w:p w:rsidR="005603EC" w:rsidRDefault="00AB61AC">
      <w:pPr>
        <w:pStyle w:val="af"/>
        <w:spacing w:after="0" w:line="360" w:lineRule="auto"/>
        <w:ind w:firstLine="709"/>
        <w:jc w:val="both"/>
      </w:pPr>
      <w:r>
        <w:t>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5"/>
      </w:r>
      <w:r>
        <w:t>.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2.2.7-rasm. “O‘zsanoatqurilishbank” ATB</w:t>
      </w:r>
      <w:r>
        <w:rPr>
          <w:b/>
          <w:color w:val="0070C0"/>
        </w:rPr>
        <w:t>, “Mikrokreditbank” ATB va “Aloqabank” ATB da</w:t>
      </w:r>
      <w:r>
        <w:rPr>
          <w:b/>
        </w:rPr>
        <w:t xml:space="preserve"> MHXS 9 bo‘yicha 3-bosqich kreditlari va rasmiy muammoli kreditlar ulushi, %</w:t>
      </w:r>
      <w:r>
        <w:rPr>
          <w:rStyle w:val="aff8"/>
        </w:rPr>
        <w:footnoteReference w:id="316"/>
      </w:r>
    </w:p>
    <w:p w:rsidR="005603EC" w:rsidRDefault="00AB61AC">
      <w:pPr>
        <w:pStyle w:val="af"/>
        <w:spacing w:after="0" w:line="360" w:lineRule="auto"/>
        <w:ind w:firstLine="709"/>
        <w:jc w:val="both"/>
      </w:pPr>
      <w: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w:t>
      </w:r>
      <w:r>
        <w:lastRenderedPageBreak/>
        <w:t>4,8–7,5 foiz oralig‘ida bo‘lib, rasmiy ko‘rsatkichdan 1,6–3,0 barobar yuqori bo‘lgan</w:t>
      </w:r>
      <w:r>
        <w:rPr>
          <w:rStyle w:val="aff8"/>
        </w:rPr>
        <w:footnoteReference w:id="317"/>
      </w:r>
      <w:r>
        <w:rPr>
          <w:rStyle w:val="aff8"/>
        </w:rPr>
        <w:footnoteReference w:id="318"/>
      </w:r>
      <w:r>
        <w:t>. Bundan ham muhimi, bankda 2-bosqich, ya’ni kredit riski sezilarli oshgan kreditlar ulushi 2023-yildagi 15,8 foizdan 2024-yilda 27,1 foizga, 2025-yilda esa 35,7 foizga ko‘tarilgan</w:t>
      </w:r>
      <w:r>
        <w:rPr>
          <w:rStyle w:val="aff8"/>
        </w:rPr>
        <w:footnoteReference w:id="319"/>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0"/>
      </w:r>
      <w:r>
        <w:t>.</w:t>
      </w:r>
      <w:r>
        <w:rPr>
          <w:color w:val="0070C0"/>
        </w:rPr>
        <w:t xml:space="preserve"> Rasmda taqqoslash uchun keltirilgan uchinchi davlat banki – “Aloqabank” ATB da ham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color w:val="0070C0"/>
        </w:rPr>
        <w:footnoteReference w:id="321"/>
      </w:r>
      <w:r>
        <w:rPr>
          <w:color w:val="0070C0"/>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2"/>
      </w:r>
      <w:r>
        <w:t xml:space="preserve">. </w:t>
      </w:r>
      <w:r>
        <w:rPr>
          <w:highlight w:val="green"/>
        </w:rPr>
        <w:t>Bundan ko‘rinadiki</w:t>
      </w:r>
      <w:r>
        <w:t xml:space="preserve">, “Mikrokreditbank” ATB </w:t>
      </w:r>
      <w:r>
        <w:lastRenderedPageBreak/>
        <w:t>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Aktivlar sifatidagi bu muammolar “Mikrokreditbank” ATB ning daromadliligiga keskin ta’sir ko‘rsatdi (2.2.8-rasm).</w:t>
      </w:r>
    </w:p>
    <w:p w:rsidR="005603EC" w:rsidRDefault="00AB61AC">
      <w:pPr>
        <w:pStyle w:val="af"/>
        <w:keepNext/>
        <w:spacing w:after="0" w:line="240" w:lineRule="auto"/>
        <w:jc w:val="center"/>
      </w:pPr>
      <w:r>
        <w:rPr>
          <w:noProof/>
          <w:lang w:val="ru-RU" w:eastAsia="ru-RU"/>
        </w:rPr>
        <w:drawing>
          <wp:inline distT="0" distB="0" distL="0" distR="0" wp14:anchorId="5CBF7028" wp14:editId="373E933C">
            <wp:extent cx="5760000" cy="2880000"/>
            <wp:effectExtent l="0" t="0" r="0" b="0"/>
            <wp:docPr id="1505019003" name="2.2.8-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rsidR="005603EC" w:rsidRDefault="00AB61AC">
      <w:pPr>
        <w:pStyle w:val="af"/>
        <w:spacing w:before="120" w:after="240" w:line="240" w:lineRule="auto"/>
        <w:jc w:val="center"/>
      </w:pPr>
      <w:r>
        <w:rPr>
          <w:b/>
        </w:rPr>
        <w:t>2.2.8-rasm. “O‘zsanoatqurilishbank” ATB va “Mikrokreditbank” ATB da kapital rentabelligi (ROE), %</w:t>
      </w:r>
      <w:r>
        <w:rPr>
          <w:rStyle w:val="aff8"/>
        </w:rPr>
        <w:footnoteReference w:id="323"/>
      </w:r>
    </w:p>
    <w:p w:rsidR="005603EC" w:rsidRDefault="00AB61AC">
      <w:pPr>
        <w:pStyle w:val="af"/>
        <w:spacing w:after="0" w:line="360" w:lineRule="auto"/>
        <w:ind w:firstLine="709"/>
        <w:jc w:val="both"/>
      </w:pPr>
      <w:r>
        <w:t xml:space="preserve">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w:t>
      </w:r>
      <w:r>
        <w:lastRenderedPageBreak/>
        <w:t>zararni tashkil etgan</w:t>
      </w:r>
      <w:r>
        <w:rPr>
          <w:rStyle w:val="aff8"/>
        </w:rPr>
        <w:footnoteReference w:id="324"/>
      </w:r>
      <w:r>
        <w:t>. Boshqacha aytganda, ilgari kamsitib ko‘rsatilgan kredit riski 2024-yilda bir yo‘la tan olingan va kapitalni yemirgan, keyin esa yana davlat kapitali hisobiga to‘ldirilgan.</w:t>
      </w:r>
    </w:p>
    <w:p w:rsidR="005603EC" w:rsidRDefault="00AB61AC">
      <w:pPr>
        <w:pStyle w:val="af"/>
        <w:spacing w:after="0" w:line="360" w:lineRule="auto"/>
        <w:ind w:firstLine="709"/>
        <w:jc w:val="both"/>
      </w:pPr>
      <w:r>
        <w:t>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aff8"/>
        </w:rPr>
        <w:footnoteReference w:id="325"/>
      </w:r>
      <w:r>
        <w:t>. Bunday tuzilma tashqi moliyalashtirish sharoiti yomonlashganda likvidlik va valyuta riskini oshiradi.</w:t>
      </w:r>
    </w:p>
    <w:p w:rsidR="005603EC" w:rsidRDefault="00AB61AC">
      <w:pPr>
        <w:pStyle w:val="af"/>
        <w:spacing w:after="0" w:line="360" w:lineRule="auto"/>
        <w:ind w:firstLine="709"/>
        <w:jc w:val="both"/>
      </w:pPr>
      <w:r>
        <w:t>Tahlil natijalarini umumlashtirish uchun bank tizimi va ikki bankning so‘nggi ko‘rsatkichlari xalqaro mezonlar bilan solishtirildi (2.2.3-jadval).</w:t>
      </w:r>
    </w:p>
    <w:p w:rsidR="005603EC" w:rsidRDefault="00AB61AC">
      <w:pPr>
        <w:pStyle w:val="af"/>
        <w:keepNext/>
        <w:spacing w:before="120" w:after="0" w:line="360" w:lineRule="auto"/>
        <w:jc w:val="right"/>
      </w:pPr>
      <w:r>
        <w:rPr>
          <w:i/>
        </w:rPr>
        <w:t>2.2.3-jadval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58"/>
        <w:gridCol w:w="1459"/>
        <w:gridCol w:w="1459"/>
        <w:gridCol w:w="1459"/>
        <w:gridCol w:w="145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Ko‘rsatkich</w:t>
            </w:r>
          </w:p>
        </w:tc>
        <w:tc>
          <w:tcPr>
            <w:tcW w:w="1451" w:type="dxa"/>
            <w:shd w:val="clear" w:color="auto" w:fill="DEEBF7"/>
          </w:tcPr>
          <w:p w:rsidR="005603EC" w:rsidRDefault="00AB61AC">
            <w:pPr>
              <w:pStyle w:val="Compact"/>
              <w:spacing w:line="240" w:lineRule="auto"/>
              <w:jc w:val="center"/>
            </w:pPr>
            <w:r>
              <w:rPr>
                <w:b/>
                <w:sz w:val="22"/>
              </w:rPr>
              <w:t>Bank tizimi</w:t>
            </w:r>
          </w:p>
        </w:tc>
        <w:tc>
          <w:tcPr>
            <w:tcW w:w="1451" w:type="dxa"/>
            <w:shd w:val="clear" w:color="auto" w:fill="DEEBF7"/>
          </w:tcPr>
          <w:p w:rsidR="005603EC" w:rsidRDefault="00AB61AC">
            <w:pPr>
              <w:pStyle w:val="Compact"/>
              <w:spacing w:line="240" w:lineRule="auto"/>
              <w:jc w:val="center"/>
            </w:pPr>
            <w:r>
              <w:rPr>
                <w:b/>
                <w:sz w:val="22"/>
              </w:rPr>
              <w:t>“O‘zsanoatqurilishbank”</w:t>
            </w:r>
          </w:p>
        </w:tc>
        <w:tc>
          <w:tcPr>
            <w:tcW w:w="1451" w:type="dxa"/>
            <w:shd w:val="clear" w:color="auto" w:fill="DEEBF7"/>
          </w:tcPr>
          <w:p w:rsidR="005603EC" w:rsidRDefault="00AB61AC">
            <w:pPr>
              <w:pStyle w:val="Compact"/>
              <w:spacing w:line="240" w:lineRule="auto"/>
              <w:jc w:val="center"/>
            </w:pPr>
            <w:r>
              <w:rPr>
                <w:b/>
                <w:sz w:val="22"/>
              </w:rPr>
              <w:t>“Mikrokreditbank”</w:t>
            </w:r>
          </w:p>
        </w:tc>
        <w:tc>
          <w:tcPr>
            <w:tcW w:w="1451" w:type="dxa"/>
            <w:shd w:val="clear" w:color="auto" w:fill="DEEBF7"/>
          </w:tcPr>
          <w:p w:rsidR="005603EC" w:rsidRDefault="00AB61AC">
            <w:pPr>
              <w:pStyle w:val="Compact"/>
              <w:spacing w:line="240" w:lineRule="auto"/>
              <w:jc w:val="center"/>
            </w:pPr>
            <w:r>
              <w:rPr>
                <w:b/>
                <w:sz w:val="22"/>
              </w:rPr>
              <w:t>Xalqaro mezon</w:t>
            </w:r>
          </w:p>
        </w:tc>
        <w:tc>
          <w:tcPr>
            <w:tcW w:w="1451"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2041" w:type="dxa"/>
          </w:tcPr>
          <w:p w:rsidR="005603EC" w:rsidRDefault="00AB61AC">
            <w:pPr>
              <w:pStyle w:val="Compact"/>
              <w:spacing w:line="240" w:lineRule="auto"/>
            </w:pPr>
            <w:r>
              <w:rPr>
                <w:sz w:val="22"/>
              </w:rPr>
              <w:t>Regulyativ kapital monandligi, %</w:t>
            </w:r>
          </w:p>
        </w:tc>
        <w:tc>
          <w:tcPr>
            <w:tcW w:w="1451" w:type="dxa"/>
          </w:tcPr>
          <w:p w:rsidR="005603EC" w:rsidRDefault="00AB61AC">
            <w:pPr>
              <w:pStyle w:val="Compact"/>
              <w:spacing w:line="240" w:lineRule="auto"/>
            </w:pPr>
            <w:r>
              <w:rPr>
                <w:sz w:val="22"/>
              </w:rPr>
              <w:t>18,3</w:t>
            </w:r>
          </w:p>
        </w:tc>
        <w:tc>
          <w:tcPr>
            <w:tcW w:w="1451" w:type="dxa"/>
          </w:tcPr>
          <w:p w:rsidR="005603EC" w:rsidRDefault="00AB61AC">
            <w:pPr>
              <w:pStyle w:val="Compact"/>
              <w:spacing w:line="240" w:lineRule="auto"/>
            </w:pPr>
            <w:r>
              <w:rPr>
                <w:sz w:val="22"/>
              </w:rPr>
              <w:t>17,0</w:t>
            </w:r>
          </w:p>
        </w:tc>
        <w:tc>
          <w:tcPr>
            <w:tcW w:w="1451" w:type="dxa"/>
          </w:tcPr>
          <w:p w:rsidR="005603EC" w:rsidRDefault="00AB61AC">
            <w:pPr>
              <w:pStyle w:val="Compact"/>
              <w:spacing w:line="240" w:lineRule="auto"/>
            </w:pPr>
            <w:r>
              <w:rPr>
                <w:sz w:val="22"/>
              </w:rPr>
              <w:t>18,5</w:t>
            </w:r>
          </w:p>
        </w:tc>
        <w:tc>
          <w:tcPr>
            <w:tcW w:w="1451" w:type="dxa"/>
          </w:tcPr>
          <w:p w:rsidR="005603EC" w:rsidRDefault="00AB61AC">
            <w:pPr>
              <w:pStyle w:val="Compact"/>
              <w:spacing w:line="240" w:lineRule="auto"/>
            </w:pPr>
            <w:r>
              <w:rPr>
                <w:sz w:val="22"/>
              </w:rPr>
              <w:t>≥ 10,5 (Bazel III, bufer bilan)</w:t>
            </w:r>
          </w:p>
        </w:tc>
        <w:tc>
          <w:tcPr>
            <w:tcW w:w="1451" w:type="dxa"/>
          </w:tcPr>
          <w:p w:rsidR="005603EC" w:rsidRDefault="00AB61AC">
            <w:pPr>
              <w:pStyle w:val="Compact"/>
              <w:spacing w:line="240" w:lineRule="auto"/>
            </w:pPr>
            <w:r>
              <w:rPr>
                <w:sz w:val="22"/>
              </w:rPr>
              <w:t>Yuqori, ammo davlat kapitaliga bog‘liq</w:t>
            </w:r>
          </w:p>
        </w:tc>
      </w:tr>
      <w:tr w:rsidR="005603EC" w:rsidTr="005603EC">
        <w:trPr>
          <w:cantSplit/>
        </w:trPr>
        <w:tc>
          <w:tcPr>
            <w:tcW w:w="2041" w:type="dxa"/>
          </w:tcPr>
          <w:p w:rsidR="005603EC" w:rsidRDefault="00AB61AC">
            <w:pPr>
              <w:pStyle w:val="Compact"/>
              <w:spacing w:line="240" w:lineRule="auto"/>
            </w:pPr>
            <w:r>
              <w:rPr>
                <w:sz w:val="22"/>
              </w:rPr>
              <w:lastRenderedPageBreak/>
              <w:t>Asosiy kapital monandligi, %</w:t>
            </w:r>
          </w:p>
        </w:tc>
        <w:tc>
          <w:tcPr>
            <w:tcW w:w="1451" w:type="dxa"/>
          </w:tcPr>
          <w:p w:rsidR="005603EC" w:rsidRDefault="00AB61AC">
            <w:pPr>
              <w:pStyle w:val="Compact"/>
              <w:spacing w:line="240" w:lineRule="auto"/>
            </w:pPr>
            <w:r>
              <w:rPr>
                <w:sz w:val="22"/>
              </w:rPr>
              <w:t>14,7</w:t>
            </w:r>
          </w:p>
        </w:tc>
        <w:tc>
          <w:tcPr>
            <w:tcW w:w="1451" w:type="dxa"/>
          </w:tcPr>
          <w:p w:rsidR="005603EC" w:rsidRDefault="00AB61AC">
            <w:pPr>
              <w:pStyle w:val="Compact"/>
              <w:spacing w:line="240" w:lineRule="auto"/>
            </w:pPr>
            <w:r>
              <w:rPr>
                <w:sz w:val="22"/>
              </w:rPr>
              <w:t>10,2</w:t>
            </w:r>
          </w:p>
        </w:tc>
        <w:tc>
          <w:tcPr>
            <w:tcW w:w="1451" w:type="dxa"/>
          </w:tcPr>
          <w:p w:rsidR="005603EC" w:rsidRDefault="00AB61AC">
            <w:pPr>
              <w:pStyle w:val="Compact"/>
              <w:spacing w:line="240" w:lineRule="auto"/>
            </w:pPr>
            <w:r>
              <w:rPr>
                <w:sz w:val="22"/>
              </w:rPr>
              <w:t>16,4</w:t>
            </w:r>
          </w:p>
        </w:tc>
        <w:tc>
          <w:tcPr>
            <w:tcW w:w="1451" w:type="dxa"/>
          </w:tcPr>
          <w:p w:rsidR="005603EC" w:rsidRDefault="00AB61AC">
            <w:pPr>
              <w:pStyle w:val="Compact"/>
              <w:spacing w:line="240" w:lineRule="auto"/>
            </w:pPr>
            <w:r>
              <w:rPr>
                <w:sz w:val="22"/>
              </w:rPr>
              <w:t>≥ 7 (Bazel III, bufer bilan)</w:t>
            </w:r>
          </w:p>
        </w:tc>
        <w:tc>
          <w:tcPr>
            <w:tcW w:w="1451" w:type="dxa"/>
          </w:tcPr>
          <w:p w:rsidR="005603EC" w:rsidRDefault="00AB61AC">
            <w:pPr>
              <w:pStyle w:val="Compact"/>
              <w:spacing w:line="240" w:lineRule="auto"/>
            </w:pPr>
            <w:r>
              <w:rPr>
                <w:sz w:val="22"/>
              </w:rPr>
              <w:t>Yetarli, SQB da zaxira kichik</w:t>
            </w:r>
          </w:p>
        </w:tc>
      </w:tr>
      <w:tr w:rsidR="005603EC" w:rsidTr="005603EC">
        <w:trPr>
          <w:cantSplit/>
        </w:trPr>
        <w:tc>
          <w:tcPr>
            <w:tcW w:w="2041" w:type="dxa"/>
          </w:tcPr>
          <w:p w:rsidR="005603EC" w:rsidRDefault="00AB61AC">
            <w:pPr>
              <w:pStyle w:val="Compact"/>
              <w:spacing w:line="240" w:lineRule="auto"/>
            </w:pPr>
            <w:r>
              <w:rPr>
                <w:sz w:val="22"/>
              </w:rPr>
              <w:t>Muammoli kreditlar ulushi, %</w:t>
            </w:r>
          </w:p>
        </w:tc>
        <w:tc>
          <w:tcPr>
            <w:tcW w:w="1451" w:type="dxa"/>
          </w:tcPr>
          <w:p w:rsidR="005603EC" w:rsidRDefault="00AB61AC">
            <w:pPr>
              <w:pStyle w:val="Compact"/>
              <w:spacing w:line="240" w:lineRule="auto"/>
            </w:pPr>
            <w:r>
              <w:rPr>
                <w:sz w:val="22"/>
              </w:rPr>
              <w:t>3,0</w:t>
            </w:r>
          </w:p>
        </w:tc>
        <w:tc>
          <w:tcPr>
            <w:tcW w:w="1451" w:type="dxa"/>
          </w:tcPr>
          <w:p w:rsidR="005603EC" w:rsidRDefault="00AB61AC">
            <w:pPr>
              <w:pStyle w:val="Compact"/>
              <w:spacing w:line="240" w:lineRule="auto"/>
            </w:pPr>
            <w:r>
              <w:rPr>
                <w:sz w:val="22"/>
              </w:rPr>
              <w:t>2,5</w:t>
            </w:r>
          </w:p>
        </w:tc>
        <w:tc>
          <w:tcPr>
            <w:tcW w:w="1451" w:type="dxa"/>
          </w:tcPr>
          <w:p w:rsidR="005603EC" w:rsidRDefault="00AB61AC">
            <w:pPr>
              <w:pStyle w:val="Compact"/>
              <w:spacing w:line="240" w:lineRule="auto"/>
            </w:pPr>
            <w:r>
              <w:rPr>
                <w:sz w:val="22"/>
              </w:rPr>
              <w:t>4,4</w:t>
            </w:r>
          </w:p>
        </w:tc>
        <w:tc>
          <w:tcPr>
            <w:tcW w:w="1451" w:type="dxa"/>
          </w:tcPr>
          <w:p w:rsidR="005603EC" w:rsidRDefault="00AB61AC">
            <w:pPr>
              <w:pStyle w:val="Compact"/>
              <w:spacing w:line="240" w:lineRule="auto"/>
            </w:pPr>
            <w:r>
              <w:rPr>
                <w:sz w:val="22"/>
              </w:rPr>
              <w:t>&lt; 5 (erta ogohlantirish)</w:t>
            </w:r>
          </w:p>
        </w:tc>
        <w:tc>
          <w:tcPr>
            <w:tcW w:w="1451" w:type="dxa"/>
          </w:tcPr>
          <w:p w:rsidR="005603EC" w:rsidRDefault="00AB61AC">
            <w:pPr>
              <w:pStyle w:val="Compact"/>
              <w:spacing w:line="240" w:lineRule="auto"/>
            </w:pPr>
            <w:r>
              <w:rPr>
                <w:sz w:val="22"/>
              </w:rPr>
              <w:t>Rasmiy jihatdan qoniqarli</w:t>
            </w:r>
          </w:p>
        </w:tc>
      </w:tr>
      <w:tr w:rsidR="005603EC" w:rsidTr="005603EC">
        <w:trPr>
          <w:cantSplit/>
        </w:trPr>
        <w:tc>
          <w:tcPr>
            <w:tcW w:w="2041" w:type="dxa"/>
          </w:tcPr>
          <w:p w:rsidR="005603EC" w:rsidRDefault="00AB61AC">
            <w:pPr>
              <w:pStyle w:val="Compact"/>
              <w:spacing w:line="240" w:lineRule="auto"/>
            </w:pPr>
            <w:r>
              <w:rPr>
                <w:sz w:val="22"/>
              </w:rPr>
              <w:t>MHXS 9 bo‘yicha 3-bosqich, %</w:t>
            </w:r>
          </w:p>
        </w:tc>
        <w:tc>
          <w:tcPr>
            <w:tcW w:w="1451" w:type="dxa"/>
          </w:tcPr>
          <w:p w:rsidR="005603EC" w:rsidRDefault="00AB61AC">
            <w:pPr>
              <w:pStyle w:val="Compact"/>
              <w:spacing w:line="240" w:lineRule="auto"/>
            </w:pPr>
            <w:r>
              <w:rPr>
                <w:sz w:val="22"/>
              </w:rPr>
              <w:t>7,8 (2023)</w:t>
            </w:r>
          </w:p>
        </w:tc>
        <w:tc>
          <w:tcPr>
            <w:tcW w:w="1451" w:type="dxa"/>
          </w:tcPr>
          <w:p w:rsidR="005603EC" w:rsidRDefault="00AB61AC">
            <w:pPr>
              <w:pStyle w:val="Compact"/>
              <w:spacing w:line="240" w:lineRule="auto"/>
            </w:pPr>
            <w:r>
              <w:rPr>
                <w:sz w:val="22"/>
              </w:rPr>
              <w:t>7,5</w:t>
            </w:r>
          </w:p>
        </w:tc>
        <w:tc>
          <w:tcPr>
            <w:tcW w:w="1451" w:type="dxa"/>
          </w:tcPr>
          <w:p w:rsidR="005603EC" w:rsidRDefault="00AB61AC">
            <w:pPr>
              <w:pStyle w:val="Compact"/>
              <w:spacing w:line="240" w:lineRule="auto"/>
            </w:pPr>
            <w:r>
              <w:rPr>
                <w:sz w:val="22"/>
              </w:rPr>
              <w:t>12,3</w:t>
            </w:r>
          </w:p>
        </w:tc>
        <w:tc>
          <w:tcPr>
            <w:tcW w:w="1451" w:type="dxa"/>
          </w:tcPr>
          <w:p w:rsidR="005603EC" w:rsidRDefault="00AB61AC">
            <w:pPr>
              <w:pStyle w:val="Compact"/>
              <w:spacing w:line="240" w:lineRule="auto"/>
            </w:pPr>
            <w:r>
              <w:rPr>
                <w:sz w:val="22"/>
              </w:rPr>
              <w:t>&lt; 5</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Substandart va muammoli kreditlar, %</w:t>
            </w:r>
          </w:p>
        </w:tc>
        <w:tc>
          <w:tcPr>
            <w:tcW w:w="1451" w:type="dxa"/>
          </w:tcPr>
          <w:p w:rsidR="005603EC" w:rsidRDefault="00AB61AC">
            <w:pPr>
              <w:pStyle w:val="Compact"/>
              <w:spacing w:line="240" w:lineRule="auto"/>
            </w:pPr>
            <w:r>
              <w:rPr>
                <w:sz w:val="22"/>
              </w:rPr>
              <w:t>15</w:t>
            </w:r>
          </w:p>
        </w:tc>
        <w:tc>
          <w:tcPr>
            <w:tcW w:w="1451" w:type="dxa"/>
          </w:tcPr>
          <w:p w:rsidR="005603EC" w:rsidRDefault="00AB61AC">
            <w:pPr>
              <w:pStyle w:val="Compact"/>
              <w:spacing w:line="240" w:lineRule="auto"/>
            </w:pPr>
            <w:r>
              <w:rPr>
                <w:sz w:val="22"/>
              </w:rPr>
              <w:t>20,9</w:t>
            </w:r>
          </w:p>
        </w:tc>
        <w:tc>
          <w:tcPr>
            <w:tcW w:w="1451" w:type="dxa"/>
          </w:tcPr>
          <w:p w:rsidR="005603EC" w:rsidRDefault="00AB61AC">
            <w:pPr>
              <w:pStyle w:val="Compact"/>
              <w:spacing w:line="240" w:lineRule="auto"/>
            </w:pPr>
            <w:r>
              <w:rPr>
                <w:sz w:val="22"/>
              </w:rPr>
              <w:t>13,4</w:t>
            </w:r>
          </w:p>
        </w:tc>
        <w:tc>
          <w:tcPr>
            <w:tcW w:w="1451" w:type="dxa"/>
          </w:tcPr>
          <w:p w:rsidR="005603EC" w:rsidRDefault="00AB61AC">
            <w:pPr>
              <w:pStyle w:val="Compact"/>
              <w:spacing w:line="240" w:lineRule="auto"/>
            </w:pPr>
            <w:r>
              <w:rPr>
                <w:sz w:val="22"/>
              </w:rPr>
              <w:t>&lt; 10</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ROA, %</w:t>
            </w:r>
          </w:p>
        </w:tc>
        <w:tc>
          <w:tcPr>
            <w:tcW w:w="1451" w:type="dxa"/>
          </w:tcPr>
          <w:p w:rsidR="005603EC" w:rsidRDefault="00AB61AC">
            <w:pPr>
              <w:pStyle w:val="Compact"/>
              <w:spacing w:line="240" w:lineRule="auto"/>
            </w:pPr>
            <w:r>
              <w:rPr>
                <w:sz w:val="22"/>
              </w:rPr>
              <w:t>2,2</w:t>
            </w:r>
          </w:p>
        </w:tc>
        <w:tc>
          <w:tcPr>
            <w:tcW w:w="1451" w:type="dxa"/>
          </w:tcPr>
          <w:p w:rsidR="005603EC" w:rsidRDefault="00AB61AC">
            <w:pPr>
              <w:pStyle w:val="Compact"/>
              <w:spacing w:line="240" w:lineRule="auto"/>
            </w:pPr>
            <w:r>
              <w:rPr>
                <w:sz w:val="22"/>
              </w:rPr>
              <w:t>2,0</w:t>
            </w:r>
          </w:p>
        </w:tc>
        <w:tc>
          <w:tcPr>
            <w:tcW w:w="1451" w:type="dxa"/>
          </w:tcPr>
          <w:p w:rsidR="005603EC" w:rsidRDefault="00AB61AC">
            <w:pPr>
              <w:pStyle w:val="Compact"/>
              <w:spacing w:line="240" w:lineRule="auto"/>
            </w:pPr>
            <w:r>
              <w:rPr>
                <w:sz w:val="22"/>
              </w:rPr>
              <w:t>0,6</w:t>
            </w:r>
          </w:p>
        </w:tc>
        <w:tc>
          <w:tcPr>
            <w:tcW w:w="1451" w:type="dxa"/>
          </w:tcPr>
          <w:p w:rsidR="005603EC" w:rsidRDefault="00AB61AC">
            <w:pPr>
              <w:pStyle w:val="Compact"/>
              <w:spacing w:line="240" w:lineRule="auto"/>
            </w:pPr>
            <w:r>
              <w:rPr>
                <w:sz w:val="22"/>
              </w:rPr>
              <w:t>&gt; 1 (CAMELS 1-reyting)</w:t>
            </w:r>
          </w:p>
        </w:tc>
        <w:tc>
          <w:tcPr>
            <w:tcW w:w="1451" w:type="dxa"/>
          </w:tcPr>
          <w:p w:rsidR="005603EC" w:rsidRDefault="00AB61AC">
            <w:pPr>
              <w:pStyle w:val="Compact"/>
              <w:spacing w:line="240" w:lineRule="auto"/>
            </w:pPr>
            <w:r>
              <w:rPr>
                <w:sz w:val="22"/>
              </w:rPr>
              <w:t>Tizim va SQB yuqori, MK past</w:t>
            </w:r>
          </w:p>
        </w:tc>
      </w:tr>
      <w:tr w:rsidR="005603EC" w:rsidTr="005603EC">
        <w:trPr>
          <w:cantSplit/>
        </w:trPr>
        <w:tc>
          <w:tcPr>
            <w:tcW w:w="2041" w:type="dxa"/>
          </w:tcPr>
          <w:p w:rsidR="005603EC" w:rsidRDefault="00AB61AC">
            <w:pPr>
              <w:pStyle w:val="Compact"/>
              <w:spacing w:line="240" w:lineRule="auto"/>
            </w:pPr>
            <w:r>
              <w:rPr>
                <w:sz w:val="22"/>
              </w:rPr>
              <w:t>LCR, %</w:t>
            </w:r>
          </w:p>
        </w:tc>
        <w:tc>
          <w:tcPr>
            <w:tcW w:w="1451" w:type="dxa"/>
          </w:tcPr>
          <w:p w:rsidR="005603EC" w:rsidRDefault="00AB61AC">
            <w:pPr>
              <w:pStyle w:val="Compact"/>
              <w:spacing w:line="240" w:lineRule="auto"/>
            </w:pPr>
            <w:r>
              <w:rPr>
                <w:sz w:val="22"/>
              </w:rPr>
              <w:t>207,5</w:t>
            </w:r>
          </w:p>
        </w:tc>
        <w:tc>
          <w:tcPr>
            <w:tcW w:w="1451" w:type="dxa"/>
          </w:tcPr>
          <w:p w:rsidR="005603EC" w:rsidRDefault="00AB61AC">
            <w:pPr>
              <w:pStyle w:val="Compact"/>
              <w:spacing w:line="240" w:lineRule="auto"/>
            </w:pPr>
            <w:r>
              <w:rPr>
                <w:sz w:val="22"/>
              </w:rPr>
              <w:t>222,9</w:t>
            </w:r>
          </w:p>
        </w:tc>
        <w:tc>
          <w:tcPr>
            <w:tcW w:w="1451" w:type="dxa"/>
          </w:tcPr>
          <w:p w:rsidR="005603EC" w:rsidRDefault="00AB61AC">
            <w:pPr>
              <w:pStyle w:val="Compact"/>
              <w:spacing w:line="240" w:lineRule="auto"/>
            </w:pPr>
            <w:r>
              <w:rPr>
                <w:sz w:val="22"/>
              </w:rPr>
              <w:t>231,9</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Yuqori</w:t>
            </w:r>
          </w:p>
        </w:tc>
      </w:tr>
      <w:tr w:rsidR="005603EC" w:rsidTr="005603EC">
        <w:trPr>
          <w:cantSplit/>
        </w:trPr>
        <w:tc>
          <w:tcPr>
            <w:tcW w:w="2041" w:type="dxa"/>
          </w:tcPr>
          <w:p w:rsidR="005603EC" w:rsidRDefault="00AB61AC">
            <w:pPr>
              <w:pStyle w:val="Compact"/>
              <w:spacing w:line="240" w:lineRule="auto"/>
            </w:pPr>
            <w:r>
              <w:rPr>
                <w:sz w:val="22"/>
              </w:rPr>
              <w:t>NSFR, %</w:t>
            </w:r>
          </w:p>
        </w:tc>
        <w:tc>
          <w:tcPr>
            <w:tcW w:w="1451" w:type="dxa"/>
          </w:tcPr>
          <w:p w:rsidR="005603EC" w:rsidRDefault="00AB61AC">
            <w:pPr>
              <w:pStyle w:val="Compact"/>
              <w:spacing w:line="240" w:lineRule="auto"/>
            </w:pPr>
            <w:r>
              <w:rPr>
                <w:sz w:val="22"/>
              </w:rPr>
              <w:t>119,9</w:t>
            </w:r>
          </w:p>
        </w:tc>
        <w:tc>
          <w:tcPr>
            <w:tcW w:w="1451" w:type="dxa"/>
          </w:tcPr>
          <w:p w:rsidR="005603EC" w:rsidRDefault="00AB61AC">
            <w:pPr>
              <w:pStyle w:val="Compact"/>
              <w:spacing w:line="240" w:lineRule="auto"/>
            </w:pPr>
            <w:r>
              <w:rPr>
                <w:sz w:val="22"/>
              </w:rPr>
              <w:t>122,2</w:t>
            </w:r>
          </w:p>
        </w:tc>
        <w:tc>
          <w:tcPr>
            <w:tcW w:w="1451" w:type="dxa"/>
          </w:tcPr>
          <w:p w:rsidR="005603EC" w:rsidRDefault="00AB61AC">
            <w:pPr>
              <w:pStyle w:val="Compact"/>
              <w:spacing w:line="240" w:lineRule="auto"/>
            </w:pPr>
            <w:r>
              <w:rPr>
                <w:sz w:val="22"/>
              </w:rPr>
              <w:t>113,0</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Yetarli</w:t>
            </w:r>
          </w:p>
        </w:tc>
      </w:tr>
      <w:tr w:rsidR="005603EC" w:rsidTr="005603EC">
        <w:trPr>
          <w:cantSplit/>
        </w:trPr>
        <w:tc>
          <w:tcPr>
            <w:tcW w:w="2041" w:type="dxa"/>
          </w:tcPr>
          <w:p w:rsidR="005603EC" w:rsidRDefault="00AB61AC">
            <w:pPr>
              <w:pStyle w:val="Compact"/>
              <w:spacing w:line="240" w:lineRule="auto"/>
            </w:pPr>
            <w:r>
              <w:rPr>
                <w:sz w:val="22"/>
              </w:rPr>
              <w:t>Kreditlar / depozitlar, %</w:t>
            </w:r>
          </w:p>
        </w:tc>
        <w:tc>
          <w:tcPr>
            <w:tcW w:w="1451" w:type="dxa"/>
          </w:tcPr>
          <w:p w:rsidR="005603EC" w:rsidRDefault="00AB61AC">
            <w:pPr>
              <w:pStyle w:val="Compact"/>
              <w:spacing w:line="240" w:lineRule="auto"/>
            </w:pPr>
            <w:r>
              <w:rPr>
                <w:sz w:val="22"/>
              </w:rPr>
              <w:t>158</w:t>
            </w:r>
          </w:p>
        </w:tc>
        <w:tc>
          <w:tcPr>
            <w:tcW w:w="1451" w:type="dxa"/>
          </w:tcPr>
          <w:p w:rsidR="005603EC" w:rsidRDefault="00AB61AC">
            <w:pPr>
              <w:pStyle w:val="Compact"/>
              <w:spacing w:line="240" w:lineRule="auto"/>
            </w:pPr>
            <w:r>
              <w:rPr>
                <w:sz w:val="22"/>
              </w:rPr>
              <w:t>206,5</w:t>
            </w:r>
          </w:p>
        </w:tc>
        <w:tc>
          <w:tcPr>
            <w:tcW w:w="1451" w:type="dxa"/>
          </w:tcPr>
          <w:p w:rsidR="005603EC" w:rsidRDefault="00AB61AC">
            <w:pPr>
              <w:pStyle w:val="Compact"/>
              <w:spacing w:line="240" w:lineRule="auto"/>
            </w:pPr>
            <w:r>
              <w:rPr>
                <w:sz w:val="22"/>
              </w:rPr>
              <w:t>208,5</w:t>
            </w:r>
          </w:p>
        </w:tc>
        <w:tc>
          <w:tcPr>
            <w:tcW w:w="1451" w:type="dxa"/>
          </w:tcPr>
          <w:p w:rsidR="005603EC" w:rsidRDefault="00AB61AC">
            <w:pPr>
              <w:pStyle w:val="Compact"/>
              <w:spacing w:line="240" w:lineRule="auto"/>
            </w:pPr>
            <w:r>
              <w:rPr>
                <w:sz w:val="22"/>
              </w:rPr>
              <w:t>≤ 100</w:t>
            </w:r>
          </w:p>
        </w:tc>
        <w:tc>
          <w:tcPr>
            <w:tcW w:w="1451" w:type="dxa"/>
          </w:tcPr>
          <w:p w:rsidR="005603EC" w:rsidRDefault="00AB61AC">
            <w:pPr>
              <w:pStyle w:val="Compact"/>
              <w:spacing w:line="240" w:lineRule="auto"/>
            </w:pPr>
            <w:r>
              <w:rPr>
                <w:sz w:val="22"/>
              </w:rPr>
              <w:t>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7"/>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8"/>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9"/>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30"/>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1"/>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2"/>
      </w:r>
      <w:r>
        <w:t>. J. Abad va J. Suarez kutilgan kredit zararlari modeli zaxiralarni iqtisodiy pasayish boshlanishida keskin oshirib, kapitalga bosimni avvalgi modelga nisbatan ertaroq yuzaga keltirishini isbotlagan</w:t>
      </w:r>
      <w:r>
        <w:rPr>
          <w:rStyle w:val="aff8"/>
        </w:rPr>
        <w:footnoteReference w:id="333"/>
      </w:r>
      <w:r>
        <w:t>. Rossiya iqtisodchisi N.E. Sokolinskaya bank moliyaviy holatini MHXS asosida tahlil qilish milliy hisobotga nisbatan aktivlar sifati va kapitalning haqiqiy darajasini aniqroq ko‘rsatishini ta’kidlagan</w:t>
      </w:r>
      <w:r>
        <w:rPr>
          <w:rStyle w:val="aff8"/>
        </w:rPr>
        <w:footnoteReference w:id="334"/>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Bank guruhi (sho‘ba korxonalar bilan birga)</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Uch bosqich: 1-bosqich,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Hisoblanmaydi, faqat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Har oylik, choraklik; asosiy shakllar e’lon qilinadi</w:t>
            </w:r>
          </w:p>
        </w:tc>
        <w:tc>
          <w:tcPr>
            <w:tcW w:w="2608" w:type="dxa"/>
          </w:tcPr>
          <w:p w:rsidR="005603EC" w:rsidRDefault="00AB61AC">
            <w:pPr>
              <w:pStyle w:val="Compact"/>
              <w:spacing w:line="240" w:lineRule="auto"/>
            </w:pPr>
            <w:r>
              <w:rPr>
                <w:sz w:val="22"/>
              </w:rPr>
              <w:t>Yillik, auditorlik xulosasi bilan;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6"/>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7"/>
      </w:r>
      <w:r>
        <w:t>. MHXS 9 da esa zaxira har bir kredit yoki kreditlar guruhi bo‘yicha defolt ehtimoli, garov qiymati va kutilayotgan undirish summasini hisobga olgan holda aniqlanadi</w:t>
      </w:r>
      <w:r>
        <w:rPr>
          <w:rStyle w:val="aff8"/>
        </w:rPr>
        <w:footnoteReference w:id="338"/>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1600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1600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70.1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9"/>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40"/>
      </w:r>
      <w:r>
        <w:rPr>
          <w:rStyle w:val="aff8"/>
        </w:rPr>
        <w:footnoteReference w:id="341"/>
      </w:r>
      <w:r>
        <w:t xml:space="preserve"> xalqaro auditorlik tashkilotlari tomonidan tasdiqlangan MHXS bo‘yicha moliyaviy hisobotlari bilan solishtirildi.</w:t>
      </w:r>
      <w:r>
        <w:rPr>
          <w:color w:val="0070C0"/>
        </w:rPr>
        <w:t xml:space="preserve"> Natijalarning umumiyligini tekshirish uchun uchinchi davlat banki – “Aloqabank” ATB ning prudensial shakllari va MHXS hisobotlari ham qo‘llandi.</w:t>
      </w:r>
      <w:r>
        <w:rPr>
          <w:color w:val="FF0000"/>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color w:val="FF0000"/>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color w:val="FF0000"/>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t xml:space="preserve"> va </w:t>
      </w:r>
      <w:r>
        <w:rPr>
          <w:i/>
          <w:iCs/>
        </w:rPr>
        <w:t>L</w:t>
      </w:r>
      <w:r>
        <w:rPr>
          <w:vertAlign w:val="subscript"/>
        </w:rPr>
        <w:t>milliy</w:t>
      </w:r>
      <w:r>
        <w:t xml:space="preserve"> –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color w:val="FF0000"/>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3"/>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4"/>
      </w:r>
      <w:r>
        <w:rPr>
          <w:rStyle w:val="aff8"/>
        </w:rPr>
        <w:footnoteReference w:id="345"/>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6"/>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7"/>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8"/>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760000" cy="288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2.3.4-rasm. “O‘zsanoatqurilishbank” ATB da MHXS 9 bo‘yicha 3-bosqich kreditlarining milliy tasnif toifalari bo‘yicha tarkibi, mlrd so‘m</w:t>
      </w:r>
      <w:r>
        <w:rPr>
          <w:rStyle w:val="aff8"/>
        </w:rPr>
        <w:footnoteReference w:id="349"/>
      </w:r>
    </w:p>
    <w:p w:rsidR="005603EC" w:rsidRDefault="00AB61AC">
      <w:pPr>
        <w:pStyle w:val="af"/>
        <w:spacing w:after="0" w:line="360" w:lineRule="auto"/>
        <w:ind w:firstLine="709"/>
        <w:jc w:val="both"/>
      </w:pPr>
      <w:r>
        <w:t>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50"/>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t>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288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color w:val="0070C0"/>
        </w:rPr>
        <w:t>, “Mikrokreditbank” ATB va “Aloqabank” ATB da</w:t>
      </w:r>
      <w:r>
        <w:rPr>
          <w:b/>
        </w:rPr>
        <w:t xml:space="preserve"> yashirin kredit riski koeffitsiyenti</w:t>
      </w:r>
      <w:r>
        <w:rPr>
          <w:rStyle w:val="aff8"/>
        </w:rPr>
        <w:footnoteReference w:id="351"/>
      </w:r>
    </w:p>
    <w:p w:rsidR="005603EC" w:rsidRDefault="00AB61AC">
      <w:pPr>
        <w:pStyle w:val="af"/>
        <w:spacing w:after="0" w:line="360" w:lineRule="auto"/>
        <w:ind w:firstLine="709"/>
        <w:jc w:val="both"/>
      </w:pPr>
      <w:r>
        <w:lastRenderedPageBreak/>
        <w:t>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2"/>
      </w:r>
      <w:r>
        <w:t>.</w:t>
      </w:r>
      <w:r>
        <w:rPr>
          <w:color w:val="0070C0"/>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4"/>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5"/>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6"/>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7"/>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8"/>
      </w:r>
      <w:r>
        <w:rPr>
          <w:rStyle w:val="aff8"/>
        </w:rPr>
        <w:footnoteReference w:id="359"/>
      </w:r>
      <w:r>
        <w:t>.</w:t>
      </w:r>
      <w:r>
        <w:rPr>
          <w:color w:val="FF0000"/>
        </w:rPr>
        <w:t xml:space="preserve"> </w:t>
      </w:r>
      <w:r>
        <w:rPr>
          <w:color w:val="FF0000"/>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color w:val="FF0000"/>
        </w:rPr>
        <w:footnoteReference w:id="360"/>
      </w:r>
      <w:r>
        <w:rPr>
          <w:color w:val="FF0000"/>
        </w:rPr>
        <w:t>, 2709-son nizomning 2025-yil 23-maygacha amal qilgan tahririda (54-band) ham regulyativ kapital belgilangan edi, bankning 2025-yil 30-dekabr holatidagi prudensial hisobot shaklida esa xususiy kapital ko‘rsatilgan</w:t>
      </w:r>
      <w:r>
        <w:rPr>
          <w:rStyle w:val="aff8"/>
          <w:color w:val="FF0000"/>
        </w:rPr>
        <w:footnoteReference w:id="361"/>
      </w:r>
      <w:r>
        <w:rPr>
          <w:color w:val="FF0000"/>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color w:val="FF0000"/>
        </w:rPr>
        <w:footnoteReference w:id="362"/>
      </w:r>
      <w:r>
        <w:rPr>
          <w:color w:val="FF0000"/>
        </w:rPr>
        <w:t>, “yo‘l xaritasi”ga ko‘ra esa ular Bazel III ga to‘liq moslashtirilib, 2026-yil 1-yanvardan monitoring qilinadi</w:t>
      </w:r>
      <w:r>
        <w:rPr>
          <w:rStyle w:val="aff8"/>
          <w:color w:val="FF0000"/>
        </w:rPr>
        <w:footnoteReference w:id="363"/>
      </w:r>
      <w:r>
        <w:rPr>
          <w:color w:val="FF0000"/>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4"/>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color w:val="FF0000"/>
                <w:sz w:val="22"/>
              </w:rPr>
              <w:t>Likvidlik</w:t>
            </w:r>
          </w:p>
        </w:tc>
        <w:tc>
          <w:tcPr>
            <w:tcW w:w="2835" w:type="dxa"/>
          </w:tcPr>
          <w:p w:rsidR="005603EC" w:rsidRDefault="00AB61AC">
            <w:pPr>
              <w:pStyle w:val="Compact"/>
              <w:spacing w:line="240" w:lineRule="auto"/>
            </w:pPr>
            <w:r>
              <w:rPr>
                <w:color w:val="FF0000"/>
                <w:sz w:val="22"/>
              </w:rPr>
              <w:t>Likvidlikni qoplash koeffitsiyenti, %</w:t>
            </w:r>
          </w:p>
        </w:tc>
        <w:tc>
          <w:tcPr>
            <w:tcW w:w="1587" w:type="dxa"/>
          </w:tcPr>
          <w:p w:rsidR="005603EC" w:rsidRDefault="00AB61AC">
            <w:pPr>
              <w:pStyle w:val="Compact"/>
              <w:spacing w:line="240" w:lineRule="auto"/>
            </w:pPr>
            <w:r>
              <w:rPr>
                <w:color w:val="FF0000"/>
                <w:sz w:val="22"/>
              </w:rPr>
              <w:t>222,9</w:t>
            </w:r>
          </w:p>
        </w:tc>
        <w:tc>
          <w:tcPr>
            <w:tcW w:w="1587" w:type="dxa"/>
          </w:tcPr>
          <w:p w:rsidR="005603EC" w:rsidRDefault="00AB61AC">
            <w:pPr>
              <w:pStyle w:val="Compact"/>
              <w:spacing w:line="240" w:lineRule="auto"/>
            </w:pPr>
            <w:r>
              <w:rPr>
                <w:color w:val="FF0000"/>
                <w:sz w:val="22"/>
              </w:rPr>
              <w:t>154,1</w:t>
            </w:r>
          </w:p>
        </w:tc>
        <w:tc>
          <w:tcPr>
            <w:tcW w:w="1814" w:type="dxa"/>
          </w:tcPr>
          <w:p w:rsidR="005603EC" w:rsidRDefault="00AB61AC">
            <w:pPr>
              <w:pStyle w:val="Compact"/>
              <w:spacing w:line="240" w:lineRule="auto"/>
            </w:pPr>
            <w:r>
              <w:rPr>
                <w:color w:val="FF0000"/>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color w:val="FF0000"/>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color w:val="FF0000"/>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color w:val="FF0000"/>
        </w:rPr>
        <w:footnoteReference w:id="366"/>
      </w:r>
      <w:r>
        <w:rPr>
          <w:color w:val="FF0000"/>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7"/>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color w:val="0070C0"/>
        </w:rPr>
        <w:t xml:space="preserve">Ikki bank misolida olingan natijalar umumiy xususiyatga egami yoki yo‘qligini tekshirish uchun xuddi shu metodika uchinchi davlat banki – “Aloqabank” ATB ga ham qo‘llandi. Bu bank tizimli ahamiyatga molik banklar </w:t>
      </w:r>
      <w:r>
        <w:rPr>
          <w:color w:val="0070C0"/>
        </w:rPr>
        <w:lastRenderedPageBreak/>
        <w:t>qatoriga kirmaydi, uning aktivlari 2025-yil yakunida 31 527,5 mlrd so‘mni tashkil etgan. Tahlil uchun bankning Markaziy bankka taqdim etilgan prudensial hisobot shakllari</w:t>
      </w:r>
      <w:r>
        <w:rPr>
          <w:rStyle w:val="aff8"/>
          <w:color w:val="0070C0"/>
        </w:rPr>
        <w:footnoteReference w:id="368"/>
      </w:r>
      <w:r>
        <w:rPr>
          <w:color w:val="0070C0"/>
        </w:rPr>
        <w:t xml:space="preserve"> va auditdan o‘tgan MHXS bo‘yicha konsolidatsiyalangan moliyaviy hisobotlari</w:t>
      </w:r>
      <w:r>
        <w:rPr>
          <w:rStyle w:val="aff8"/>
          <w:color w:val="0070C0"/>
        </w:rPr>
        <w:footnoteReference w:id="369"/>
      </w:r>
      <w:r>
        <w:rPr>
          <w:color w:val="0070C0"/>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color w:val="0070C0"/>
        </w:rPr>
        <w:t>2.3.5-jadval</w:t>
      </w:r>
    </w:p>
    <w:p w:rsidR="005603EC" w:rsidRDefault="00AB61AC">
      <w:pPr>
        <w:pStyle w:val="af"/>
        <w:keepNext/>
        <w:spacing w:line="240" w:lineRule="auto"/>
        <w:jc w:val="center"/>
      </w:pPr>
      <w:r>
        <w:rPr>
          <w:b/>
          <w:bCs/>
          <w:color w:val="0070C0"/>
        </w:rPr>
        <w:t>“Aloqabank” ATB ko‘rsatkichlarining milliy va MHXS hisobotlari bo‘yicha qiyosi, 2021–2025-yillar</w:t>
      </w:r>
      <w:r>
        <w:rPr>
          <w:rStyle w:val="aff8"/>
          <w:color w:val="0070C0"/>
        </w:rPr>
        <w:footnoteReference w:id="3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color w:val="0070C0"/>
                <w:sz w:val="22"/>
              </w:rPr>
              <w:t>Ko‘rsatkich</w:t>
            </w:r>
          </w:p>
        </w:tc>
        <w:tc>
          <w:tcPr>
            <w:tcW w:w="1179" w:type="dxa"/>
            <w:shd w:val="clear" w:color="auto" w:fill="DEEBF7"/>
          </w:tcPr>
          <w:p w:rsidR="005603EC" w:rsidRDefault="00AB61AC">
            <w:pPr>
              <w:pStyle w:val="Compact"/>
              <w:spacing w:line="240" w:lineRule="auto"/>
              <w:jc w:val="center"/>
            </w:pPr>
            <w:r>
              <w:rPr>
                <w:b/>
                <w:color w:val="0070C0"/>
                <w:sz w:val="22"/>
              </w:rPr>
              <w:t>2021</w:t>
            </w:r>
          </w:p>
        </w:tc>
        <w:tc>
          <w:tcPr>
            <w:tcW w:w="1179" w:type="dxa"/>
            <w:shd w:val="clear" w:color="auto" w:fill="DEEBF7"/>
          </w:tcPr>
          <w:p w:rsidR="005603EC" w:rsidRDefault="00AB61AC">
            <w:pPr>
              <w:pStyle w:val="Compact"/>
              <w:spacing w:line="240" w:lineRule="auto"/>
              <w:jc w:val="center"/>
            </w:pPr>
            <w:r>
              <w:rPr>
                <w:b/>
                <w:color w:val="0070C0"/>
                <w:sz w:val="22"/>
              </w:rPr>
              <w:t>2022</w:t>
            </w:r>
          </w:p>
        </w:tc>
        <w:tc>
          <w:tcPr>
            <w:tcW w:w="1179" w:type="dxa"/>
            <w:shd w:val="clear" w:color="auto" w:fill="DEEBF7"/>
          </w:tcPr>
          <w:p w:rsidR="005603EC" w:rsidRDefault="00AB61AC">
            <w:pPr>
              <w:pStyle w:val="Compact"/>
              <w:spacing w:line="240" w:lineRule="auto"/>
              <w:jc w:val="center"/>
            </w:pPr>
            <w:r>
              <w:rPr>
                <w:b/>
                <w:color w:val="0070C0"/>
                <w:sz w:val="22"/>
              </w:rPr>
              <w:t>2023</w:t>
            </w:r>
          </w:p>
        </w:tc>
        <w:tc>
          <w:tcPr>
            <w:tcW w:w="1179" w:type="dxa"/>
            <w:shd w:val="clear" w:color="auto" w:fill="DEEBF7"/>
          </w:tcPr>
          <w:p w:rsidR="005603EC" w:rsidRDefault="00AB61AC">
            <w:pPr>
              <w:pStyle w:val="Compact"/>
              <w:spacing w:line="240" w:lineRule="auto"/>
              <w:jc w:val="center"/>
            </w:pPr>
            <w:r>
              <w:rPr>
                <w:b/>
                <w:color w:val="0070C0"/>
                <w:sz w:val="22"/>
              </w:rPr>
              <w:t>2024</w:t>
            </w:r>
          </w:p>
        </w:tc>
        <w:tc>
          <w:tcPr>
            <w:tcW w:w="1179" w:type="dxa"/>
            <w:shd w:val="clear" w:color="auto" w:fill="DEEBF7"/>
          </w:tcPr>
          <w:p w:rsidR="005603EC" w:rsidRDefault="00AB61AC">
            <w:pPr>
              <w:pStyle w:val="Compact"/>
              <w:spacing w:line="240" w:lineRule="auto"/>
              <w:jc w:val="center"/>
            </w:pPr>
            <w:r>
              <w:rPr>
                <w:b/>
                <w:color w:val="0070C0"/>
                <w:sz w:val="22"/>
              </w:rPr>
              <w:t>2025</w:t>
            </w:r>
          </w:p>
        </w:tc>
      </w:tr>
      <w:tr w:rsidR="005603EC" w:rsidTr="005603EC">
        <w:trPr>
          <w:cantSplit/>
        </w:trPr>
        <w:tc>
          <w:tcPr>
            <w:tcW w:w="3402" w:type="dxa"/>
          </w:tcPr>
          <w:p w:rsidR="005603EC" w:rsidRDefault="00AB61AC">
            <w:pPr>
              <w:pStyle w:val="Compact"/>
              <w:spacing w:line="240" w:lineRule="auto"/>
            </w:pPr>
            <w:r>
              <w:rPr>
                <w:color w:val="0070C0"/>
                <w:sz w:val="22"/>
              </w:rPr>
              <w:t>Jami aktivlar, mlrd so‘m: milliy</w:t>
            </w:r>
          </w:p>
        </w:tc>
        <w:tc>
          <w:tcPr>
            <w:tcW w:w="1179" w:type="dxa"/>
          </w:tcPr>
          <w:p w:rsidR="005603EC" w:rsidRDefault="00AB61AC">
            <w:pPr>
              <w:pStyle w:val="Compact"/>
              <w:spacing w:line="240" w:lineRule="auto"/>
            </w:pPr>
            <w:r>
              <w:rPr>
                <w:color w:val="0070C0"/>
                <w:sz w:val="22"/>
              </w:rPr>
              <w:t>12 638,5</w:t>
            </w:r>
          </w:p>
        </w:tc>
        <w:tc>
          <w:tcPr>
            <w:tcW w:w="1179" w:type="dxa"/>
          </w:tcPr>
          <w:p w:rsidR="005603EC" w:rsidRDefault="00AB61AC">
            <w:pPr>
              <w:pStyle w:val="Compact"/>
              <w:spacing w:line="240" w:lineRule="auto"/>
            </w:pPr>
            <w:r>
              <w:rPr>
                <w:color w:val="0070C0"/>
                <w:sz w:val="22"/>
              </w:rPr>
              <w:t>16 083,6</w:t>
            </w:r>
          </w:p>
        </w:tc>
        <w:tc>
          <w:tcPr>
            <w:tcW w:w="1179" w:type="dxa"/>
          </w:tcPr>
          <w:p w:rsidR="005603EC" w:rsidRDefault="00AB61AC">
            <w:pPr>
              <w:pStyle w:val="Compact"/>
              <w:spacing w:line="240" w:lineRule="auto"/>
            </w:pPr>
            <w:r>
              <w:rPr>
                <w:color w:val="0070C0"/>
                <w:sz w:val="22"/>
              </w:rPr>
              <w:t>16 044,7</w:t>
            </w:r>
          </w:p>
        </w:tc>
        <w:tc>
          <w:tcPr>
            <w:tcW w:w="1179" w:type="dxa"/>
          </w:tcPr>
          <w:p w:rsidR="005603EC" w:rsidRDefault="00AB61AC">
            <w:pPr>
              <w:pStyle w:val="Compact"/>
              <w:spacing w:line="240" w:lineRule="auto"/>
            </w:pPr>
            <w:r>
              <w:rPr>
                <w:color w:val="0070C0"/>
                <w:sz w:val="22"/>
              </w:rPr>
              <w:t>23 251,3</w:t>
            </w:r>
          </w:p>
        </w:tc>
        <w:tc>
          <w:tcPr>
            <w:tcW w:w="1179" w:type="dxa"/>
          </w:tcPr>
          <w:p w:rsidR="005603EC" w:rsidRDefault="00AB61AC">
            <w:pPr>
              <w:pStyle w:val="Compact"/>
              <w:spacing w:line="240" w:lineRule="auto"/>
            </w:pPr>
            <w:r>
              <w:rPr>
                <w:color w:val="0070C0"/>
                <w:sz w:val="22"/>
              </w:rPr>
              <w:t>31 527,5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12 566,0</w:t>
            </w:r>
          </w:p>
        </w:tc>
        <w:tc>
          <w:tcPr>
            <w:tcW w:w="1179" w:type="dxa"/>
          </w:tcPr>
          <w:p w:rsidR="005603EC" w:rsidRDefault="00AB61AC">
            <w:pPr>
              <w:pStyle w:val="Compact"/>
              <w:spacing w:line="240" w:lineRule="auto"/>
            </w:pPr>
            <w:r>
              <w:rPr>
                <w:color w:val="0070C0"/>
                <w:sz w:val="22"/>
              </w:rPr>
              <w:t>15 866,3</w:t>
            </w:r>
          </w:p>
        </w:tc>
        <w:tc>
          <w:tcPr>
            <w:tcW w:w="1179" w:type="dxa"/>
          </w:tcPr>
          <w:p w:rsidR="005603EC" w:rsidRDefault="00AB61AC">
            <w:pPr>
              <w:pStyle w:val="Compact"/>
              <w:spacing w:line="240" w:lineRule="auto"/>
            </w:pPr>
            <w:r>
              <w:rPr>
                <w:color w:val="0070C0"/>
                <w:sz w:val="22"/>
              </w:rPr>
              <w:t>15 778,2</w:t>
            </w:r>
          </w:p>
        </w:tc>
        <w:tc>
          <w:tcPr>
            <w:tcW w:w="1179" w:type="dxa"/>
          </w:tcPr>
          <w:p w:rsidR="005603EC" w:rsidRDefault="00AB61AC">
            <w:pPr>
              <w:pStyle w:val="Compact"/>
              <w:spacing w:line="240" w:lineRule="auto"/>
            </w:pPr>
            <w:r>
              <w:rPr>
                <w:color w:val="0070C0"/>
                <w:sz w:val="22"/>
              </w:rPr>
              <w:t>22 669,2</w:t>
            </w:r>
          </w:p>
        </w:tc>
        <w:tc>
          <w:tcPr>
            <w:tcW w:w="1179" w:type="dxa"/>
          </w:tcPr>
          <w:p w:rsidR="005603EC" w:rsidRDefault="00AB61AC">
            <w:pPr>
              <w:pStyle w:val="Compact"/>
              <w:spacing w:line="240" w:lineRule="auto"/>
            </w:pPr>
            <w:r>
              <w:rPr>
                <w:color w:val="0070C0"/>
                <w:sz w:val="22"/>
              </w:rPr>
              <w:t>31 344,2</w:t>
            </w:r>
          </w:p>
        </w:tc>
      </w:tr>
      <w:tr w:rsidR="005603EC" w:rsidTr="005603EC">
        <w:trPr>
          <w:cantSplit/>
        </w:trPr>
        <w:tc>
          <w:tcPr>
            <w:tcW w:w="3402" w:type="dxa"/>
          </w:tcPr>
          <w:p w:rsidR="005603EC" w:rsidRDefault="00AB61AC">
            <w:pPr>
              <w:pStyle w:val="Compact"/>
              <w:spacing w:line="240" w:lineRule="auto"/>
            </w:pPr>
            <w:r>
              <w:rPr>
                <w:color w:val="0070C0"/>
                <w:sz w:val="22"/>
              </w:rPr>
              <w:t>Xususiy kapital, mlrd so‘m: milliy</w:t>
            </w:r>
          </w:p>
        </w:tc>
        <w:tc>
          <w:tcPr>
            <w:tcW w:w="1179" w:type="dxa"/>
          </w:tcPr>
          <w:p w:rsidR="005603EC" w:rsidRDefault="00AB61AC">
            <w:pPr>
              <w:pStyle w:val="Compact"/>
              <w:spacing w:line="240" w:lineRule="auto"/>
            </w:pPr>
            <w:r>
              <w:rPr>
                <w:color w:val="0070C0"/>
                <w:sz w:val="22"/>
              </w:rPr>
              <w:t>1 673,5</w:t>
            </w:r>
          </w:p>
        </w:tc>
        <w:tc>
          <w:tcPr>
            <w:tcW w:w="1179" w:type="dxa"/>
          </w:tcPr>
          <w:p w:rsidR="005603EC" w:rsidRDefault="00AB61AC">
            <w:pPr>
              <w:pStyle w:val="Compact"/>
              <w:spacing w:line="240" w:lineRule="auto"/>
            </w:pPr>
            <w:r>
              <w:rPr>
                <w:color w:val="0070C0"/>
                <w:sz w:val="22"/>
              </w:rPr>
              <w:t>1 795,3</w:t>
            </w:r>
          </w:p>
        </w:tc>
        <w:tc>
          <w:tcPr>
            <w:tcW w:w="1179" w:type="dxa"/>
          </w:tcPr>
          <w:p w:rsidR="005603EC" w:rsidRDefault="00AB61AC">
            <w:pPr>
              <w:pStyle w:val="Compact"/>
              <w:spacing w:line="240" w:lineRule="auto"/>
            </w:pPr>
            <w:r>
              <w:rPr>
                <w:color w:val="0070C0"/>
                <w:sz w:val="22"/>
              </w:rPr>
              <w:t>2 643,2</w:t>
            </w:r>
          </w:p>
        </w:tc>
        <w:tc>
          <w:tcPr>
            <w:tcW w:w="1179" w:type="dxa"/>
          </w:tcPr>
          <w:p w:rsidR="005603EC" w:rsidRDefault="00AB61AC">
            <w:pPr>
              <w:pStyle w:val="Compact"/>
              <w:spacing w:line="240" w:lineRule="auto"/>
            </w:pPr>
            <w:r>
              <w:rPr>
                <w:color w:val="0070C0"/>
                <w:sz w:val="22"/>
              </w:rPr>
              <w:t>3 082,2</w:t>
            </w:r>
          </w:p>
        </w:tc>
        <w:tc>
          <w:tcPr>
            <w:tcW w:w="1179" w:type="dxa"/>
          </w:tcPr>
          <w:p w:rsidR="005603EC" w:rsidRDefault="00AB61AC">
            <w:pPr>
              <w:pStyle w:val="Compact"/>
              <w:spacing w:line="240" w:lineRule="auto"/>
            </w:pPr>
            <w:r>
              <w:rPr>
                <w:color w:val="0070C0"/>
                <w:sz w:val="22"/>
              </w:rPr>
              <w:t>3 846,9</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1 604,3</w:t>
            </w:r>
          </w:p>
        </w:tc>
        <w:tc>
          <w:tcPr>
            <w:tcW w:w="1179" w:type="dxa"/>
          </w:tcPr>
          <w:p w:rsidR="005603EC" w:rsidRDefault="00AB61AC">
            <w:pPr>
              <w:pStyle w:val="Compact"/>
              <w:spacing w:line="240" w:lineRule="auto"/>
            </w:pPr>
            <w:r>
              <w:rPr>
                <w:color w:val="0070C0"/>
                <w:sz w:val="22"/>
              </w:rPr>
              <w:t>1 799,0</w:t>
            </w:r>
          </w:p>
        </w:tc>
        <w:tc>
          <w:tcPr>
            <w:tcW w:w="1179" w:type="dxa"/>
          </w:tcPr>
          <w:p w:rsidR="005603EC" w:rsidRDefault="00AB61AC">
            <w:pPr>
              <w:pStyle w:val="Compact"/>
              <w:spacing w:line="240" w:lineRule="auto"/>
            </w:pPr>
            <w:r>
              <w:rPr>
                <w:color w:val="0070C0"/>
                <w:sz w:val="22"/>
              </w:rPr>
              <w:t>2 397,7</w:t>
            </w:r>
          </w:p>
        </w:tc>
        <w:tc>
          <w:tcPr>
            <w:tcW w:w="1179" w:type="dxa"/>
          </w:tcPr>
          <w:p w:rsidR="005603EC" w:rsidRDefault="00AB61AC">
            <w:pPr>
              <w:pStyle w:val="Compact"/>
              <w:spacing w:line="240" w:lineRule="auto"/>
            </w:pPr>
            <w:r>
              <w:rPr>
                <w:color w:val="0070C0"/>
                <w:sz w:val="22"/>
              </w:rPr>
              <w:t>3 099,7</w:t>
            </w:r>
          </w:p>
        </w:tc>
        <w:tc>
          <w:tcPr>
            <w:tcW w:w="1179" w:type="dxa"/>
          </w:tcPr>
          <w:p w:rsidR="005603EC" w:rsidRDefault="00AB61AC">
            <w:pPr>
              <w:pStyle w:val="Compact"/>
              <w:spacing w:line="240" w:lineRule="auto"/>
            </w:pPr>
            <w:r>
              <w:rPr>
                <w:color w:val="0070C0"/>
                <w:sz w:val="22"/>
              </w:rPr>
              <w:t>3 491,0</w:t>
            </w:r>
          </w:p>
        </w:tc>
      </w:tr>
      <w:tr w:rsidR="005603EC" w:rsidTr="005603EC">
        <w:trPr>
          <w:cantSplit/>
        </w:trPr>
        <w:tc>
          <w:tcPr>
            <w:tcW w:w="3402" w:type="dxa"/>
          </w:tcPr>
          <w:p w:rsidR="005603EC" w:rsidRDefault="00AB61AC">
            <w:pPr>
              <w:pStyle w:val="Compact"/>
              <w:spacing w:line="240" w:lineRule="auto"/>
            </w:pPr>
            <w:r>
              <w:rPr>
                <w:color w:val="0070C0"/>
                <w:sz w:val="22"/>
              </w:rPr>
              <w:t>Tafovut, %</w:t>
            </w:r>
          </w:p>
        </w:tc>
        <w:tc>
          <w:tcPr>
            <w:tcW w:w="1179" w:type="dxa"/>
          </w:tcPr>
          <w:p w:rsidR="005603EC" w:rsidRDefault="00AB61AC">
            <w:pPr>
              <w:pStyle w:val="Compact"/>
              <w:spacing w:line="240" w:lineRule="auto"/>
            </w:pPr>
            <w:r>
              <w:rPr>
                <w:color w:val="0070C0"/>
                <w:sz w:val="22"/>
              </w:rPr>
              <w:t>−4,1</w:t>
            </w:r>
          </w:p>
        </w:tc>
        <w:tc>
          <w:tcPr>
            <w:tcW w:w="1179" w:type="dxa"/>
          </w:tcPr>
          <w:p w:rsidR="005603EC" w:rsidRDefault="00AB61AC">
            <w:pPr>
              <w:pStyle w:val="Compact"/>
              <w:spacing w:line="240" w:lineRule="auto"/>
            </w:pPr>
            <w:r>
              <w:rPr>
                <w:color w:val="0070C0"/>
                <w:sz w:val="22"/>
              </w:rPr>
              <w:t>+0,2</w:t>
            </w:r>
          </w:p>
        </w:tc>
        <w:tc>
          <w:tcPr>
            <w:tcW w:w="1179" w:type="dxa"/>
          </w:tcPr>
          <w:p w:rsidR="005603EC" w:rsidRDefault="00AB61AC">
            <w:pPr>
              <w:pStyle w:val="Compact"/>
              <w:spacing w:line="240" w:lineRule="auto"/>
            </w:pPr>
            <w:r>
              <w:rPr>
                <w:color w:val="0070C0"/>
                <w:sz w:val="22"/>
              </w:rPr>
              <w:t>−9,3</w:t>
            </w:r>
          </w:p>
        </w:tc>
        <w:tc>
          <w:tcPr>
            <w:tcW w:w="1179" w:type="dxa"/>
          </w:tcPr>
          <w:p w:rsidR="005603EC" w:rsidRDefault="00AB61AC">
            <w:pPr>
              <w:pStyle w:val="Compact"/>
              <w:spacing w:line="240" w:lineRule="auto"/>
            </w:pPr>
            <w:r>
              <w:rPr>
                <w:color w:val="0070C0"/>
                <w:sz w:val="22"/>
              </w:rPr>
              <w:t>+0,6</w:t>
            </w:r>
          </w:p>
        </w:tc>
        <w:tc>
          <w:tcPr>
            <w:tcW w:w="1179" w:type="dxa"/>
          </w:tcPr>
          <w:p w:rsidR="005603EC" w:rsidRDefault="00AB61AC">
            <w:pPr>
              <w:pStyle w:val="Compact"/>
              <w:spacing w:line="240" w:lineRule="auto"/>
            </w:pPr>
            <w:r>
              <w:rPr>
                <w:color w:val="0070C0"/>
                <w:sz w:val="22"/>
              </w:rPr>
              <w:t>−9,3</w:t>
            </w:r>
          </w:p>
        </w:tc>
      </w:tr>
      <w:tr w:rsidR="005603EC" w:rsidTr="005603EC">
        <w:trPr>
          <w:cantSplit/>
        </w:trPr>
        <w:tc>
          <w:tcPr>
            <w:tcW w:w="3402" w:type="dxa"/>
          </w:tcPr>
          <w:p w:rsidR="005603EC" w:rsidRDefault="00AB61AC">
            <w:pPr>
              <w:pStyle w:val="Compact"/>
              <w:spacing w:line="240" w:lineRule="auto"/>
            </w:pPr>
            <w:r>
              <w:rPr>
                <w:color w:val="0070C0"/>
                <w:sz w:val="22"/>
              </w:rPr>
              <w:t>Sof foyda (zarar), mlrd so‘m: milliy</w:t>
            </w:r>
          </w:p>
        </w:tc>
        <w:tc>
          <w:tcPr>
            <w:tcW w:w="1179" w:type="dxa"/>
          </w:tcPr>
          <w:p w:rsidR="005603EC" w:rsidRDefault="00AB61AC">
            <w:pPr>
              <w:pStyle w:val="Compact"/>
              <w:spacing w:line="240" w:lineRule="auto"/>
            </w:pPr>
            <w:r>
              <w:rPr>
                <w:color w:val="0070C0"/>
                <w:sz w:val="22"/>
              </w:rPr>
              <w:t>107,6</w:t>
            </w:r>
          </w:p>
        </w:tc>
        <w:tc>
          <w:tcPr>
            <w:tcW w:w="1179" w:type="dxa"/>
          </w:tcPr>
          <w:p w:rsidR="005603EC" w:rsidRDefault="00AB61AC">
            <w:pPr>
              <w:pStyle w:val="Compact"/>
              <w:spacing w:line="240" w:lineRule="auto"/>
            </w:pPr>
            <w:r>
              <w:rPr>
                <w:color w:val="0070C0"/>
                <w:sz w:val="22"/>
              </w:rPr>
              <w:t>228,4</w:t>
            </w:r>
          </w:p>
        </w:tc>
        <w:tc>
          <w:tcPr>
            <w:tcW w:w="1179" w:type="dxa"/>
          </w:tcPr>
          <w:p w:rsidR="005603EC" w:rsidRDefault="00AB61AC">
            <w:pPr>
              <w:pStyle w:val="Compact"/>
              <w:spacing w:line="240" w:lineRule="auto"/>
            </w:pPr>
            <w:r>
              <w:rPr>
                <w:color w:val="0070C0"/>
                <w:sz w:val="22"/>
              </w:rPr>
              <w:t>607,7</w:t>
            </w:r>
          </w:p>
        </w:tc>
        <w:tc>
          <w:tcPr>
            <w:tcW w:w="1179" w:type="dxa"/>
          </w:tcPr>
          <w:p w:rsidR="005603EC" w:rsidRDefault="00AB61AC">
            <w:pPr>
              <w:pStyle w:val="Compact"/>
              <w:spacing w:line="240" w:lineRule="auto"/>
            </w:pPr>
            <w:r>
              <w:rPr>
                <w:color w:val="0070C0"/>
                <w:sz w:val="22"/>
              </w:rPr>
              <w:t>190,0</w:t>
            </w:r>
          </w:p>
        </w:tc>
        <w:tc>
          <w:tcPr>
            <w:tcW w:w="1179" w:type="dxa"/>
          </w:tcPr>
          <w:p w:rsidR="005603EC" w:rsidRDefault="00AB61AC">
            <w:pPr>
              <w:pStyle w:val="Compact"/>
              <w:spacing w:line="240" w:lineRule="auto"/>
            </w:pPr>
            <w:r>
              <w:rPr>
                <w:color w:val="0070C0"/>
                <w:sz w:val="22"/>
              </w:rPr>
              <w:t>251,5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139,8</w:t>
            </w:r>
          </w:p>
        </w:tc>
        <w:tc>
          <w:tcPr>
            <w:tcW w:w="1179" w:type="dxa"/>
          </w:tcPr>
          <w:p w:rsidR="005603EC" w:rsidRDefault="00AB61AC">
            <w:pPr>
              <w:pStyle w:val="Compact"/>
              <w:spacing w:line="240" w:lineRule="auto"/>
            </w:pPr>
            <w:r>
              <w:rPr>
                <w:color w:val="0070C0"/>
                <w:sz w:val="22"/>
              </w:rPr>
              <w:t>197,2</w:t>
            </w:r>
          </w:p>
        </w:tc>
        <w:tc>
          <w:tcPr>
            <w:tcW w:w="1179" w:type="dxa"/>
          </w:tcPr>
          <w:p w:rsidR="005603EC" w:rsidRDefault="00AB61AC">
            <w:pPr>
              <w:pStyle w:val="Compact"/>
              <w:spacing w:line="240" w:lineRule="auto"/>
            </w:pPr>
            <w:r>
              <w:rPr>
                <w:color w:val="0070C0"/>
                <w:sz w:val="22"/>
              </w:rPr>
              <w:t>358,5</w:t>
            </w:r>
          </w:p>
        </w:tc>
        <w:tc>
          <w:tcPr>
            <w:tcW w:w="1179" w:type="dxa"/>
          </w:tcPr>
          <w:p w:rsidR="005603EC" w:rsidRDefault="00AB61AC">
            <w:pPr>
              <w:pStyle w:val="Compact"/>
              <w:spacing w:line="240" w:lineRule="auto"/>
            </w:pPr>
            <w:r>
              <w:rPr>
                <w:color w:val="0070C0"/>
                <w:sz w:val="22"/>
              </w:rPr>
              <w:t>252,9</w:t>
            </w:r>
          </w:p>
        </w:tc>
        <w:tc>
          <w:tcPr>
            <w:tcW w:w="1179" w:type="dxa"/>
          </w:tcPr>
          <w:p w:rsidR="005603EC" w:rsidRDefault="00AB61AC">
            <w:pPr>
              <w:pStyle w:val="Compact"/>
              <w:spacing w:line="240" w:lineRule="auto"/>
            </w:pPr>
            <w:r>
              <w:rPr>
                <w:color w:val="0070C0"/>
                <w:sz w:val="22"/>
              </w:rPr>
              <w:t>−193,9</w:t>
            </w:r>
          </w:p>
        </w:tc>
      </w:tr>
      <w:tr w:rsidR="005603EC" w:rsidTr="005603EC">
        <w:trPr>
          <w:cantSplit/>
        </w:trPr>
        <w:tc>
          <w:tcPr>
            <w:tcW w:w="3402" w:type="dxa"/>
          </w:tcPr>
          <w:p w:rsidR="005603EC" w:rsidRDefault="00AB61AC">
            <w:pPr>
              <w:pStyle w:val="Compact"/>
              <w:spacing w:line="240" w:lineRule="auto"/>
            </w:pPr>
            <w:r>
              <w:rPr>
                <w:color w:val="0070C0"/>
                <w:sz w:val="22"/>
              </w:rPr>
              <w:t>ROE, %: milliy</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13,2</w:t>
            </w:r>
          </w:p>
        </w:tc>
        <w:tc>
          <w:tcPr>
            <w:tcW w:w="1179" w:type="dxa"/>
          </w:tcPr>
          <w:p w:rsidR="005603EC" w:rsidRDefault="00AB61AC">
            <w:pPr>
              <w:pStyle w:val="Compact"/>
              <w:spacing w:line="240" w:lineRule="auto"/>
            </w:pPr>
            <w:r>
              <w:rPr>
                <w:color w:val="0070C0"/>
                <w:sz w:val="22"/>
              </w:rPr>
              <w:t>27,4</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7,3</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9,1</w:t>
            </w:r>
          </w:p>
        </w:tc>
        <w:tc>
          <w:tcPr>
            <w:tcW w:w="1179" w:type="dxa"/>
          </w:tcPr>
          <w:p w:rsidR="005603EC" w:rsidRDefault="00AB61AC">
            <w:pPr>
              <w:pStyle w:val="Compact"/>
              <w:spacing w:line="240" w:lineRule="auto"/>
            </w:pPr>
            <w:r>
              <w:rPr>
                <w:color w:val="0070C0"/>
                <w:sz w:val="22"/>
              </w:rPr>
              <w:t>11,6</w:t>
            </w:r>
          </w:p>
        </w:tc>
        <w:tc>
          <w:tcPr>
            <w:tcW w:w="1179" w:type="dxa"/>
          </w:tcPr>
          <w:p w:rsidR="005603EC" w:rsidRDefault="00AB61AC">
            <w:pPr>
              <w:pStyle w:val="Compact"/>
              <w:spacing w:line="240" w:lineRule="auto"/>
            </w:pPr>
            <w:r>
              <w:rPr>
                <w:color w:val="0070C0"/>
                <w:sz w:val="22"/>
              </w:rPr>
              <w:t>17,1</w:t>
            </w:r>
          </w:p>
        </w:tc>
        <w:tc>
          <w:tcPr>
            <w:tcW w:w="1179" w:type="dxa"/>
          </w:tcPr>
          <w:p w:rsidR="005603EC" w:rsidRDefault="00AB61AC">
            <w:pPr>
              <w:pStyle w:val="Compact"/>
              <w:spacing w:line="240" w:lineRule="auto"/>
            </w:pPr>
            <w:r>
              <w:rPr>
                <w:color w:val="0070C0"/>
                <w:sz w:val="22"/>
              </w:rPr>
              <w:t>9,2</w:t>
            </w:r>
          </w:p>
        </w:tc>
        <w:tc>
          <w:tcPr>
            <w:tcW w:w="1179" w:type="dxa"/>
          </w:tcPr>
          <w:p w:rsidR="005603EC" w:rsidRDefault="00AB61AC">
            <w:pPr>
              <w:pStyle w:val="Compact"/>
              <w:spacing w:line="240" w:lineRule="auto"/>
            </w:pPr>
            <w:r>
              <w:rPr>
                <w:color w:val="0070C0"/>
                <w:sz w:val="22"/>
              </w:rPr>
              <w:t>−5,9</w:t>
            </w:r>
          </w:p>
        </w:tc>
      </w:tr>
      <w:tr w:rsidR="005603EC" w:rsidTr="005603EC">
        <w:trPr>
          <w:cantSplit/>
        </w:trPr>
        <w:tc>
          <w:tcPr>
            <w:tcW w:w="3402" w:type="dxa"/>
          </w:tcPr>
          <w:p w:rsidR="005603EC" w:rsidRDefault="00AB61AC">
            <w:pPr>
              <w:pStyle w:val="Compact"/>
              <w:spacing w:line="240" w:lineRule="auto"/>
            </w:pPr>
            <w:r>
              <w:rPr>
                <w:color w:val="0070C0"/>
                <w:sz w:val="22"/>
              </w:rPr>
              <w:t>Muammoli kreditlar (milliy) / 3-bosqich (MHXS), %</w:t>
            </w:r>
          </w:p>
        </w:tc>
        <w:tc>
          <w:tcPr>
            <w:tcW w:w="1179" w:type="dxa"/>
          </w:tcPr>
          <w:p w:rsidR="005603EC" w:rsidRDefault="00AB61AC">
            <w:pPr>
              <w:pStyle w:val="Compact"/>
              <w:spacing w:line="240" w:lineRule="auto"/>
            </w:pPr>
            <w:r>
              <w:rPr>
                <w:color w:val="0070C0"/>
                <w:sz w:val="22"/>
              </w:rPr>
              <w:t>4,1 / 10,0</w:t>
            </w:r>
          </w:p>
        </w:tc>
        <w:tc>
          <w:tcPr>
            <w:tcW w:w="1179" w:type="dxa"/>
          </w:tcPr>
          <w:p w:rsidR="005603EC" w:rsidRDefault="00AB61AC">
            <w:pPr>
              <w:pStyle w:val="Compact"/>
              <w:spacing w:line="240" w:lineRule="auto"/>
            </w:pPr>
            <w:r>
              <w:rPr>
                <w:color w:val="0070C0"/>
                <w:sz w:val="22"/>
              </w:rPr>
              <w:t>2,0 / 9,9</w:t>
            </w:r>
          </w:p>
        </w:tc>
        <w:tc>
          <w:tcPr>
            <w:tcW w:w="1179" w:type="dxa"/>
          </w:tcPr>
          <w:p w:rsidR="005603EC" w:rsidRDefault="00AB61AC">
            <w:pPr>
              <w:pStyle w:val="Compact"/>
              <w:spacing w:line="240" w:lineRule="auto"/>
            </w:pPr>
            <w:r>
              <w:rPr>
                <w:color w:val="0070C0"/>
                <w:sz w:val="22"/>
              </w:rPr>
              <w:t>1,5 / 6,1</w:t>
            </w:r>
          </w:p>
        </w:tc>
        <w:tc>
          <w:tcPr>
            <w:tcW w:w="1179" w:type="dxa"/>
          </w:tcPr>
          <w:p w:rsidR="005603EC" w:rsidRDefault="00AB61AC">
            <w:pPr>
              <w:pStyle w:val="Compact"/>
              <w:spacing w:line="240" w:lineRule="auto"/>
            </w:pPr>
            <w:r>
              <w:rPr>
                <w:color w:val="0070C0"/>
                <w:sz w:val="22"/>
              </w:rPr>
              <w:t>1,9 / 7,5</w:t>
            </w:r>
          </w:p>
        </w:tc>
        <w:tc>
          <w:tcPr>
            <w:tcW w:w="1179" w:type="dxa"/>
          </w:tcPr>
          <w:p w:rsidR="005603EC" w:rsidRDefault="00AB61AC">
            <w:pPr>
              <w:pStyle w:val="Compact"/>
              <w:spacing w:line="240" w:lineRule="auto"/>
            </w:pPr>
            <w:r>
              <w:rPr>
                <w:color w:val="0070C0"/>
                <w:sz w:val="22"/>
              </w:rPr>
              <w:t>2,5 / 7,2</w:t>
            </w:r>
          </w:p>
        </w:tc>
      </w:tr>
      <w:tr w:rsidR="005603EC" w:rsidTr="005603EC">
        <w:trPr>
          <w:cantSplit/>
        </w:trPr>
        <w:tc>
          <w:tcPr>
            <w:tcW w:w="3402" w:type="dxa"/>
          </w:tcPr>
          <w:p w:rsidR="005603EC" w:rsidRDefault="00AB61AC">
            <w:pPr>
              <w:pStyle w:val="Compact"/>
              <w:spacing w:line="240" w:lineRule="auto"/>
            </w:pPr>
            <w:r>
              <w:rPr>
                <w:color w:val="0070C0"/>
                <w:sz w:val="22"/>
              </w:rPr>
              <w:t>Substandart kreditlar (milliy) / 2-bosqich (MHXS), %</w:t>
            </w:r>
          </w:p>
        </w:tc>
        <w:tc>
          <w:tcPr>
            <w:tcW w:w="1179" w:type="dxa"/>
          </w:tcPr>
          <w:p w:rsidR="005603EC" w:rsidRDefault="00AB61AC">
            <w:pPr>
              <w:pStyle w:val="Compact"/>
              <w:spacing w:line="240" w:lineRule="auto"/>
            </w:pPr>
            <w:r>
              <w:rPr>
                <w:color w:val="0070C0"/>
                <w:sz w:val="22"/>
              </w:rPr>
              <w:t>8,0 / 4,6</w:t>
            </w:r>
          </w:p>
        </w:tc>
        <w:tc>
          <w:tcPr>
            <w:tcW w:w="1179" w:type="dxa"/>
          </w:tcPr>
          <w:p w:rsidR="005603EC" w:rsidRDefault="00AB61AC">
            <w:pPr>
              <w:pStyle w:val="Compact"/>
              <w:spacing w:line="240" w:lineRule="auto"/>
            </w:pPr>
            <w:r>
              <w:rPr>
                <w:color w:val="0070C0"/>
                <w:sz w:val="22"/>
              </w:rPr>
              <w:t>1,1 / 9,5</w:t>
            </w:r>
          </w:p>
        </w:tc>
        <w:tc>
          <w:tcPr>
            <w:tcW w:w="1179" w:type="dxa"/>
          </w:tcPr>
          <w:p w:rsidR="005603EC" w:rsidRDefault="00AB61AC">
            <w:pPr>
              <w:pStyle w:val="Compact"/>
              <w:spacing w:line="240" w:lineRule="auto"/>
            </w:pPr>
            <w:r>
              <w:rPr>
                <w:color w:val="0070C0"/>
                <w:sz w:val="22"/>
              </w:rPr>
              <w:t>11,8 / 17,7</w:t>
            </w:r>
          </w:p>
        </w:tc>
        <w:tc>
          <w:tcPr>
            <w:tcW w:w="1179" w:type="dxa"/>
          </w:tcPr>
          <w:p w:rsidR="005603EC" w:rsidRDefault="00AB61AC">
            <w:pPr>
              <w:pStyle w:val="Compact"/>
              <w:spacing w:line="240" w:lineRule="auto"/>
            </w:pPr>
            <w:r>
              <w:rPr>
                <w:color w:val="0070C0"/>
                <w:sz w:val="22"/>
              </w:rPr>
              <w:t>10,2 / 12,6</w:t>
            </w:r>
          </w:p>
        </w:tc>
        <w:tc>
          <w:tcPr>
            <w:tcW w:w="1179" w:type="dxa"/>
          </w:tcPr>
          <w:p w:rsidR="005603EC" w:rsidRDefault="00AB61AC">
            <w:pPr>
              <w:pStyle w:val="Compact"/>
              <w:spacing w:line="240" w:lineRule="auto"/>
            </w:pPr>
            <w:r>
              <w:rPr>
                <w:color w:val="0070C0"/>
                <w:sz w:val="22"/>
              </w:rPr>
              <w:t>6,4 / 6,6</w:t>
            </w:r>
          </w:p>
        </w:tc>
      </w:tr>
      <w:tr w:rsidR="005603EC" w:rsidTr="005603EC">
        <w:trPr>
          <w:cantSplit/>
        </w:trPr>
        <w:tc>
          <w:tcPr>
            <w:tcW w:w="3402" w:type="dxa"/>
          </w:tcPr>
          <w:p w:rsidR="005603EC" w:rsidRDefault="00AB61AC">
            <w:pPr>
              <w:pStyle w:val="Compact"/>
              <w:spacing w:line="240" w:lineRule="auto"/>
            </w:pPr>
            <w:r>
              <w:rPr>
                <w:color w:val="0070C0"/>
                <w:sz w:val="22"/>
              </w:rPr>
              <w:t>Birinchi darajali asosiy kapital monandligi, %: milliy</w:t>
            </w:r>
          </w:p>
        </w:tc>
        <w:tc>
          <w:tcPr>
            <w:tcW w:w="1179" w:type="dxa"/>
          </w:tcPr>
          <w:p w:rsidR="005603EC" w:rsidRDefault="00AB61AC">
            <w:pPr>
              <w:pStyle w:val="Compact"/>
              <w:spacing w:line="240" w:lineRule="auto"/>
            </w:pPr>
            <w:r>
              <w:rPr>
                <w:color w:val="0070C0"/>
                <w:sz w:val="22"/>
              </w:rPr>
              <w:t>11,41</w:t>
            </w:r>
          </w:p>
        </w:tc>
        <w:tc>
          <w:tcPr>
            <w:tcW w:w="1179" w:type="dxa"/>
          </w:tcPr>
          <w:p w:rsidR="005603EC" w:rsidRDefault="00AB61AC">
            <w:pPr>
              <w:pStyle w:val="Compact"/>
              <w:spacing w:line="240" w:lineRule="auto"/>
            </w:pPr>
            <w:r>
              <w:rPr>
                <w:color w:val="0070C0"/>
                <w:sz w:val="22"/>
              </w:rPr>
              <w:t>9,38</w:t>
            </w:r>
          </w:p>
        </w:tc>
        <w:tc>
          <w:tcPr>
            <w:tcW w:w="1179" w:type="dxa"/>
          </w:tcPr>
          <w:p w:rsidR="005603EC" w:rsidRDefault="00AB61AC">
            <w:pPr>
              <w:pStyle w:val="Compact"/>
              <w:spacing w:line="240" w:lineRule="auto"/>
            </w:pPr>
            <w:r>
              <w:rPr>
                <w:color w:val="0070C0"/>
                <w:sz w:val="22"/>
              </w:rPr>
              <w:t>11,49</w:t>
            </w:r>
          </w:p>
        </w:tc>
        <w:tc>
          <w:tcPr>
            <w:tcW w:w="1179" w:type="dxa"/>
          </w:tcPr>
          <w:p w:rsidR="005603EC" w:rsidRDefault="00AB61AC">
            <w:pPr>
              <w:pStyle w:val="Compact"/>
              <w:spacing w:line="240" w:lineRule="auto"/>
            </w:pPr>
            <w:r>
              <w:rPr>
                <w:color w:val="0070C0"/>
                <w:sz w:val="22"/>
              </w:rPr>
              <w:t>11,82</w:t>
            </w:r>
          </w:p>
        </w:tc>
        <w:tc>
          <w:tcPr>
            <w:tcW w:w="1179" w:type="dxa"/>
          </w:tcPr>
          <w:p w:rsidR="005603EC" w:rsidRDefault="00AB61AC">
            <w:pPr>
              <w:pStyle w:val="Compact"/>
              <w:spacing w:line="240" w:lineRule="auto"/>
            </w:pPr>
            <w:r>
              <w:rPr>
                <w:color w:val="0070C0"/>
                <w:sz w:val="22"/>
              </w:rPr>
              <w:t>10,09</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12,30</w:t>
            </w:r>
          </w:p>
        </w:tc>
        <w:tc>
          <w:tcPr>
            <w:tcW w:w="1179" w:type="dxa"/>
          </w:tcPr>
          <w:p w:rsidR="005603EC" w:rsidRDefault="00AB61AC">
            <w:pPr>
              <w:pStyle w:val="Compact"/>
              <w:spacing w:line="240" w:lineRule="auto"/>
            </w:pPr>
            <w:r>
              <w:rPr>
                <w:color w:val="0070C0"/>
                <w:sz w:val="22"/>
              </w:rPr>
              <w:t>9,63</w:t>
            </w:r>
          </w:p>
        </w:tc>
        <w:tc>
          <w:tcPr>
            <w:tcW w:w="1179" w:type="dxa"/>
          </w:tcPr>
          <w:p w:rsidR="005603EC" w:rsidRDefault="00AB61AC">
            <w:pPr>
              <w:pStyle w:val="Compact"/>
              <w:spacing w:line="240" w:lineRule="auto"/>
            </w:pPr>
            <w:r>
              <w:rPr>
                <w:color w:val="0070C0"/>
                <w:sz w:val="22"/>
              </w:rPr>
              <w:t>11,53</w:t>
            </w:r>
          </w:p>
        </w:tc>
        <w:tc>
          <w:tcPr>
            <w:tcW w:w="1179" w:type="dxa"/>
          </w:tcPr>
          <w:p w:rsidR="005603EC" w:rsidRDefault="00AB61AC">
            <w:pPr>
              <w:pStyle w:val="Compact"/>
              <w:spacing w:line="240" w:lineRule="auto"/>
            </w:pPr>
            <w:r>
              <w:rPr>
                <w:color w:val="0070C0"/>
                <w:sz w:val="22"/>
              </w:rPr>
              <w:t>11,65</w:t>
            </w:r>
          </w:p>
        </w:tc>
        <w:tc>
          <w:tcPr>
            <w:tcW w:w="1179" w:type="dxa"/>
          </w:tcPr>
          <w:p w:rsidR="005603EC" w:rsidRDefault="00AB61AC">
            <w:pPr>
              <w:pStyle w:val="Compact"/>
              <w:spacing w:line="240" w:lineRule="auto"/>
            </w:pPr>
            <w:r>
              <w:rPr>
                <w:color w:val="0070C0"/>
                <w:sz w:val="22"/>
              </w:rPr>
              <w:t>9,76</w:t>
            </w:r>
          </w:p>
        </w:tc>
      </w:tr>
      <w:tr w:rsidR="005603EC" w:rsidTr="005603EC">
        <w:trPr>
          <w:cantSplit/>
        </w:trPr>
        <w:tc>
          <w:tcPr>
            <w:tcW w:w="3402" w:type="dxa"/>
          </w:tcPr>
          <w:p w:rsidR="005603EC" w:rsidRDefault="00AB61AC">
            <w:pPr>
              <w:pStyle w:val="Compact"/>
              <w:spacing w:line="240" w:lineRule="auto"/>
            </w:pPr>
            <w:r>
              <w:rPr>
                <w:color w:val="0070C0"/>
                <w:sz w:val="22"/>
              </w:rPr>
              <w:lastRenderedPageBreak/>
              <w:t>Regulyativ kapital monandligi, %: milliy</w:t>
            </w:r>
          </w:p>
        </w:tc>
        <w:tc>
          <w:tcPr>
            <w:tcW w:w="1179" w:type="dxa"/>
          </w:tcPr>
          <w:p w:rsidR="005603EC" w:rsidRDefault="00AB61AC">
            <w:pPr>
              <w:pStyle w:val="Compact"/>
              <w:spacing w:line="240" w:lineRule="auto"/>
            </w:pPr>
            <w:r>
              <w:rPr>
                <w:color w:val="0070C0"/>
                <w:sz w:val="22"/>
              </w:rPr>
              <w:t>13,21</w:t>
            </w:r>
          </w:p>
        </w:tc>
        <w:tc>
          <w:tcPr>
            <w:tcW w:w="1179" w:type="dxa"/>
          </w:tcPr>
          <w:p w:rsidR="005603EC" w:rsidRDefault="00AB61AC">
            <w:pPr>
              <w:pStyle w:val="Compact"/>
              <w:spacing w:line="240" w:lineRule="auto"/>
            </w:pPr>
            <w:r>
              <w:rPr>
                <w:color w:val="0070C0"/>
                <w:sz w:val="22"/>
              </w:rPr>
              <w:t>12,49</w:t>
            </w:r>
          </w:p>
        </w:tc>
        <w:tc>
          <w:tcPr>
            <w:tcW w:w="1179" w:type="dxa"/>
          </w:tcPr>
          <w:p w:rsidR="005603EC" w:rsidRDefault="00AB61AC">
            <w:pPr>
              <w:pStyle w:val="Compact"/>
              <w:spacing w:line="240" w:lineRule="auto"/>
            </w:pPr>
            <w:r>
              <w:rPr>
                <w:color w:val="0070C0"/>
                <w:sz w:val="22"/>
              </w:rPr>
              <w:t>16,45</w:t>
            </w:r>
          </w:p>
        </w:tc>
        <w:tc>
          <w:tcPr>
            <w:tcW w:w="1179" w:type="dxa"/>
          </w:tcPr>
          <w:p w:rsidR="005603EC" w:rsidRDefault="00AB61AC">
            <w:pPr>
              <w:pStyle w:val="Compact"/>
              <w:spacing w:line="240" w:lineRule="auto"/>
            </w:pPr>
            <w:r>
              <w:rPr>
                <w:color w:val="0070C0"/>
                <w:sz w:val="22"/>
              </w:rPr>
              <w:t>13,94</w:t>
            </w:r>
          </w:p>
        </w:tc>
        <w:tc>
          <w:tcPr>
            <w:tcW w:w="1179" w:type="dxa"/>
          </w:tcPr>
          <w:p w:rsidR="005603EC" w:rsidRDefault="00AB61AC">
            <w:pPr>
              <w:pStyle w:val="Compact"/>
              <w:spacing w:line="240" w:lineRule="auto"/>
            </w:pPr>
            <w:r>
              <w:rPr>
                <w:color w:val="0070C0"/>
                <w:sz w:val="22"/>
              </w:rPr>
              <w:t>14,14</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14,37</w:t>
            </w:r>
          </w:p>
        </w:tc>
        <w:tc>
          <w:tcPr>
            <w:tcW w:w="1179" w:type="dxa"/>
          </w:tcPr>
          <w:p w:rsidR="005603EC" w:rsidRDefault="00AB61AC">
            <w:pPr>
              <w:pStyle w:val="Compact"/>
              <w:spacing w:line="240" w:lineRule="auto"/>
            </w:pPr>
            <w:r>
              <w:rPr>
                <w:color w:val="0070C0"/>
                <w:sz w:val="22"/>
              </w:rPr>
              <w:t>12,54</w:t>
            </w:r>
          </w:p>
        </w:tc>
        <w:tc>
          <w:tcPr>
            <w:tcW w:w="1179" w:type="dxa"/>
          </w:tcPr>
          <w:p w:rsidR="005603EC" w:rsidRDefault="00AB61AC">
            <w:pPr>
              <w:pStyle w:val="Compact"/>
              <w:spacing w:line="240" w:lineRule="auto"/>
            </w:pPr>
            <w:r>
              <w:rPr>
                <w:color w:val="0070C0"/>
                <w:sz w:val="22"/>
              </w:rPr>
              <w:t>15,07</w:t>
            </w:r>
          </w:p>
        </w:tc>
        <w:tc>
          <w:tcPr>
            <w:tcW w:w="1179" w:type="dxa"/>
          </w:tcPr>
          <w:p w:rsidR="005603EC" w:rsidRDefault="00AB61AC">
            <w:pPr>
              <w:pStyle w:val="Compact"/>
              <w:spacing w:line="240" w:lineRule="auto"/>
            </w:pPr>
            <w:r>
              <w:rPr>
                <w:color w:val="0070C0"/>
                <w:sz w:val="22"/>
              </w:rPr>
              <w:t>14,02</w:t>
            </w:r>
          </w:p>
        </w:tc>
        <w:tc>
          <w:tcPr>
            <w:tcW w:w="1179" w:type="dxa"/>
          </w:tcPr>
          <w:p w:rsidR="005603EC" w:rsidRDefault="00AB61AC">
            <w:pPr>
              <w:pStyle w:val="Compact"/>
              <w:spacing w:line="240" w:lineRule="auto"/>
            </w:pPr>
            <w:r>
              <w:rPr>
                <w:color w:val="0070C0"/>
                <w:sz w:val="22"/>
              </w:rPr>
              <w:t>13,11</w:t>
            </w:r>
          </w:p>
        </w:tc>
      </w:tr>
      <w:tr w:rsidR="005603EC" w:rsidTr="005603EC">
        <w:trPr>
          <w:cantSplit/>
        </w:trPr>
        <w:tc>
          <w:tcPr>
            <w:tcW w:w="3402" w:type="dxa"/>
          </w:tcPr>
          <w:p w:rsidR="005603EC" w:rsidRDefault="00AB61AC">
            <w:pPr>
              <w:pStyle w:val="Compact"/>
              <w:spacing w:line="240" w:lineRule="auto"/>
            </w:pPr>
            <w:r>
              <w:rPr>
                <w:color w:val="0070C0"/>
                <w:sz w:val="22"/>
              </w:rPr>
              <w:t>Yashirin kredit riski koeffitsiyenti</w:t>
            </w:r>
          </w:p>
        </w:tc>
        <w:tc>
          <w:tcPr>
            <w:tcW w:w="1179" w:type="dxa"/>
          </w:tcPr>
          <w:p w:rsidR="005603EC" w:rsidRDefault="00AB61AC">
            <w:pPr>
              <w:pStyle w:val="Compact"/>
              <w:spacing w:line="240" w:lineRule="auto"/>
            </w:pPr>
            <w:r>
              <w:rPr>
                <w:color w:val="0070C0"/>
                <w:sz w:val="22"/>
              </w:rPr>
              <w:t>2,46</w:t>
            </w:r>
          </w:p>
        </w:tc>
        <w:tc>
          <w:tcPr>
            <w:tcW w:w="1179" w:type="dxa"/>
          </w:tcPr>
          <w:p w:rsidR="005603EC" w:rsidRDefault="00AB61AC">
            <w:pPr>
              <w:pStyle w:val="Compact"/>
              <w:spacing w:line="240" w:lineRule="auto"/>
            </w:pPr>
            <w:r>
              <w:rPr>
                <w:color w:val="0070C0"/>
                <w:sz w:val="22"/>
              </w:rPr>
              <w:t>4,90</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2,83</w:t>
            </w:r>
          </w:p>
        </w:tc>
      </w:tr>
    </w:tbl>
    <w:p w:rsidR="005603EC" w:rsidRDefault="00AB61AC">
      <w:pPr>
        <w:pStyle w:val="af"/>
        <w:spacing w:after="0" w:line="360" w:lineRule="auto"/>
        <w:ind w:firstLine="709"/>
        <w:jc w:val="both"/>
      </w:pPr>
      <w:r>
        <w:rPr>
          <w:color w:val="0070C0"/>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color w:val="0070C0"/>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color w:val="0070C0"/>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color w:val="0070C0"/>
        </w:rPr>
        <w:footnoteReference w:id="371"/>
      </w:r>
      <w:r>
        <w:rPr>
          <w:color w:val="0070C0"/>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2"/>
      </w:r>
      <w:r>
        <w:t>, Markaziy bank tomonidan qabul qilingan “yo‘l xaritasi”da esa aktivlar tasnifi va zaxiralarni MHXS 9 ga moslashtirish ishlari belgilangan</w:t>
      </w:r>
      <w:r>
        <w:rPr>
          <w:rStyle w:val="aff8"/>
        </w:rPr>
        <w:footnoteReference w:id="373"/>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color w:val="0070C0"/>
        </w:rPr>
        <w:t xml:space="preserve"> (bu uchta davlat banki – “O‘zsanoatqurilishbank”, “Mikrokreditbank” va “Aloqabank” ATBlari misolida tasdiqlandi)</w:t>
      </w:r>
      <w:r>
        <w:t>,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color w:val="0070C0"/>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color w:val="0070C0"/>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4"/>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5"/>
      </w:r>
      <w:r>
        <w:rPr>
          <w:rStyle w:val="aff8"/>
        </w:rPr>
        <w:footnoteReference w:id="376"/>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7"/>
      </w:r>
      <w:r>
        <w:t>.</w:t>
      </w:r>
    </w:p>
    <w:p w:rsidR="005603EC" w:rsidRDefault="00AB61AC">
      <w:pPr>
        <w:pStyle w:val="af"/>
        <w:spacing w:after="0" w:line="360" w:lineRule="auto"/>
        <w:ind w:firstLine="709"/>
        <w:jc w:val="both"/>
      </w:pPr>
      <w:r>
        <w:t>Metodikaga qo‘yiladigan talablarni aniqlash uchun ikkinchi bobda 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2.3-§: yashirin kredit riski koeffitsiyenti 1,65–3,30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2.3-§: CET1 10,21% o‘rniga 8,87%</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2.3-§: NSFR metodika farqi 5,4 foiz punkt, LCR da banklardagi mablag‘lar 30,9%</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2.1-§: normativlar faqat bajarilgan yoki bajarilmagani bo‘yicha nazorat qilinadi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2.2-§: “Mikrokreditbank” ATB qayta kapitallashtirilgan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eb6834" strokecolor="#eb6834" strokeweight="1pt">
                  <v:textbox inset="1mm,.5mm,1mm,.5mm">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2a78d6" strokecolor="#2a78d6" strokeweight="1pt">
                  <v:textbox inset="1mm,.5mm,1mm,.5mm">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7030a0" strokecolor="#7030a0" strokeweight="1pt">
                  <v:textbox inset="1mm,.5mm,1mm,.5mm">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c00000" strokecolor="#c00000" strokeweight="1pt">
                  <v:textbox inset="1mm,.5mm,1mm,.5mm">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9"/>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80"/>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1"/>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33"/>
        <w:gridCol w:w="1368"/>
        <w:gridCol w:w="1111"/>
        <w:gridCol w:w="1111"/>
        <w:gridCol w:w="1111"/>
        <w:gridCol w:w="111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rsidR="005603EC" w:rsidRDefault="00AB61AC">
            <w:pPr>
              <w:pStyle w:val="Compact"/>
              <w:spacing w:line="240" w:lineRule="auto"/>
              <w:jc w:val="center"/>
            </w:pPr>
            <w:r>
              <w:rPr>
                <w:b/>
                <w:sz w:val="22"/>
              </w:rPr>
              <w:t>Blok va ko‘rsatkich</w:t>
            </w:r>
          </w:p>
        </w:tc>
        <w:tc>
          <w:tcPr>
            <w:tcW w:w="1361" w:type="dxa"/>
            <w:shd w:val="clear" w:color="auto" w:fill="DEEBF7"/>
          </w:tcPr>
          <w:p w:rsidR="005603EC" w:rsidRDefault="00AB61AC">
            <w:pPr>
              <w:pStyle w:val="Compact"/>
              <w:spacing w:line="240" w:lineRule="auto"/>
              <w:jc w:val="center"/>
            </w:pPr>
            <w:r>
              <w:rPr>
                <w:b/>
                <w:sz w:val="22"/>
              </w:rPr>
              <w:t>Standart</w:t>
            </w:r>
          </w:p>
        </w:tc>
        <w:tc>
          <w:tcPr>
            <w:tcW w:w="1106" w:type="dxa"/>
            <w:shd w:val="clear" w:color="auto" w:fill="DEEBF7"/>
          </w:tcPr>
          <w:p w:rsidR="005603EC" w:rsidRDefault="00AB61AC">
            <w:pPr>
              <w:pStyle w:val="Compact"/>
              <w:spacing w:line="240" w:lineRule="auto"/>
              <w:jc w:val="center"/>
            </w:pPr>
            <w:r>
              <w:rPr>
                <w:b/>
                <w:sz w:val="22"/>
              </w:rPr>
              <w:t>1 ball</w:t>
            </w:r>
          </w:p>
        </w:tc>
        <w:tc>
          <w:tcPr>
            <w:tcW w:w="1106" w:type="dxa"/>
            <w:shd w:val="clear" w:color="auto" w:fill="DEEBF7"/>
          </w:tcPr>
          <w:p w:rsidR="005603EC" w:rsidRDefault="00AB61AC">
            <w:pPr>
              <w:pStyle w:val="Compact"/>
              <w:spacing w:line="240" w:lineRule="auto"/>
              <w:jc w:val="center"/>
            </w:pPr>
            <w:r>
              <w:rPr>
                <w:b/>
                <w:sz w:val="22"/>
              </w:rPr>
              <w:t>2 ball</w:t>
            </w:r>
          </w:p>
        </w:tc>
        <w:tc>
          <w:tcPr>
            <w:tcW w:w="1106" w:type="dxa"/>
            <w:shd w:val="clear" w:color="auto" w:fill="DEEBF7"/>
          </w:tcPr>
          <w:p w:rsidR="005603EC" w:rsidRDefault="00AB61AC">
            <w:pPr>
              <w:pStyle w:val="Compact"/>
              <w:spacing w:line="240" w:lineRule="auto"/>
              <w:jc w:val="center"/>
            </w:pPr>
            <w:r>
              <w:rPr>
                <w:b/>
                <w:sz w:val="22"/>
              </w:rPr>
              <w:t>3 ball</w:t>
            </w:r>
          </w:p>
        </w:tc>
        <w:tc>
          <w:tcPr>
            <w:tcW w:w="1106"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Kapital yetarliligi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K1. Birinchi darajali asosiy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4,5</w:t>
            </w:r>
          </w:p>
        </w:tc>
        <w:tc>
          <w:tcPr>
            <w:tcW w:w="1106" w:type="dxa"/>
          </w:tcPr>
          <w:p w:rsidR="005603EC" w:rsidRDefault="00AB61AC">
            <w:pPr>
              <w:pStyle w:val="Compact"/>
              <w:spacing w:line="240" w:lineRule="auto"/>
              <w:jc w:val="center"/>
            </w:pPr>
            <w:r>
              <w:rPr>
                <w:sz w:val="22"/>
              </w:rPr>
              <w:t>7,0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 10,5</w:t>
            </w:r>
          </w:p>
        </w:tc>
      </w:tr>
      <w:tr w:rsidR="005603EC" w:rsidTr="005603EC">
        <w:trPr>
          <w:cantSplit/>
        </w:trPr>
        <w:tc>
          <w:tcPr>
            <w:tcW w:w="3515" w:type="dxa"/>
          </w:tcPr>
          <w:p w:rsidR="005603EC" w:rsidRDefault="00AB61AC">
            <w:pPr>
              <w:pStyle w:val="Compact"/>
              <w:spacing w:line="240" w:lineRule="auto"/>
            </w:pPr>
            <w:r>
              <w:rPr>
                <w:sz w:val="22"/>
              </w:rPr>
              <w:t>K2. Regulyativ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8,0</w:t>
            </w:r>
          </w:p>
        </w:tc>
        <w:tc>
          <w:tcPr>
            <w:tcW w:w="1106" w:type="dxa"/>
          </w:tcPr>
          <w:p w:rsidR="005603EC" w:rsidRDefault="00AB61AC">
            <w:pPr>
              <w:pStyle w:val="Compact"/>
              <w:spacing w:line="240" w:lineRule="auto"/>
              <w:jc w:val="center"/>
            </w:pPr>
            <w:r>
              <w:rPr>
                <w:sz w:val="22"/>
              </w:rPr>
              <w:t>10,5</w:t>
            </w:r>
          </w:p>
        </w:tc>
        <w:tc>
          <w:tcPr>
            <w:tcW w:w="1106" w:type="dxa"/>
          </w:tcPr>
          <w:p w:rsidR="005603EC" w:rsidRDefault="00AB61AC">
            <w:pPr>
              <w:pStyle w:val="Compact"/>
              <w:spacing w:line="240" w:lineRule="auto"/>
              <w:jc w:val="center"/>
            </w:pPr>
            <w:r>
              <w:rPr>
                <w:sz w:val="22"/>
              </w:rPr>
              <w:t>13,0</w:t>
            </w:r>
          </w:p>
        </w:tc>
        <w:tc>
          <w:tcPr>
            <w:tcW w:w="1106" w:type="dxa"/>
          </w:tcPr>
          <w:p w:rsidR="005603EC" w:rsidRDefault="00AB61AC">
            <w:pPr>
              <w:pStyle w:val="Compact"/>
              <w:spacing w:line="240" w:lineRule="auto"/>
              <w:jc w:val="center"/>
            </w:pPr>
            <w:r>
              <w:rPr>
                <w:sz w:val="22"/>
              </w:rPr>
              <w:t>≥ 15,5</w:t>
            </w:r>
          </w:p>
        </w:tc>
      </w:tr>
      <w:tr w:rsidR="005603EC" w:rsidTr="005603EC">
        <w:trPr>
          <w:cantSplit/>
        </w:trPr>
        <w:tc>
          <w:tcPr>
            <w:tcW w:w="3515" w:type="dxa"/>
          </w:tcPr>
          <w:p w:rsidR="005603EC" w:rsidRDefault="00AB61AC">
            <w:pPr>
              <w:pStyle w:val="Compact"/>
              <w:spacing w:line="240" w:lineRule="auto"/>
            </w:pPr>
            <w:r>
              <w:rPr>
                <w:sz w:val="22"/>
              </w:rPr>
              <w:t>K3. Kapital / aktivlar, %</w:t>
            </w:r>
          </w:p>
        </w:tc>
        <w:tc>
          <w:tcPr>
            <w:tcW w:w="1361" w:type="dxa"/>
          </w:tcPr>
          <w:p w:rsidR="005603EC" w:rsidRDefault="00AB61AC">
            <w:pPr>
              <w:pStyle w:val="Compact"/>
              <w:spacing w:line="240" w:lineRule="auto"/>
              <w:jc w:val="center"/>
            </w:pPr>
            <w:r>
              <w:rPr>
                <w:sz w:val="22"/>
              </w:rPr>
              <w:t>XVJ, Bazel III</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Aktivlar sifati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A1. 3-bosqich kreditlari ulushi, %</w:t>
            </w:r>
          </w:p>
        </w:tc>
        <w:tc>
          <w:tcPr>
            <w:tcW w:w="1361" w:type="dxa"/>
          </w:tcPr>
          <w:p w:rsidR="005603EC" w:rsidRDefault="00AB61AC">
            <w:pPr>
              <w:pStyle w:val="Compact"/>
              <w:spacing w:line="240" w:lineRule="auto"/>
              <w:jc w:val="center"/>
            </w:pPr>
            <w:r>
              <w:rPr>
                <w:sz w:val="22"/>
              </w:rPr>
              <w:t>MHXS 9, XVJ</w:t>
            </w:r>
          </w:p>
        </w:tc>
        <w:tc>
          <w:tcPr>
            <w:tcW w:w="1106" w:type="dxa"/>
          </w:tcPr>
          <w:p w:rsidR="005603EC" w:rsidRDefault="00AB61AC">
            <w:pPr>
              <w:pStyle w:val="Compact"/>
              <w:spacing w:line="240" w:lineRule="auto"/>
              <w:jc w:val="center"/>
            </w:pPr>
            <w:r>
              <w:rPr>
                <w:sz w:val="22"/>
              </w:rPr>
              <w:t>≥ 15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 3</w:t>
            </w:r>
          </w:p>
        </w:tc>
      </w:tr>
      <w:tr w:rsidR="005603EC" w:rsidTr="005603EC">
        <w:trPr>
          <w:cantSplit/>
        </w:trPr>
        <w:tc>
          <w:tcPr>
            <w:tcW w:w="3515" w:type="dxa"/>
          </w:tcPr>
          <w:p w:rsidR="005603EC" w:rsidRDefault="00AB61AC">
            <w:pPr>
              <w:pStyle w:val="Compact"/>
              <w:spacing w:line="240" w:lineRule="auto"/>
            </w:pPr>
            <w:r>
              <w:rPr>
                <w:sz w:val="22"/>
              </w:rPr>
              <w:t>A2. 2-bosqich kreditlari ulushi, %</w:t>
            </w:r>
          </w:p>
        </w:tc>
        <w:tc>
          <w:tcPr>
            <w:tcW w:w="1361" w:type="dxa"/>
          </w:tcPr>
          <w:p w:rsidR="005603EC" w:rsidRDefault="00AB61AC">
            <w:pPr>
              <w:pStyle w:val="Compact"/>
              <w:spacing w:line="240" w:lineRule="auto"/>
              <w:jc w:val="center"/>
            </w:pPr>
            <w:r>
              <w:rPr>
                <w:sz w:val="22"/>
              </w:rPr>
              <w:t>MHXS 9</w:t>
            </w:r>
          </w:p>
        </w:tc>
        <w:tc>
          <w:tcPr>
            <w:tcW w:w="1106" w:type="dxa"/>
          </w:tcPr>
          <w:p w:rsidR="005603EC" w:rsidRDefault="00AB61AC">
            <w:pPr>
              <w:pStyle w:val="Compact"/>
              <w:spacing w:line="240" w:lineRule="auto"/>
              <w:jc w:val="center"/>
            </w:pPr>
            <w:r>
              <w:rPr>
                <w:sz w:val="22"/>
              </w:rPr>
              <w:t>≥ 35</w:t>
            </w:r>
          </w:p>
        </w:tc>
        <w:tc>
          <w:tcPr>
            <w:tcW w:w="1106" w:type="dxa"/>
          </w:tcPr>
          <w:p w:rsidR="005603EC" w:rsidRDefault="00AB61AC">
            <w:pPr>
              <w:pStyle w:val="Compact"/>
              <w:spacing w:line="240" w:lineRule="auto"/>
              <w:jc w:val="center"/>
            </w:pPr>
            <w:r>
              <w:rPr>
                <w:sz w:val="22"/>
              </w:rPr>
              <w:t>25</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10</w:t>
            </w:r>
          </w:p>
        </w:tc>
      </w:tr>
      <w:tr w:rsidR="005603EC" w:rsidTr="005603EC">
        <w:trPr>
          <w:cantSplit/>
        </w:trPr>
        <w:tc>
          <w:tcPr>
            <w:tcW w:w="3515" w:type="dxa"/>
          </w:tcPr>
          <w:p w:rsidR="005603EC" w:rsidRDefault="00AB61AC">
            <w:pPr>
              <w:pStyle w:val="Compact"/>
              <w:spacing w:line="240" w:lineRule="auto"/>
            </w:pPr>
            <w:r>
              <w:rPr>
                <w:sz w:val="22"/>
              </w:rPr>
              <w:t>A3. Zaxira bilan qoplanmagan muammoli kreditlar / kapital,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20</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Likvidlik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L1. Yuqori likvid aktivlar / jami aktivlar,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L2. Kreditlar / mijozlar depozitlari,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200</w:t>
            </w:r>
          </w:p>
        </w:tc>
        <w:tc>
          <w:tcPr>
            <w:tcW w:w="1106" w:type="dxa"/>
          </w:tcPr>
          <w:p w:rsidR="005603EC" w:rsidRDefault="00AB61AC">
            <w:pPr>
              <w:pStyle w:val="Compact"/>
              <w:spacing w:line="240" w:lineRule="auto"/>
              <w:jc w:val="center"/>
            </w:pPr>
            <w:r>
              <w:rPr>
                <w:sz w:val="22"/>
              </w:rPr>
              <w:t>150</w:t>
            </w:r>
          </w:p>
        </w:tc>
        <w:tc>
          <w:tcPr>
            <w:tcW w:w="1106" w:type="dxa"/>
          </w:tcPr>
          <w:p w:rsidR="005603EC" w:rsidRDefault="00AB61AC">
            <w:pPr>
              <w:pStyle w:val="Compact"/>
              <w:spacing w:line="240" w:lineRule="auto"/>
              <w:jc w:val="center"/>
            </w:pPr>
            <w:r>
              <w:rPr>
                <w:sz w:val="22"/>
              </w:rPr>
              <w:t>100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Daromadlilik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D1. Aktivlar rentabelligi (ROA),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0,7</w:t>
            </w:r>
          </w:p>
        </w:tc>
        <w:tc>
          <w:tcPr>
            <w:tcW w:w="1106" w:type="dxa"/>
          </w:tcPr>
          <w:p w:rsidR="005603EC" w:rsidRDefault="00AB61AC">
            <w:pPr>
              <w:pStyle w:val="Compact"/>
              <w:spacing w:line="240" w:lineRule="auto"/>
              <w:jc w:val="center"/>
            </w:pPr>
            <w:r>
              <w:rPr>
                <w:sz w:val="22"/>
              </w:rPr>
              <w:t>1,4</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D2. Kapital rentabelligi (ROE),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15</w:t>
            </w:r>
          </w:p>
        </w:tc>
      </w:tr>
      <w:tr w:rsidR="005603EC" w:rsidTr="005603EC">
        <w:trPr>
          <w:cantSplit/>
        </w:trPr>
        <w:tc>
          <w:tcPr>
            <w:tcW w:w="3515" w:type="dxa"/>
          </w:tcPr>
          <w:p w:rsidR="005603EC" w:rsidRDefault="00AB61AC">
            <w:pPr>
              <w:pStyle w:val="Compact"/>
              <w:spacing w:line="240" w:lineRule="auto"/>
            </w:pPr>
            <w:r>
              <w:rPr>
                <w:sz w:val="22"/>
              </w:rPr>
              <w:t>D3. Xarajatlar / daromadlar,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100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45</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lastRenderedPageBreak/>
              <w:t>Valyuta riskiga sezgirlik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V1. Xorijiy valyutadagi kreditlar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65</w:t>
            </w:r>
          </w:p>
        </w:tc>
        <w:tc>
          <w:tcPr>
            <w:tcW w:w="1106" w:type="dxa"/>
          </w:tcPr>
          <w:p w:rsidR="005603EC" w:rsidRDefault="00AB61AC">
            <w:pPr>
              <w:pStyle w:val="Compact"/>
              <w:spacing w:line="240" w:lineRule="auto"/>
              <w:jc w:val="center"/>
            </w:pPr>
            <w:r>
              <w:rPr>
                <w:sz w:val="22"/>
              </w:rPr>
              <w:t>50</w:t>
            </w:r>
          </w:p>
        </w:tc>
        <w:tc>
          <w:tcPr>
            <w:tcW w:w="1106" w:type="dxa"/>
          </w:tcPr>
          <w:p w:rsidR="005603EC" w:rsidRDefault="00AB61AC">
            <w:pPr>
              <w:pStyle w:val="Compact"/>
              <w:spacing w:line="240" w:lineRule="auto"/>
              <w:jc w:val="center"/>
            </w:pPr>
            <w:r>
              <w:rPr>
                <w:sz w:val="22"/>
              </w:rPr>
              <w:t>35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V2. Xorijiy valyutadagi majburiyatlar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70</w:t>
            </w:r>
          </w:p>
        </w:tc>
        <w:tc>
          <w:tcPr>
            <w:tcW w:w="1106" w:type="dxa"/>
          </w:tcPr>
          <w:p w:rsidR="005603EC" w:rsidRDefault="00AB61AC">
            <w:pPr>
              <w:pStyle w:val="Compact"/>
              <w:spacing w:line="240" w:lineRule="auto"/>
              <w:jc w:val="center"/>
            </w:pPr>
            <w:r>
              <w:rPr>
                <w:sz w:val="22"/>
              </w:rPr>
              <w:t>55</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3"/>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4"/>
      </w:r>
      <w:r>
        <w:t xml:space="preserve"> olindi, 4 ball chegarasi esa tizimli ahamiyatga ega bank uchun qo‘shimcha talab va kontrsiklik bufer bilan birga Bazel III bo‘yicha talab qilinishi mumkin bo‘lgan 10,5 foiz darajasida belgilandi</w:t>
      </w:r>
      <w:r>
        <w:rPr>
          <w:rStyle w:val="aff8"/>
        </w:rPr>
        <w:footnoteReference w:id="385"/>
      </w:r>
      <w:r>
        <w:rPr>
          <w:rStyle w:val="aff8"/>
        </w:rPr>
        <w:footnoteReference w:id="386"/>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7"/>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8"/>
      </w:r>
      <w:r>
        <w:t>, 10 foiz esa O.I. Lavrushin tahriri ostidagi monografiyada salbiy vaziyat darakchisi sifatida ko‘rsatilgan qiymatga mos keladi</w:t>
      </w:r>
      <w:r>
        <w:rPr>
          <w:rStyle w:val="aff8"/>
        </w:rPr>
        <w:footnoteReference w:id="389"/>
      </w:r>
      <w:r>
        <w:t>. 2-bosqich kreditlari ulushi uchun milliy amaliyotda tayyor mezon yo‘qligi sababli chegaralar ikkinchi bobda aniqlangan qiymatlar oralig‘i asosida belgilandi.</w:t>
      </w:r>
      <w:r>
        <w:rPr>
          <w:color w:val="FF0000"/>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color w:val="FF0000"/>
        </w:rPr>
        <w:footnoteReference w:id="390"/>
      </w:r>
      <w:r>
        <w:rPr>
          <w:color w:val="FF0000"/>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1"/>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2"/>
      </w:r>
      <w:r>
        <w:rPr>
          <w:rStyle w:val="aff8"/>
        </w:rPr>
        <w:footnoteReference w:id="393"/>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color w:val="FF0000"/>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color w:val="FF0000"/>
        </w:rPr>
        <w:footnoteReference w:id="394"/>
      </w:r>
      <w:r>
        <w:rPr>
          <w:rStyle w:val="aff8"/>
        </w:rPr>
        <w:footnoteReference w:id="395"/>
      </w:r>
      <w:r>
        <w:t xml:space="preserve">. Kreditlarning depozitlarga nisbati uchun esa likvidlik nizomida </w:t>
      </w:r>
      <w:r>
        <w:rPr>
          <w:highlight w:val="green"/>
        </w:rPr>
        <w:t>undan oshishi muammo belgisi deb ko‘rsatilgan 80 foizlik daraja</w:t>
      </w:r>
      <w:r>
        <w:rPr>
          <w:rStyle w:val="aff8"/>
        </w:rPr>
        <w:footnoteReference w:id="396"/>
      </w:r>
      <w:r>
        <w:t xml:space="preserve"> va xalqaro amaliyotdagi kritik daraja – 100 foiz</w:t>
      </w:r>
      <w:r>
        <w:rPr>
          <w:rStyle w:val="aff8"/>
        </w:rPr>
        <w:footnoteReference w:id="397"/>
      </w:r>
      <w:r>
        <w:t xml:space="preserve"> asos qilib olindi. Daromadlilik blokida aktivlar rentabelligi chegaralari Rossiya Banki shkalasidan (0; 0,7; 1,4 foiz) olindi</w:t>
      </w:r>
      <w:r>
        <w:rPr>
          <w:rStyle w:val="aff8"/>
        </w:rPr>
        <w:footnoteReference w:id="398"/>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9"/>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400"/>
      </w:r>
      <w:r>
        <w:t>.</w:t>
      </w:r>
    </w:p>
    <w:p w:rsidR="005603EC" w:rsidRDefault="00AB61AC">
      <w:pPr>
        <w:pStyle w:val="af"/>
        <w:spacing w:after="0" w:line="360" w:lineRule="auto"/>
        <w:ind w:firstLine="709"/>
        <w:jc w:val="both"/>
      </w:pPr>
      <w:r>
        <w:lastRenderedPageBreak/>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rsidR="005603EC" w:rsidRDefault="00AB61AC">
      <w:pPr>
        <w:pStyle w:val="af"/>
        <w:spacing w:after="0" w:line="360" w:lineRule="auto"/>
        <w:ind w:firstLine="709"/>
        <w:jc w:val="both"/>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 </w:t>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color w:val="FF0000"/>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1"/>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2"/>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color w:val="FF0000"/>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403"/>
      </w:r>
      <w:r>
        <w:t>. Rossiyadagi reyting metodikalarini tahlil qilgan mualliflar ham vaznlar ko‘pincha asoslanmagan ekspert yo‘li bilan belgilanishini qayd etgan</w:t>
      </w:r>
      <w:r>
        <w:rPr>
          <w:rStyle w:val="aff8"/>
        </w:rPr>
        <w:footnoteReference w:id="404"/>
      </w:r>
      <w:r>
        <w:t>. Shu sababli taklif etilayotgan vaznlar uch manba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6"/>
      </w:r>
      <w:r>
        <w:t xml:space="preserve"> yaqin, biroq </w:t>
      </w:r>
      <w:r>
        <w:rPr>
          <w:highlight w:val="green"/>
        </w:rPr>
        <w:t>asosan ikki</w:t>
      </w:r>
      <w: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7"/>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color w:val="FF0000"/>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color w:val="FF0000"/>
                <w:sz w:val="22"/>
              </w:rPr>
              <w:t>3,25 ≤ MBII ≤ 4,00</w:t>
            </w:r>
          </w:p>
        </w:tc>
        <w:tc>
          <w:tcPr>
            <w:tcW w:w="2948" w:type="dxa"/>
          </w:tcPr>
          <w:p w:rsidR="005603EC" w:rsidRDefault="00AB61AC">
            <w:pPr>
              <w:pStyle w:val="Compact"/>
              <w:spacing w:line="240" w:lineRule="auto"/>
            </w:pPr>
            <w:r>
              <w:rPr>
                <w:sz w:val="22"/>
              </w:rPr>
              <w:t>Barcha bloklar xalqaro mezonlardan yuqori, zaxira yetarli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color w:val="FF0000"/>
                <w:sz w:val="22"/>
              </w:rPr>
              <w:t>2,50 ≤ MBII &lt; 3,25</w:t>
            </w:r>
          </w:p>
        </w:tc>
        <w:tc>
          <w:tcPr>
            <w:tcW w:w="2948" w:type="dxa"/>
          </w:tcPr>
          <w:p w:rsidR="005603EC" w:rsidRDefault="00AB61AC">
            <w:pPr>
              <w:pStyle w:val="Compact"/>
              <w:spacing w:line="240" w:lineRule="auto"/>
            </w:pPr>
            <w:r>
              <w:rPr>
                <w:sz w:val="22"/>
              </w:rPr>
              <w:t>Ayrim bloklarda zaiflik, ammo me’yorlar bajariladi</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color w:val="FF0000"/>
                <w:sz w:val="22"/>
              </w:rPr>
              <w:t>1,75 ≤ MBII &lt; 2,50</w:t>
            </w:r>
          </w:p>
        </w:tc>
        <w:tc>
          <w:tcPr>
            <w:tcW w:w="2948" w:type="dxa"/>
          </w:tcPr>
          <w:p w:rsidR="005603EC" w:rsidRDefault="00AB61AC">
            <w:pPr>
              <w:pStyle w:val="Compact"/>
              <w:spacing w:line="240" w:lineRule="auto"/>
            </w:pPr>
            <w:r>
              <w:rPr>
                <w:sz w:val="22"/>
              </w:rPr>
              <w:t>Bir nechta blokda me’yorga yaqin yoki undan past qiymatlar</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color w:val="FF0000"/>
                <w:sz w:val="22"/>
              </w:rPr>
              <w:t>1,00 ≤ MBII &lt; 1,75</w:t>
            </w:r>
          </w:p>
        </w:tc>
        <w:tc>
          <w:tcPr>
            <w:tcW w:w="2948" w:type="dxa"/>
          </w:tcPr>
          <w:p w:rsidR="005603EC" w:rsidRDefault="00AB61AC">
            <w:pPr>
              <w:pStyle w:val="Compact"/>
              <w:spacing w:line="240" w:lineRule="auto"/>
            </w:pPr>
            <w:r>
              <w:rPr>
                <w:sz w:val="22"/>
              </w:rPr>
              <w:t>Ko‘pchilik bloklarda me’yorlar buzilgan</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9"/>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“O‘zsanoatqurilishbank” ATB va “Mikrokreditbank” ATB ko‘rsatkichlari va ballari, 2025-yil yakuni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90"/>
        <w:gridCol w:w="1538"/>
        <w:gridCol w:w="1539"/>
        <w:gridCol w:w="1539"/>
        <w:gridCol w:w="153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rsidR="005603EC" w:rsidRDefault="00AB61AC">
            <w:pPr>
              <w:pStyle w:val="Compact"/>
              <w:spacing w:line="240" w:lineRule="auto"/>
              <w:jc w:val="center"/>
            </w:pPr>
            <w:r>
              <w:rPr>
                <w:b/>
                <w:sz w:val="22"/>
              </w:rPr>
              <w:t>Ko‘rsatkich</w:t>
            </w:r>
          </w:p>
        </w:tc>
        <w:tc>
          <w:tcPr>
            <w:tcW w:w="1531" w:type="dxa"/>
            <w:shd w:val="clear" w:color="auto" w:fill="DEEBF7"/>
          </w:tcPr>
          <w:p w:rsidR="005603EC" w:rsidRDefault="00AB61AC">
            <w:pPr>
              <w:pStyle w:val="Compact"/>
              <w:spacing w:line="240" w:lineRule="auto"/>
              <w:jc w:val="center"/>
            </w:pPr>
            <w:r>
              <w:rPr>
                <w:b/>
                <w:sz w:val="22"/>
              </w:rPr>
              <w:t>SQB: milliy</w:t>
            </w:r>
          </w:p>
        </w:tc>
        <w:tc>
          <w:tcPr>
            <w:tcW w:w="1531" w:type="dxa"/>
            <w:shd w:val="clear" w:color="auto" w:fill="DEEBF7"/>
          </w:tcPr>
          <w:p w:rsidR="005603EC" w:rsidRDefault="00AB61AC">
            <w:pPr>
              <w:pStyle w:val="Compact"/>
              <w:spacing w:line="240" w:lineRule="auto"/>
              <w:jc w:val="center"/>
            </w:pPr>
            <w:r>
              <w:rPr>
                <w:b/>
                <w:sz w:val="22"/>
              </w:rPr>
              <w:t>SQB: MHXS</w:t>
            </w:r>
          </w:p>
        </w:tc>
        <w:tc>
          <w:tcPr>
            <w:tcW w:w="1531" w:type="dxa"/>
            <w:shd w:val="clear" w:color="auto" w:fill="DEEBF7"/>
          </w:tcPr>
          <w:p w:rsidR="005603EC" w:rsidRDefault="00AB61AC">
            <w:pPr>
              <w:pStyle w:val="Compact"/>
              <w:spacing w:line="240" w:lineRule="auto"/>
              <w:jc w:val="center"/>
            </w:pPr>
            <w:r>
              <w:rPr>
                <w:b/>
                <w:sz w:val="22"/>
              </w:rPr>
              <w:t>MKB: milliy</w:t>
            </w:r>
          </w:p>
        </w:tc>
        <w:tc>
          <w:tcPr>
            <w:tcW w:w="1531" w:type="dxa"/>
            <w:shd w:val="clear" w:color="auto" w:fill="DEEBF7"/>
          </w:tcPr>
          <w:p w:rsidR="005603EC" w:rsidRDefault="00AB61AC">
            <w:pPr>
              <w:pStyle w:val="Compact"/>
              <w:spacing w:line="240" w:lineRule="auto"/>
              <w:jc w:val="center"/>
            </w:pPr>
            <w:r>
              <w:rPr>
                <w:b/>
                <w:sz w:val="22"/>
              </w:rPr>
              <w:t>MKB: MHXS</w:t>
            </w:r>
          </w:p>
        </w:tc>
      </w:tr>
      <w:tr w:rsidR="005603EC" w:rsidTr="005603EC">
        <w:trPr>
          <w:cantSplit/>
        </w:trPr>
        <w:tc>
          <w:tcPr>
            <w:tcW w:w="3175" w:type="dxa"/>
          </w:tcPr>
          <w:p w:rsidR="005603EC" w:rsidRDefault="00AB61AC">
            <w:pPr>
              <w:pStyle w:val="Compact"/>
              <w:spacing w:line="240" w:lineRule="auto"/>
            </w:pPr>
            <w:r>
              <w:rPr>
                <w:sz w:val="22"/>
              </w:rPr>
              <w:t>K1. CET1 monandligi, %</w:t>
            </w:r>
          </w:p>
        </w:tc>
        <w:tc>
          <w:tcPr>
            <w:tcW w:w="1531" w:type="dxa"/>
          </w:tcPr>
          <w:p w:rsidR="005603EC" w:rsidRDefault="00AB61AC">
            <w:pPr>
              <w:pStyle w:val="Compact"/>
              <w:spacing w:line="240" w:lineRule="auto"/>
              <w:jc w:val="center"/>
            </w:pPr>
            <w:r>
              <w:rPr>
                <w:sz w:val="22"/>
              </w:rPr>
              <w:t>10,21 (3,88)</w:t>
            </w:r>
          </w:p>
        </w:tc>
        <w:tc>
          <w:tcPr>
            <w:tcW w:w="1531" w:type="dxa"/>
          </w:tcPr>
          <w:p w:rsidR="005603EC" w:rsidRDefault="00AB61AC">
            <w:pPr>
              <w:pStyle w:val="Compact"/>
              <w:spacing w:line="240" w:lineRule="auto"/>
              <w:jc w:val="center"/>
            </w:pPr>
            <w:r>
              <w:rPr>
                <w:color w:val="FF0000"/>
                <w:sz w:val="22"/>
              </w:rPr>
              <w:t>8,87 (3,35)</w:t>
            </w:r>
          </w:p>
        </w:tc>
        <w:tc>
          <w:tcPr>
            <w:tcW w:w="1531" w:type="dxa"/>
          </w:tcPr>
          <w:p w:rsidR="005603EC" w:rsidRDefault="00AB61AC">
            <w:pPr>
              <w:pStyle w:val="Compact"/>
              <w:spacing w:line="240" w:lineRule="auto"/>
              <w:jc w:val="center"/>
            </w:pPr>
            <w:r>
              <w:rPr>
                <w:sz w:val="22"/>
              </w:rPr>
              <w:t>16,39 (4,00)</w:t>
            </w:r>
          </w:p>
        </w:tc>
        <w:tc>
          <w:tcPr>
            <w:tcW w:w="1531" w:type="dxa"/>
          </w:tcPr>
          <w:p w:rsidR="005603EC" w:rsidRDefault="00AB61AC">
            <w:pPr>
              <w:pStyle w:val="Compact"/>
              <w:spacing w:line="240" w:lineRule="auto"/>
              <w:jc w:val="center"/>
            </w:pPr>
            <w:r>
              <w:rPr>
                <w:color w:val="FF0000"/>
                <w:sz w:val="22"/>
              </w:rPr>
              <w:t>18,24 (4,00)</w:t>
            </w:r>
          </w:p>
        </w:tc>
      </w:tr>
      <w:tr w:rsidR="005603EC" w:rsidTr="005603EC">
        <w:trPr>
          <w:cantSplit/>
        </w:trPr>
        <w:tc>
          <w:tcPr>
            <w:tcW w:w="3175" w:type="dxa"/>
          </w:tcPr>
          <w:p w:rsidR="005603EC" w:rsidRDefault="00AB61AC">
            <w:pPr>
              <w:pStyle w:val="Compact"/>
              <w:spacing w:line="240" w:lineRule="auto"/>
            </w:pPr>
            <w:r>
              <w:rPr>
                <w:sz w:val="22"/>
              </w:rPr>
              <w:lastRenderedPageBreak/>
              <w:t>K2. Regulyativ kapital monandligi, %</w:t>
            </w:r>
          </w:p>
        </w:tc>
        <w:tc>
          <w:tcPr>
            <w:tcW w:w="1531" w:type="dxa"/>
          </w:tcPr>
          <w:p w:rsidR="005603EC" w:rsidRDefault="00AB61AC">
            <w:pPr>
              <w:pStyle w:val="Compact"/>
              <w:spacing w:line="240" w:lineRule="auto"/>
              <w:jc w:val="center"/>
            </w:pPr>
            <w:r>
              <w:rPr>
                <w:sz w:val="22"/>
              </w:rPr>
              <w:t>17,02 (4,00)</w:t>
            </w:r>
          </w:p>
        </w:tc>
        <w:tc>
          <w:tcPr>
            <w:tcW w:w="1531" w:type="dxa"/>
          </w:tcPr>
          <w:p w:rsidR="005603EC" w:rsidRDefault="00AB61AC">
            <w:pPr>
              <w:pStyle w:val="Compact"/>
              <w:spacing w:line="240" w:lineRule="auto"/>
              <w:jc w:val="center"/>
            </w:pPr>
            <w:r>
              <w:rPr>
                <w:color w:val="FF0000"/>
                <w:sz w:val="22"/>
              </w:rPr>
              <w:t>15,32 (3,93)</w:t>
            </w:r>
          </w:p>
        </w:tc>
        <w:tc>
          <w:tcPr>
            <w:tcW w:w="1531" w:type="dxa"/>
          </w:tcPr>
          <w:p w:rsidR="005603EC" w:rsidRDefault="00AB61AC">
            <w:pPr>
              <w:pStyle w:val="Compact"/>
              <w:spacing w:line="240" w:lineRule="auto"/>
              <w:jc w:val="center"/>
            </w:pPr>
            <w:r>
              <w:rPr>
                <w:sz w:val="22"/>
              </w:rPr>
              <w:t>18,46 (4,00)</w:t>
            </w:r>
          </w:p>
        </w:tc>
        <w:tc>
          <w:tcPr>
            <w:tcW w:w="1531" w:type="dxa"/>
          </w:tcPr>
          <w:p w:rsidR="005603EC" w:rsidRDefault="00AB61AC">
            <w:pPr>
              <w:pStyle w:val="Compact"/>
              <w:spacing w:line="240" w:lineRule="auto"/>
              <w:jc w:val="center"/>
            </w:pPr>
            <w:r>
              <w:rPr>
                <w:color w:val="FF0000"/>
                <w:sz w:val="22"/>
              </w:rPr>
              <w:t>19,96 (4,00)</w:t>
            </w:r>
          </w:p>
        </w:tc>
      </w:tr>
      <w:tr w:rsidR="005603EC" w:rsidTr="005603EC">
        <w:trPr>
          <w:cantSplit/>
        </w:trPr>
        <w:tc>
          <w:tcPr>
            <w:tcW w:w="3175" w:type="dxa"/>
          </w:tcPr>
          <w:p w:rsidR="005603EC" w:rsidRDefault="00AB61AC">
            <w:pPr>
              <w:pStyle w:val="Compact"/>
              <w:spacing w:line="240" w:lineRule="auto"/>
            </w:pPr>
            <w:r>
              <w:rPr>
                <w:sz w:val="22"/>
              </w:rPr>
              <w:t>K3. Kapital / aktivlar, %</w:t>
            </w:r>
          </w:p>
        </w:tc>
        <w:tc>
          <w:tcPr>
            <w:tcW w:w="1531" w:type="dxa"/>
          </w:tcPr>
          <w:p w:rsidR="005603EC" w:rsidRDefault="00AB61AC">
            <w:pPr>
              <w:pStyle w:val="Compact"/>
              <w:spacing w:line="240" w:lineRule="auto"/>
              <w:jc w:val="center"/>
            </w:pPr>
            <w:r>
              <w:rPr>
                <w:sz w:val="22"/>
              </w:rPr>
              <w:t>11,6 (4,00)</w:t>
            </w:r>
          </w:p>
        </w:tc>
        <w:tc>
          <w:tcPr>
            <w:tcW w:w="1531" w:type="dxa"/>
          </w:tcPr>
          <w:p w:rsidR="005603EC" w:rsidRDefault="00AB61AC">
            <w:pPr>
              <w:pStyle w:val="Compact"/>
              <w:spacing w:line="240" w:lineRule="auto"/>
              <w:jc w:val="center"/>
            </w:pPr>
            <w:r>
              <w:rPr>
                <w:sz w:val="22"/>
              </w:rPr>
              <w:t>10,6 (4,00)</w:t>
            </w:r>
          </w:p>
        </w:tc>
        <w:tc>
          <w:tcPr>
            <w:tcW w:w="1531" w:type="dxa"/>
          </w:tcPr>
          <w:p w:rsidR="005603EC" w:rsidRDefault="00AB61AC">
            <w:pPr>
              <w:pStyle w:val="Compact"/>
              <w:spacing w:line="240" w:lineRule="auto"/>
              <w:jc w:val="center"/>
            </w:pPr>
            <w:r>
              <w:rPr>
                <w:sz w:val="22"/>
              </w:rPr>
              <w:t>18,7 (4,00)</w:t>
            </w:r>
          </w:p>
        </w:tc>
        <w:tc>
          <w:tcPr>
            <w:tcW w:w="1531" w:type="dxa"/>
          </w:tcPr>
          <w:p w:rsidR="005603EC" w:rsidRDefault="00AB61AC">
            <w:pPr>
              <w:pStyle w:val="Compact"/>
              <w:spacing w:line="240" w:lineRule="auto"/>
              <w:jc w:val="center"/>
            </w:pPr>
            <w:r>
              <w:rPr>
                <w:sz w:val="22"/>
              </w:rPr>
              <w:t>20,2 (4,00)</w:t>
            </w:r>
          </w:p>
        </w:tc>
      </w:tr>
      <w:tr w:rsidR="005603EC" w:rsidTr="005603EC">
        <w:trPr>
          <w:cantSplit/>
        </w:trPr>
        <w:tc>
          <w:tcPr>
            <w:tcW w:w="3175" w:type="dxa"/>
          </w:tcPr>
          <w:p w:rsidR="005603EC" w:rsidRDefault="00AB61AC">
            <w:pPr>
              <w:pStyle w:val="Compact"/>
              <w:spacing w:line="240" w:lineRule="auto"/>
            </w:pPr>
            <w:r>
              <w:rPr>
                <w:sz w:val="22"/>
              </w:rPr>
              <w:t>A1. Muammoli / 3-bosqich kreditlar, %</w:t>
            </w:r>
          </w:p>
        </w:tc>
        <w:tc>
          <w:tcPr>
            <w:tcW w:w="1531" w:type="dxa"/>
          </w:tcPr>
          <w:p w:rsidR="005603EC" w:rsidRDefault="00AB61AC">
            <w:pPr>
              <w:pStyle w:val="Compact"/>
              <w:spacing w:line="240" w:lineRule="auto"/>
              <w:jc w:val="center"/>
            </w:pPr>
            <w:r>
              <w:rPr>
                <w:sz w:val="22"/>
              </w:rPr>
              <w:t>2,5 (4,00)</w:t>
            </w:r>
          </w:p>
        </w:tc>
        <w:tc>
          <w:tcPr>
            <w:tcW w:w="1531" w:type="dxa"/>
          </w:tcPr>
          <w:p w:rsidR="005603EC" w:rsidRDefault="00AB61AC">
            <w:pPr>
              <w:pStyle w:val="Compact"/>
              <w:spacing w:line="240" w:lineRule="auto"/>
              <w:jc w:val="center"/>
            </w:pPr>
            <w:r>
              <w:rPr>
                <w:sz w:val="22"/>
              </w:rPr>
              <w:t>7,5 (2,50)</w:t>
            </w:r>
          </w:p>
        </w:tc>
        <w:tc>
          <w:tcPr>
            <w:tcW w:w="1531" w:type="dxa"/>
          </w:tcPr>
          <w:p w:rsidR="005603EC" w:rsidRDefault="00AB61AC">
            <w:pPr>
              <w:pStyle w:val="Compact"/>
              <w:spacing w:line="240" w:lineRule="auto"/>
              <w:jc w:val="center"/>
            </w:pPr>
            <w:r>
              <w:rPr>
                <w:sz w:val="22"/>
              </w:rPr>
              <w:t>4,4 (3,30)</w:t>
            </w:r>
          </w:p>
        </w:tc>
        <w:tc>
          <w:tcPr>
            <w:tcW w:w="1531" w:type="dxa"/>
          </w:tcPr>
          <w:p w:rsidR="005603EC" w:rsidRDefault="00AB61AC">
            <w:pPr>
              <w:pStyle w:val="Compact"/>
              <w:spacing w:line="240" w:lineRule="auto"/>
              <w:jc w:val="center"/>
            </w:pPr>
            <w:r>
              <w:rPr>
                <w:sz w:val="22"/>
              </w:rPr>
              <w:t>12,3 (1,53)</w:t>
            </w:r>
          </w:p>
        </w:tc>
      </w:tr>
      <w:tr w:rsidR="005603EC" w:rsidTr="005603EC">
        <w:trPr>
          <w:cantSplit/>
        </w:trPr>
        <w:tc>
          <w:tcPr>
            <w:tcW w:w="3175" w:type="dxa"/>
          </w:tcPr>
          <w:p w:rsidR="005603EC" w:rsidRDefault="00AB61AC">
            <w:pPr>
              <w:pStyle w:val="Compact"/>
              <w:spacing w:line="240" w:lineRule="auto"/>
            </w:pPr>
            <w:r>
              <w:rPr>
                <w:sz w:val="22"/>
              </w:rPr>
              <w:t>A2. Substandart / 2-bosqich kreditlar, %</w:t>
            </w:r>
          </w:p>
        </w:tc>
        <w:tc>
          <w:tcPr>
            <w:tcW w:w="1531" w:type="dxa"/>
          </w:tcPr>
          <w:p w:rsidR="005603EC" w:rsidRDefault="00AB61AC">
            <w:pPr>
              <w:pStyle w:val="Compact"/>
              <w:spacing w:line="240" w:lineRule="auto"/>
              <w:jc w:val="center"/>
            </w:pPr>
            <w:r>
              <w:rPr>
                <w:sz w:val="22"/>
              </w:rPr>
              <w:t>18,4 (2,66)</w:t>
            </w:r>
          </w:p>
        </w:tc>
        <w:tc>
          <w:tcPr>
            <w:tcW w:w="1531" w:type="dxa"/>
          </w:tcPr>
          <w:p w:rsidR="005603EC" w:rsidRDefault="00AB61AC">
            <w:pPr>
              <w:pStyle w:val="Compact"/>
              <w:spacing w:line="240" w:lineRule="auto"/>
              <w:jc w:val="center"/>
            </w:pPr>
            <w:r>
              <w:rPr>
                <w:sz w:val="22"/>
              </w:rPr>
              <w:t>35,7 (1,00)</w:t>
            </w:r>
          </w:p>
        </w:tc>
        <w:tc>
          <w:tcPr>
            <w:tcW w:w="1531" w:type="dxa"/>
          </w:tcPr>
          <w:p w:rsidR="005603EC" w:rsidRDefault="00AB61AC">
            <w:pPr>
              <w:pStyle w:val="Compact"/>
              <w:spacing w:line="240" w:lineRule="auto"/>
              <w:jc w:val="center"/>
            </w:pPr>
            <w:r>
              <w:rPr>
                <w:sz w:val="22"/>
              </w:rPr>
              <w:t>9,0 (4,00)</w:t>
            </w:r>
          </w:p>
        </w:tc>
        <w:tc>
          <w:tcPr>
            <w:tcW w:w="1531" w:type="dxa"/>
          </w:tcPr>
          <w:p w:rsidR="005603EC" w:rsidRDefault="00AB61AC">
            <w:pPr>
              <w:pStyle w:val="Compact"/>
              <w:spacing w:line="240" w:lineRule="auto"/>
              <w:jc w:val="center"/>
            </w:pPr>
            <w:r>
              <w:rPr>
                <w:sz w:val="22"/>
              </w:rPr>
              <w:t>25,3 (1,97)</w:t>
            </w:r>
          </w:p>
        </w:tc>
      </w:tr>
      <w:tr w:rsidR="005603EC" w:rsidTr="005603EC">
        <w:trPr>
          <w:cantSplit/>
        </w:trPr>
        <w:tc>
          <w:tcPr>
            <w:tcW w:w="3175" w:type="dxa"/>
          </w:tcPr>
          <w:p w:rsidR="005603EC" w:rsidRDefault="00AB61AC">
            <w:pPr>
              <w:pStyle w:val="Compact"/>
              <w:spacing w:line="240" w:lineRule="auto"/>
            </w:pPr>
            <w:r>
              <w:rPr>
                <w:sz w:val="22"/>
              </w:rPr>
              <w:t>A3. Qoplanmagan muammoli kreditlar / kapital, %</w:t>
            </w:r>
          </w:p>
        </w:tc>
        <w:tc>
          <w:tcPr>
            <w:tcW w:w="1531" w:type="dxa"/>
          </w:tcPr>
          <w:p w:rsidR="005603EC" w:rsidRDefault="00AB61AC">
            <w:pPr>
              <w:pStyle w:val="Compact"/>
              <w:spacing w:line="240" w:lineRule="auto"/>
              <w:jc w:val="center"/>
            </w:pPr>
            <w:r>
              <w:rPr>
                <w:sz w:val="22"/>
              </w:rPr>
              <w:t>−8,1 (4,00)</w:t>
            </w:r>
          </w:p>
        </w:tc>
        <w:tc>
          <w:tcPr>
            <w:tcW w:w="1531" w:type="dxa"/>
          </w:tcPr>
          <w:p w:rsidR="005603EC" w:rsidRDefault="00AB61AC">
            <w:pPr>
              <w:pStyle w:val="Compact"/>
              <w:spacing w:line="240" w:lineRule="auto"/>
              <w:jc w:val="center"/>
            </w:pPr>
            <w:r>
              <w:rPr>
                <w:sz w:val="22"/>
              </w:rPr>
              <w:t>6,5 (3,35)</w:t>
            </w:r>
          </w:p>
        </w:tc>
        <w:tc>
          <w:tcPr>
            <w:tcW w:w="1531" w:type="dxa"/>
          </w:tcPr>
          <w:p w:rsidR="005603EC" w:rsidRDefault="00AB61AC">
            <w:pPr>
              <w:pStyle w:val="Compact"/>
              <w:spacing w:line="240" w:lineRule="auto"/>
              <w:jc w:val="center"/>
            </w:pPr>
            <w:r>
              <w:rPr>
                <w:sz w:val="22"/>
              </w:rPr>
              <w:t>10,3 (2,97)</w:t>
            </w:r>
          </w:p>
        </w:tc>
        <w:tc>
          <w:tcPr>
            <w:tcW w:w="1531" w:type="dxa"/>
          </w:tcPr>
          <w:p w:rsidR="005603EC" w:rsidRDefault="00AB61AC">
            <w:pPr>
              <w:pStyle w:val="Compact"/>
              <w:spacing w:line="240" w:lineRule="auto"/>
              <w:jc w:val="center"/>
            </w:pPr>
            <w:r>
              <w:rPr>
                <w:sz w:val="22"/>
              </w:rPr>
              <w:t>29,1 (1,09)</w:t>
            </w:r>
          </w:p>
        </w:tc>
      </w:tr>
      <w:tr w:rsidR="005603EC" w:rsidTr="005603EC">
        <w:trPr>
          <w:cantSplit/>
        </w:trPr>
        <w:tc>
          <w:tcPr>
            <w:tcW w:w="3175" w:type="dxa"/>
          </w:tcPr>
          <w:p w:rsidR="005603EC" w:rsidRDefault="00AB61AC">
            <w:pPr>
              <w:pStyle w:val="Compact"/>
              <w:spacing w:line="240" w:lineRule="auto"/>
            </w:pPr>
            <w:r>
              <w:rPr>
                <w:sz w:val="22"/>
              </w:rPr>
              <w:t>L1. Yuqori likvid aktivlar / aktivlar, %</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15,5 (3,09)</w:t>
            </w:r>
          </w:p>
        </w:tc>
        <w:tc>
          <w:tcPr>
            <w:tcW w:w="1531" w:type="dxa"/>
          </w:tcPr>
          <w:p w:rsidR="005603EC" w:rsidRDefault="00AB61AC">
            <w:pPr>
              <w:pStyle w:val="Compact"/>
              <w:spacing w:line="240" w:lineRule="auto"/>
              <w:jc w:val="center"/>
            </w:pPr>
            <w:r>
              <w:rPr>
                <w:sz w:val="22"/>
              </w:rPr>
              <w:t>15,5 (3,09)</w:t>
            </w:r>
          </w:p>
        </w:tc>
      </w:tr>
      <w:tr w:rsidR="005603EC" w:rsidTr="005603EC">
        <w:trPr>
          <w:cantSplit/>
        </w:trPr>
        <w:tc>
          <w:tcPr>
            <w:tcW w:w="3175" w:type="dxa"/>
          </w:tcPr>
          <w:p w:rsidR="005603EC" w:rsidRDefault="00AB61AC">
            <w:pPr>
              <w:pStyle w:val="Compact"/>
              <w:spacing w:line="240" w:lineRule="auto"/>
            </w:pPr>
            <w:r>
              <w:rPr>
                <w:sz w:val="22"/>
              </w:rPr>
              <w:t>L2. Kreditlar / depozitlar, %</w:t>
            </w:r>
          </w:p>
        </w:tc>
        <w:tc>
          <w:tcPr>
            <w:tcW w:w="1531" w:type="dxa"/>
          </w:tcPr>
          <w:p w:rsidR="005603EC" w:rsidRDefault="00AB61AC">
            <w:pPr>
              <w:pStyle w:val="Compact"/>
              <w:spacing w:line="240" w:lineRule="auto"/>
              <w:jc w:val="center"/>
            </w:pPr>
            <w:r>
              <w:rPr>
                <w:sz w:val="22"/>
              </w:rPr>
              <w:t>206,5 (1,00)</w:t>
            </w:r>
          </w:p>
        </w:tc>
        <w:tc>
          <w:tcPr>
            <w:tcW w:w="1531" w:type="dxa"/>
          </w:tcPr>
          <w:p w:rsidR="005603EC" w:rsidRDefault="00AB61AC">
            <w:pPr>
              <w:pStyle w:val="Compact"/>
              <w:spacing w:line="240" w:lineRule="auto"/>
              <w:jc w:val="center"/>
            </w:pPr>
            <w:r>
              <w:rPr>
                <w:sz w:val="22"/>
              </w:rPr>
              <w:t>221,0 (1,00)</w:t>
            </w:r>
          </w:p>
        </w:tc>
        <w:tc>
          <w:tcPr>
            <w:tcW w:w="1531" w:type="dxa"/>
          </w:tcPr>
          <w:p w:rsidR="005603EC" w:rsidRDefault="00AB61AC">
            <w:pPr>
              <w:pStyle w:val="Compact"/>
              <w:spacing w:line="240" w:lineRule="auto"/>
              <w:jc w:val="center"/>
            </w:pPr>
            <w:r>
              <w:rPr>
                <w:sz w:val="22"/>
              </w:rPr>
              <w:t>208,5 (1,00)</w:t>
            </w:r>
          </w:p>
        </w:tc>
        <w:tc>
          <w:tcPr>
            <w:tcW w:w="1531" w:type="dxa"/>
          </w:tcPr>
          <w:p w:rsidR="005603EC" w:rsidRDefault="00AB61AC">
            <w:pPr>
              <w:pStyle w:val="Compact"/>
              <w:spacing w:line="240" w:lineRule="auto"/>
              <w:jc w:val="center"/>
            </w:pPr>
            <w:r>
              <w:rPr>
                <w:sz w:val="22"/>
              </w:rPr>
              <w:t>324,5 (1,00)</w:t>
            </w:r>
          </w:p>
        </w:tc>
      </w:tr>
      <w:tr w:rsidR="005603EC" w:rsidTr="005603EC">
        <w:trPr>
          <w:cantSplit/>
        </w:trPr>
        <w:tc>
          <w:tcPr>
            <w:tcW w:w="3175" w:type="dxa"/>
          </w:tcPr>
          <w:p w:rsidR="005603EC" w:rsidRDefault="00AB61AC">
            <w:pPr>
              <w:pStyle w:val="Compact"/>
              <w:spacing w:line="240" w:lineRule="auto"/>
            </w:pPr>
            <w:r>
              <w:rPr>
                <w:sz w:val="22"/>
              </w:rPr>
              <w:t>D1. ROA, %</w:t>
            </w:r>
          </w:p>
        </w:tc>
        <w:tc>
          <w:tcPr>
            <w:tcW w:w="1531" w:type="dxa"/>
          </w:tcPr>
          <w:p w:rsidR="005603EC" w:rsidRDefault="00AB61AC">
            <w:pPr>
              <w:pStyle w:val="Compact"/>
              <w:spacing w:line="240" w:lineRule="auto"/>
              <w:jc w:val="center"/>
            </w:pPr>
            <w:r>
              <w:rPr>
                <w:sz w:val="22"/>
              </w:rPr>
              <w:t>2,0 (3,96)</w:t>
            </w:r>
          </w:p>
        </w:tc>
        <w:tc>
          <w:tcPr>
            <w:tcW w:w="1531" w:type="dxa"/>
          </w:tcPr>
          <w:p w:rsidR="005603EC" w:rsidRDefault="00AB61AC">
            <w:pPr>
              <w:pStyle w:val="Compact"/>
              <w:spacing w:line="240" w:lineRule="auto"/>
              <w:jc w:val="center"/>
            </w:pPr>
            <w:r>
              <w:rPr>
                <w:sz w:val="22"/>
              </w:rPr>
              <w:t>1,7 (3,49)</w:t>
            </w:r>
          </w:p>
        </w:tc>
        <w:tc>
          <w:tcPr>
            <w:tcW w:w="1531" w:type="dxa"/>
          </w:tcPr>
          <w:p w:rsidR="005603EC" w:rsidRDefault="00AB61AC">
            <w:pPr>
              <w:pStyle w:val="Compact"/>
              <w:spacing w:line="240" w:lineRule="auto"/>
              <w:jc w:val="center"/>
            </w:pPr>
            <w:r>
              <w:rPr>
                <w:sz w:val="22"/>
              </w:rPr>
              <w:t>0,6 (1,85)</w:t>
            </w:r>
          </w:p>
        </w:tc>
        <w:tc>
          <w:tcPr>
            <w:tcW w:w="1531" w:type="dxa"/>
          </w:tcPr>
          <w:p w:rsidR="005603EC" w:rsidRDefault="00AB61AC">
            <w:pPr>
              <w:pStyle w:val="Compact"/>
              <w:spacing w:line="240" w:lineRule="auto"/>
              <w:jc w:val="center"/>
            </w:pPr>
            <w:r>
              <w:rPr>
                <w:sz w:val="22"/>
              </w:rPr>
              <w:t>0,2 (1,22)</w:t>
            </w:r>
          </w:p>
        </w:tc>
      </w:tr>
      <w:tr w:rsidR="005603EC" w:rsidTr="005603EC">
        <w:trPr>
          <w:cantSplit/>
        </w:trPr>
        <w:tc>
          <w:tcPr>
            <w:tcW w:w="3175" w:type="dxa"/>
          </w:tcPr>
          <w:p w:rsidR="005603EC" w:rsidRDefault="00AB61AC">
            <w:pPr>
              <w:pStyle w:val="Compact"/>
              <w:spacing w:line="240" w:lineRule="auto"/>
            </w:pPr>
            <w:r>
              <w:rPr>
                <w:sz w:val="22"/>
              </w:rPr>
              <w:t>D2. ROE, %</w:t>
            </w:r>
          </w:p>
        </w:tc>
        <w:tc>
          <w:tcPr>
            <w:tcW w:w="1531" w:type="dxa"/>
          </w:tcPr>
          <w:p w:rsidR="005603EC" w:rsidRDefault="00AB61AC">
            <w:pPr>
              <w:pStyle w:val="Compact"/>
              <w:spacing w:line="240" w:lineRule="auto"/>
              <w:jc w:val="center"/>
            </w:pPr>
            <w:r>
              <w:rPr>
                <w:sz w:val="22"/>
              </w:rPr>
              <w:t>17,2 (4,00)</w:t>
            </w:r>
          </w:p>
        </w:tc>
        <w:tc>
          <w:tcPr>
            <w:tcW w:w="1531" w:type="dxa"/>
          </w:tcPr>
          <w:p w:rsidR="005603EC" w:rsidRDefault="00AB61AC">
            <w:pPr>
              <w:pStyle w:val="Compact"/>
              <w:spacing w:line="240" w:lineRule="auto"/>
              <w:jc w:val="center"/>
            </w:pPr>
            <w:r>
              <w:rPr>
                <w:sz w:val="22"/>
              </w:rPr>
              <w:t>15,7 (4,00)</w:t>
            </w:r>
          </w:p>
        </w:tc>
        <w:tc>
          <w:tcPr>
            <w:tcW w:w="1531" w:type="dxa"/>
          </w:tcPr>
          <w:p w:rsidR="005603EC" w:rsidRDefault="00AB61AC">
            <w:pPr>
              <w:pStyle w:val="Compact"/>
              <w:spacing w:line="240" w:lineRule="auto"/>
              <w:jc w:val="center"/>
            </w:pPr>
            <w:r>
              <w:rPr>
                <w:sz w:val="22"/>
              </w:rPr>
              <w:t>3,5 (1,69)</w:t>
            </w:r>
          </w:p>
        </w:tc>
        <w:tc>
          <w:tcPr>
            <w:tcW w:w="1531" w:type="dxa"/>
          </w:tcPr>
          <w:p w:rsidR="005603EC" w:rsidRDefault="00AB61AC">
            <w:pPr>
              <w:pStyle w:val="Compact"/>
              <w:spacing w:line="240" w:lineRule="auto"/>
              <w:jc w:val="center"/>
            </w:pPr>
            <w:r>
              <w:rPr>
                <w:sz w:val="22"/>
              </w:rPr>
              <w:t>0,8 (1,16)</w:t>
            </w:r>
          </w:p>
        </w:tc>
      </w:tr>
      <w:tr w:rsidR="005603EC" w:rsidTr="005603EC">
        <w:trPr>
          <w:cantSplit/>
        </w:trPr>
        <w:tc>
          <w:tcPr>
            <w:tcW w:w="3175" w:type="dxa"/>
          </w:tcPr>
          <w:p w:rsidR="005603EC" w:rsidRDefault="00AB61AC">
            <w:pPr>
              <w:pStyle w:val="Compact"/>
              <w:spacing w:line="240" w:lineRule="auto"/>
            </w:pPr>
            <w:r>
              <w:rPr>
                <w:sz w:val="22"/>
              </w:rPr>
              <w:t>D3. Xarajatlar / daromadlar, %</w:t>
            </w:r>
          </w:p>
        </w:tc>
        <w:tc>
          <w:tcPr>
            <w:tcW w:w="1531" w:type="dxa"/>
          </w:tcPr>
          <w:p w:rsidR="005603EC" w:rsidRDefault="00AB61AC">
            <w:pPr>
              <w:pStyle w:val="Compact"/>
              <w:spacing w:line="240" w:lineRule="auto"/>
              <w:jc w:val="center"/>
            </w:pPr>
            <w:r>
              <w:rPr>
                <w:sz w:val="22"/>
              </w:rPr>
              <w:t>36,5 (4,00)</w:t>
            </w:r>
          </w:p>
        </w:tc>
        <w:tc>
          <w:tcPr>
            <w:tcW w:w="1531" w:type="dxa"/>
          </w:tcPr>
          <w:p w:rsidR="005603EC" w:rsidRDefault="00AB61AC">
            <w:pPr>
              <w:pStyle w:val="Compact"/>
              <w:spacing w:line="240" w:lineRule="auto"/>
              <w:jc w:val="center"/>
            </w:pPr>
            <w:r>
              <w:rPr>
                <w:sz w:val="22"/>
              </w:rPr>
              <w:t>41,5 (4,00)</w:t>
            </w:r>
          </w:p>
        </w:tc>
        <w:tc>
          <w:tcPr>
            <w:tcW w:w="1531" w:type="dxa"/>
          </w:tcPr>
          <w:p w:rsidR="005603EC" w:rsidRDefault="00AB61AC">
            <w:pPr>
              <w:pStyle w:val="Compact"/>
              <w:spacing w:line="240" w:lineRule="auto"/>
              <w:jc w:val="center"/>
            </w:pPr>
            <w:r>
              <w:rPr>
                <w:sz w:val="22"/>
              </w:rPr>
              <w:t>65,5 (2,72)</w:t>
            </w:r>
          </w:p>
        </w:tc>
        <w:tc>
          <w:tcPr>
            <w:tcW w:w="1531" w:type="dxa"/>
          </w:tcPr>
          <w:p w:rsidR="005603EC" w:rsidRDefault="00AB61AC">
            <w:pPr>
              <w:pStyle w:val="Compact"/>
              <w:spacing w:line="240" w:lineRule="auto"/>
              <w:jc w:val="center"/>
            </w:pPr>
            <w:r>
              <w:rPr>
                <w:sz w:val="22"/>
              </w:rPr>
              <w:t>87,6 (1,62)</w:t>
            </w:r>
          </w:p>
        </w:tc>
      </w:tr>
      <w:tr w:rsidR="005603EC" w:rsidTr="005603EC">
        <w:trPr>
          <w:cantSplit/>
        </w:trPr>
        <w:tc>
          <w:tcPr>
            <w:tcW w:w="3175" w:type="dxa"/>
          </w:tcPr>
          <w:p w:rsidR="005603EC" w:rsidRDefault="00AB61AC">
            <w:pPr>
              <w:pStyle w:val="Compact"/>
              <w:spacing w:line="240" w:lineRule="auto"/>
            </w:pPr>
            <w:r>
              <w:rPr>
                <w:sz w:val="22"/>
              </w:rPr>
              <w:t>V1. Xorijiy valyutadagi kreditlar, %</w:t>
            </w:r>
          </w:p>
        </w:tc>
        <w:tc>
          <w:tcPr>
            <w:tcW w:w="1531" w:type="dxa"/>
          </w:tcPr>
          <w:p w:rsidR="005603EC" w:rsidRDefault="00AB61AC">
            <w:pPr>
              <w:pStyle w:val="Compact"/>
              <w:spacing w:line="240" w:lineRule="auto"/>
              <w:jc w:val="center"/>
            </w:pPr>
            <w:r>
              <w:rPr>
                <w:sz w:val="22"/>
              </w:rPr>
              <w:t>60,1 (1,33)</w:t>
            </w:r>
          </w:p>
        </w:tc>
        <w:tc>
          <w:tcPr>
            <w:tcW w:w="1531" w:type="dxa"/>
          </w:tcPr>
          <w:p w:rsidR="005603EC" w:rsidRDefault="00AB61AC">
            <w:pPr>
              <w:pStyle w:val="Compact"/>
              <w:spacing w:line="240" w:lineRule="auto"/>
              <w:jc w:val="center"/>
            </w:pPr>
            <w:r>
              <w:rPr>
                <w:sz w:val="22"/>
              </w:rPr>
              <w:t>61,2 (1,25)</w:t>
            </w:r>
          </w:p>
        </w:tc>
        <w:tc>
          <w:tcPr>
            <w:tcW w:w="1531" w:type="dxa"/>
          </w:tcPr>
          <w:p w:rsidR="005603EC" w:rsidRDefault="00AB61AC">
            <w:pPr>
              <w:pStyle w:val="Compact"/>
              <w:spacing w:line="240" w:lineRule="auto"/>
              <w:jc w:val="center"/>
            </w:pPr>
            <w:r>
              <w:rPr>
                <w:sz w:val="22"/>
              </w:rPr>
              <w:t>18,4 (4,00)</w:t>
            </w:r>
          </w:p>
        </w:tc>
        <w:tc>
          <w:tcPr>
            <w:tcW w:w="1531" w:type="dxa"/>
          </w:tcPr>
          <w:p w:rsidR="005603EC" w:rsidRDefault="00AB61AC">
            <w:pPr>
              <w:pStyle w:val="Compact"/>
              <w:spacing w:line="240" w:lineRule="auto"/>
              <w:jc w:val="center"/>
            </w:pPr>
            <w:r>
              <w:rPr>
                <w:sz w:val="22"/>
              </w:rPr>
              <w:t>–</w:t>
            </w:r>
          </w:p>
        </w:tc>
      </w:tr>
      <w:tr w:rsidR="005603EC" w:rsidTr="005603EC">
        <w:trPr>
          <w:cantSplit/>
        </w:trPr>
        <w:tc>
          <w:tcPr>
            <w:tcW w:w="3175" w:type="dxa"/>
          </w:tcPr>
          <w:p w:rsidR="005603EC" w:rsidRDefault="00AB61AC">
            <w:pPr>
              <w:pStyle w:val="Compact"/>
              <w:spacing w:line="240" w:lineRule="auto"/>
            </w:pPr>
            <w:r>
              <w:rPr>
                <w:sz w:val="22"/>
              </w:rPr>
              <w:t>V2. Xorijiy valyutadagi majburiyatlar, %</w:t>
            </w:r>
          </w:p>
        </w:tc>
        <w:tc>
          <w:tcPr>
            <w:tcW w:w="1531" w:type="dxa"/>
          </w:tcPr>
          <w:p w:rsidR="005603EC" w:rsidRDefault="00AB61AC">
            <w:pPr>
              <w:pStyle w:val="Compact"/>
              <w:spacing w:line="240" w:lineRule="auto"/>
              <w:jc w:val="center"/>
            </w:pPr>
            <w:r>
              <w:rPr>
                <w:sz w:val="22"/>
              </w:rPr>
              <w:t>60,9 (1,61)</w:t>
            </w:r>
          </w:p>
        </w:tc>
        <w:tc>
          <w:tcPr>
            <w:tcW w:w="1531" w:type="dxa"/>
          </w:tcPr>
          <w:p w:rsidR="005603EC" w:rsidRDefault="00AB61AC">
            <w:pPr>
              <w:pStyle w:val="Compact"/>
              <w:spacing w:line="240" w:lineRule="auto"/>
              <w:jc w:val="center"/>
            </w:pPr>
            <w:r>
              <w:rPr>
                <w:sz w:val="22"/>
              </w:rPr>
              <w:t>60,4 (1,64)</w:t>
            </w:r>
          </w:p>
        </w:tc>
        <w:tc>
          <w:tcPr>
            <w:tcW w:w="1531" w:type="dxa"/>
          </w:tcPr>
          <w:p w:rsidR="005603EC" w:rsidRDefault="00AB61AC">
            <w:pPr>
              <w:pStyle w:val="Compact"/>
              <w:spacing w:line="240" w:lineRule="auto"/>
              <w:jc w:val="center"/>
            </w:pPr>
            <w:r>
              <w:rPr>
                <w:sz w:val="22"/>
              </w:rPr>
              <w:t>31,4 (3,57)</w:t>
            </w:r>
          </w:p>
        </w:tc>
        <w:tc>
          <w:tcPr>
            <w:tcW w:w="1531" w:type="dxa"/>
          </w:tcPr>
          <w:p w:rsidR="005603EC" w:rsidRDefault="00AB61AC">
            <w:pPr>
              <w:pStyle w:val="Compact"/>
              <w:spacing w:line="240" w:lineRule="auto"/>
              <w:jc w:val="center"/>
            </w:pPr>
            <w:r>
              <w:rPr>
                <w:sz w:val="22"/>
              </w:rPr>
              <w:t>22,4 (4,00)</w:t>
            </w:r>
          </w:p>
        </w:tc>
      </w:tr>
      <w:tr w:rsidR="005603EC" w:rsidTr="005603EC">
        <w:trPr>
          <w:cantSplit/>
        </w:trPr>
        <w:tc>
          <w:tcPr>
            <w:tcW w:w="3175" w:type="dxa"/>
          </w:tcPr>
          <w:p w:rsidR="005603EC" w:rsidRDefault="00AB61AC">
            <w:pPr>
              <w:pStyle w:val="Compact"/>
              <w:spacing w:line="240" w:lineRule="auto"/>
            </w:pPr>
            <w:r>
              <w:rPr>
                <w:b/>
                <w:bCs/>
                <w:sz w:val="22"/>
              </w:rPr>
              <w:t>MBII</w:t>
            </w:r>
          </w:p>
        </w:tc>
        <w:tc>
          <w:tcPr>
            <w:tcW w:w="1531" w:type="dxa"/>
          </w:tcPr>
          <w:p w:rsidR="005603EC" w:rsidRDefault="00AB61AC">
            <w:pPr>
              <w:pStyle w:val="Compact"/>
              <w:spacing w:line="240" w:lineRule="auto"/>
              <w:jc w:val="center"/>
            </w:pPr>
            <w:r>
              <w:rPr>
                <w:b/>
                <w:bCs/>
                <w:sz w:val="22"/>
              </w:rPr>
              <w:t>3,27</w:t>
            </w:r>
          </w:p>
        </w:tc>
        <w:tc>
          <w:tcPr>
            <w:tcW w:w="1531" w:type="dxa"/>
          </w:tcPr>
          <w:p w:rsidR="005603EC" w:rsidRDefault="00AB61AC">
            <w:pPr>
              <w:pStyle w:val="Compact"/>
              <w:spacing w:line="240" w:lineRule="auto"/>
              <w:jc w:val="center"/>
            </w:pPr>
            <w:r>
              <w:rPr>
                <w:b/>
                <w:bCs/>
                <w:color w:val="FF0000"/>
                <w:sz w:val="22"/>
              </w:rPr>
              <w:t>2,81</w:t>
            </w:r>
          </w:p>
        </w:tc>
        <w:tc>
          <w:tcPr>
            <w:tcW w:w="1531" w:type="dxa"/>
          </w:tcPr>
          <w:p w:rsidR="005603EC" w:rsidRDefault="00AB61AC">
            <w:pPr>
              <w:pStyle w:val="Compact"/>
              <w:spacing w:line="240" w:lineRule="auto"/>
              <w:jc w:val="center"/>
            </w:pPr>
            <w:r>
              <w:rPr>
                <w:b/>
                <w:bCs/>
                <w:sz w:val="22"/>
              </w:rPr>
              <w:t>3,13</w:t>
            </w:r>
          </w:p>
        </w:tc>
        <w:tc>
          <w:tcPr>
            <w:tcW w:w="1531" w:type="dxa"/>
          </w:tcPr>
          <w:p w:rsidR="005603EC" w:rsidRDefault="00AB61AC">
            <w:pPr>
              <w:pStyle w:val="Compact"/>
              <w:spacing w:line="240" w:lineRule="auto"/>
              <w:jc w:val="center"/>
            </w:pPr>
            <w:r>
              <w:rPr>
                <w:b/>
                <w:bCs/>
                <w:sz w:val="22"/>
              </w:rPr>
              <w:t>2,47</w:t>
            </w:r>
          </w:p>
        </w:tc>
      </w:tr>
      <w:tr w:rsidR="005603EC" w:rsidTr="005603EC">
        <w:trPr>
          <w:cantSplit/>
        </w:trPr>
        <w:tc>
          <w:tcPr>
            <w:tcW w:w="3175" w:type="dxa"/>
          </w:tcPr>
          <w:p w:rsidR="005603EC" w:rsidRDefault="00AB61AC">
            <w:pPr>
              <w:pStyle w:val="Compact"/>
              <w:spacing w:line="240" w:lineRule="auto"/>
            </w:pPr>
            <w:r>
              <w:rPr>
                <w:b/>
                <w:bCs/>
                <w:sz w:val="22"/>
              </w:rPr>
              <w:t>Sinf</w:t>
            </w:r>
          </w:p>
        </w:tc>
        <w:tc>
          <w:tcPr>
            <w:tcW w:w="1531" w:type="dxa"/>
          </w:tcPr>
          <w:p w:rsidR="005603EC" w:rsidRDefault="00AB61AC">
            <w:pPr>
              <w:pStyle w:val="Compact"/>
              <w:spacing w:line="240" w:lineRule="auto"/>
              <w:jc w:val="center"/>
            </w:pPr>
            <w:r>
              <w:rPr>
                <w:b/>
                <w:bCs/>
                <w:sz w:val="22"/>
              </w:rPr>
              <w:t>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III</w:t>
            </w:r>
          </w:p>
        </w:tc>
      </w:tr>
    </w:tbl>
    <w:p w:rsidR="005603EC" w:rsidRDefault="00AB61AC">
      <w:pPr>
        <w:pStyle w:val="af"/>
        <w:spacing w:after="0" w:line="360" w:lineRule="auto"/>
        <w:ind w:firstLine="709"/>
        <w:jc w:val="both"/>
      </w:pPr>
      <w:r>
        <w:rPr>
          <w:i/>
          <w:iCs/>
        </w:rPr>
        <w:t xml:space="preserve">Izoh: qavs ichida – ball. </w:t>
      </w:r>
      <w:r>
        <w:rPr>
          <w:i/>
          <w:iCs/>
          <w:color w:val="FF0000"/>
        </w:rPr>
        <w:t>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i/>
          <w:iCs/>
        </w:rPr>
        <w:t>; yuqori likvid aktivlar ulushi ikki variantda bir xil (milliy balans); “Mikrokreditbank” ATB ning MHXS hisobotida xorijiy valyutadagi kreditlar ulushi oshkor qilinmagan, shu sababli valyuta bloki bitta ko‘rsatkich bo‘yicha baholandi.</w:t>
      </w:r>
      <w:r>
        <w:rPr>
          <w:i/>
          <w:iCs/>
          <w:color w:val="FF0000"/>
        </w:rPr>
        <w:t xml:space="preserve"> Yuqori likvid aktivlar MHXS hisobotlarida alohida oshkor qilinmagani sababli L1 ko‘rsatkichi ikkala variantda milliy balans asosida olindi, shu sababli likvidlik </w:t>
      </w:r>
      <w:r>
        <w:rPr>
          <w:i/>
          <w:iCs/>
          <w:color w:val="FF0000"/>
        </w:rPr>
        <w:lastRenderedPageBreak/>
        <w:t>blokidagi ΔMBII faqat L2 ko‘rsatkichi hisobiga shakllanadi va hisobot standartining likvidlikka ta’siri to‘liq aks etmaydi.</w:t>
      </w:r>
    </w:p>
    <w:p w:rsidR="005603EC" w:rsidRDefault="00AB61AC">
      <w:pPr>
        <w:pStyle w:val="af"/>
        <w:spacing w:after="0" w:line="360" w:lineRule="auto"/>
        <w:ind w:firstLine="709"/>
        <w:jc w:val="both"/>
      </w:pPr>
      <w: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color w:val="FF0000"/>
        </w:rPr>
        <w:t>indeksi 2,81 ni</w:t>
      </w:r>
      <w:r>
        <w:t xml:space="preserve">, ya’ni II sinfni, “Mikrokreditbank” ATB niki esa 2,47 ni, ya’ni III sinfni tashkil etadi. Boshqacha aytganda, ΔMBII “O‘zsanoatqurilishbank” ATB </w:t>
      </w:r>
      <w:r>
        <w:rPr>
          <w:color w:val="FF0000"/>
        </w:rPr>
        <w:t>uchun −0,46 ni</w:t>
      </w:r>
      <w:r>
        <w:t>, “Mikrokreditbank” ATB uchun esa −0,66 ni tashkil etadi va bu farq ikkala bankda ham barqarorlik sinfini o‘zgartirish uchun yetarli. Indeksning pasayishiga qaysi bloklar sabab bo‘lganini aniqlash uchun bloklar ballari solishtirildi (3.1.3-rasm).</w:t>
      </w:r>
    </w:p>
    <w:p w:rsidR="005603EC" w:rsidRDefault="00AB61AC">
      <w:pPr>
        <w:pStyle w:val="af"/>
        <w:keepNext/>
        <w:spacing w:after="0" w:line="240" w:lineRule="auto"/>
        <w:jc w:val="center"/>
      </w:pPr>
      <w:r>
        <w:rPr>
          <w:noProof/>
          <w:lang w:val="ru-RU" w:eastAsia="ru-RU"/>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5603EC" w:rsidRDefault="00AB61AC">
      <w:pPr>
        <w:pStyle w:val="af"/>
        <w:spacing w:before="120" w:after="240" w:line="240" w:lineRule="auto"/>
        <w:jc w:val="center"/>
      </w:pPr>
      <w:r>
        <w:rPr>
          <w:b/>
        </w:rPr>
        <w:t>3.1.3-rasm. “O‘zsanoatqurilishbank” ATB va “Mikrokreditbank” ATB da integral indeks bloklari ballari: milliy hisobot va MHXS, 2025-yil</w:t>
      </w:r>
      <w:r>
        <w:rPr>
          <w:rStyle w:val="aff8"/>
        </w:rPr>
        <w:footnoteReference w:id="411"/>
      </w:r>
    </w:p>
    <w:p w:rsidR="005603EC" w:rsidRDefault="00AB61AC">
      <w:pPr>
        <w:pStyle w:val="af"/>
        <w:spacing w:after="0" w:line="360" w:lineRule="auto"/>
        <w:ind w:firstLine="709"/>
        <w:jc w:val="both"/>
      </w:pPr>
      <w: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w:t>
      </w:r>
      <w:r>
        <w:lastRenderedPageBreak/>
        <w:t xml:space="preserve">0,57 ballga pasaytiradi, ya’ni </w:t>
      </w:r>
      <w:r>
        <w:rPr>
          <w:color w:val="FF0000"/>
        </w:rPr>
        <w:t>ΔMBII ning 83–86 foizi</w:t>
      </w:r>
      <w: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rsidR="005603EC" w:rsidRDefault="00AB61AC">
      <w:pPr>
        <w:pStyle w:val="af"/>
        <w:spacing w:after="0" w:line="360" w:lineRule="auto"/>
        <w:ind w:firstLine="709"/>
        <w:jc w:val="both"/>
      </w:pPr>
      <w: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rsidR="005603EC" w:rsidRDefault="00AB61AC">
      <w:pPr>
        <w:pStyle w:val="af"/>
        <w:spacing w:after="0" w:line="360" w:lineRule="auto"/>
        <w:ind w:firstLine="709"/>
        <w:jc w:val="both"/>
      </w:pPr>
      <w:r>
        <w:t>Metodika natijalarining ishonchliligini tekshirish uchun indeks uch xil vaznlar tizimi bo‘yicha qayta hisoblandi: taklif etilayotgan vaznlar, teng vaznlar va O‘zbekistonda CAMEL tizimi uchun keltirilgan nisbat (3.1.4-rasm).</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3.1.4-rasm. Moliyaviy barqarorlikning integral indeksi qiymatlarining vaznlar tizimiga sezgirligi, 2025-yil</w:t>
      </w:r>
      <w:r>
        <w:rPr>
          <w:rStyle w:val="aff8"/>
        </w:rPr>
        <w:footnoteReference w:id="412"/>
      </w:r>
    </w:p>
    <w:p w:rsidR="005603EC" w:rsidRDefault="00AB61AC">
      <w:pPr>
        <w:pStyle w:val="af"/>
        <w:spacing w:after="0" w:line="360" w:lineRule="auto"/>
        <w:ind w:firstLine="709"/>
        <w:jc w:val="both"/>
      </w:pPr>
      <w: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Taklif etilayotgan metodikaning mavjud yondashuvlardan farqini aniqlash uchun u xalqaro va xorijiy amaliyotda keng qo‘llanadigan metodikalar bilan solishtirildi (3.1.6-jadval).</w:t>
      </w:r>
    </w:p>
    <w:p w:rsidR="005603EC" w:rsidRDefault="00AB61AC">
      <w:pPr>
        <w:pStyle w:val="af"/>
        <w:keepNext/>
        <w:spacing w:before="120" w:after="0" w:line="360" w:lineRule="auto"/>
        <w:jc w:val="right"/>
      </w:pPr>
      <w:r>
        <w:rPr>
          <w:i/>
        </w:rPr>
        <w:lastRenderedPageBreak/>
        <w:t>3.1.6-jadval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ularga yaqin ko‘rsatkichlar bilan baholanadi</w:t>
      </w:r>
      <w:r>
        <w:rPr>
          <w:color w:val="FF0000"/>
        </w:rPr>
        <w:t xml:space="preserve">, MHXS variantida esa yuqori likvid aktivlar ulushi </w:t>
      </w:r>
      <w:r>
        <w:rPr>
          <w:color w:val="FF0000"/>
        </w:rPr>
        <w:lastRenderedPageBreak/>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color w:val="FF0000"/>
        </w:rPr>
        <w:t>ΔMBII ning 83–86 foizi</w:t>
      </w:r>
      <w: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4"/>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5"/>
      </w:r>
      <w:r>
        <w:t>. Moliyaviy stress indekslarini qurishda ham M. Illing va Y. Liu turli vaznlash usullarini solishtirib, eng yaxshi usulni indeksning haqiqiy stress davrlarini aniqlash qobiliyati bo‘yicha tanlagan</w:t>
      </w:r>
      <w:r>
        <w:rPr>
          <w:rStyle w:val="aff8"/>
        </w:rPr>
        <w:footnoteReference w:id="416"/>
      </w:r>
      <w:r>
        <w:t>. A.M. Karminskiy esa reyting modellarida vaznlar ekspert yo‘li bilan belgilansa ham, ular albatta statistik tekshiruvdan o‘tkazilishi lozimligini ta’kidlaydi</w:t>
      </w:r>
      <w:r>
        <w:rPr>
          <w:rStyle w:val="aff8"/>
        </w:rPr>
        <w:footnoteReference w:id="417"/>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9"/>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t>yil hisobotidagi qayta hisoblangan qiyosiy ma’lumotlardan olindi, bu hisob siyosati o‘zgarishi va xatolarni tuzatish natijasidagi qayta hisoblashlarni hisobga olish imkonini beradi</w:t>
      </w:r>
      <w:r>
        <w:rPr>
          <w:rStyle w:val="aff8"/>
        </w:rPr>
        <w:footnoteReference w:id="420"/>
      </w:r>
      <w:r>
        <w:rPr>
          <w:rStyle w:val="aff8"/>
        </w:rPr>
        <w:footnoteReference w:id="421"/>
      </w:r>
      <w:r>
        <w:rPr>
          <w:rStyle w:val="aff8"/>
        </w:rPr>
        <w:footnoteReference w:id="422"/>
      </w:r>
      <w:r>
        <w:rPr>
          <w:rStyle w:val="aff8"/>
        </w:rPr>
        <w:footnoteReference w:id="423"/>
      </w:r>
      <w:r>
        <w:rPr>
          <w:rStyle w:val="aff8"/>
        </w:rPr>
        <w:footnoteReference w:id="424"/>
      </w:r>
      <w:r>
        <w:t>. Yuqori likvid aktivlar ulushi esa “SNS” reyting agentligi bazasidan olindi</w:t>
      </w:r>
      <w:r>
        <w:rPr>
          <w:rStyle w:val="aff8"/>
        </w:rPr>
        <w:footnoteReference w:id="425"/>
      </w:r>
      <w:r>
        <w:t>. Logit usuli uchun 3.3-paragrafda shakllantirilgan 25 ta bank paneli qo‘llandi</w:t>
      </w:r>
      <w:r>
        <w:rPr>
          <w:rStyle w:val="aff8"/>
        </w:rPr>
        <w:footnoteReference w:id="426"/>
      </w:r>
      <w:r>
        <w:t>, unda kapital bloki barcha banklarda bir xil ball olgani va valyuta riski bo‘yicha ma’lumotlar mavjud bo‘lmagani sababli bu ikki blok uchun ekspert vaznlari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Integral indeks bloklarining ekspert va empirik usullar bo‘yicha vaznlari</w:t>
      </w:r>
      <w:r>
        <w:rPr>
          <w:rStyle w:val="aff8"/>
        </w:rPr>
        <w:footnoteReference w:id="42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Ekspert vaznlari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color w:val="FF0000"/>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color w:val="FF0000"/>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color w:val="FF0000"/>
                <w:sz w:val="22"/>
              </w:rPr>
              <w:t>0,16</w:t>
            </w:r>
          </w:p>
        </w:tc>
      </w:tr>
    </w:tbl>
    <w:p w:rsidR="005603EC" w:rsidRDefault="00AB61AC">
      <w:pPr>
        <w:pStyle w:val="af"/>
        <w:spacing w:line="240" w:lineRule="auto"/>
        <w:jc w:val="both"/>
      </w:pPr>
      <w:r>
        <w:rPr>
          <w:sz w:val="24"/>
        </w:rPr>
        <w:t xml:space="preserve">Izoh: * – logit usulida baholanmagan, ekspert vazni saqlangan. Bosh komponentlar usulida o‘z qiymati birdan katta bo‘lgan ikkita komponent ajratilgan, </w:t>
      </w:r>
      <w:r>
        <w:rPr>
          <w:color w:val="FF0000"/>
          <w:sz w:val="24"/>
        </w:rPr>
        <w:t>ular bloklar dispersiyasining 66,7 foizini izohlaydi</w:t>
      </w:r>
      <w:r>
        <w:rPr>
          <w:sz w:val="24"/>
        </w:rPr>
        <w:t>.</w:t>
      </w:r>
      <w:r>
        <w:rPr>
          <w:color w:val="FF0000"/>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color w:val="FF0000"/>
        </w:rPr>
        <w:t>barcha empirik usullar aktivlar sifati blokiga ekspert vazniga yaqin yoki undan yuqori vazn bergan</w:t>
      </w:r>
      <w:r>
        <w:t xml:space="preserve">: entropiya, variatsiya koeffitsiyenti va bosh komponentlar usullarida u 0,27–0,32 ni tashkil etib, ekspert vazniga (0,30) deyarli teng, logit usulida esa 0,57 gacha oshgan. </w:t>
      </w:r>
      <w:r>
        <w:rPr>
          <w:color w:val="FF0000"/>
        </w:rPr>
        <w:t>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3.2.1-rasm. Integral indeks bloklarining ekspert va empirik usullar bo‘yicha vaznlari</w:t>
      </w:r>
      <w:r>
        <w:rPr>
          <w:rStyle w:val="aff8"/>
        </w:rPr>
        <w:footnoteReference w:id="428"/>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9"/>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Ekspert vaznlari</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color w:val="FF0000"/>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color w:val="FF0000"/>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color w:val="FF0000"/>
                <w:sz w:val="22"/>
              </w:rPr>
              <w:t>2,82</w:t>
            </w:r>
          </w:p>
        </w:tc>
        <w:tc>
          <w:tcPr>
            <w:tcW w:w="1176" w:type="dxa"/>
          </w:tcPr>
          <w:p w:rsidR="005603EC" w:rsidRDefault="00AB61AC">
            <w:pPr>
              <w:pStyle w:val="Compact"/>
              <w:spacing w:line="240" w:lineRule="auto"/>
              <w:jc w:val="center"/>
            </w:pPr>
            <w:r>
              <w:rPr>
                <w:color w:val="FF0000"/>
                <w:sz w:val="22"/>
              </w:rPr>
              <w:t>2,85</w:t>
            </w:r>
          </w:p>
        </w:tc>
        <w:tc>
          <w:tcPr>
            <w:tcW w:w="1126" w:type="dxa"/>
          </w:tcPr>
          <w:p w:rsidR="005603EC" w:rsidRDefault="00AB61AC">
            <w:pPr>
              <w:pStyle w:val="Compact"/>
              <w:spacing w:line="240" w:lineRule="auto"/>
              <w:jc w:val="center"/>
            </w:pPr>
            <w:r>
              <w:rPr>
                <w:color w:val="FF0000"/>
                <w:sz w:val="22"/>
              </w:rPr>
              <w:t>2,69</w:t>
            </w:r>
          </w:p>
        </w:tc>
        <w:tc>
          <w:tcPr>
            <w:tcW w:w="1176" w:type="dxa"/>
          </w:tcPr>
          <w:p w:rsidR="005603EC" w:rsidRDefault="00AB61AC">
            <w:pPr>
              <w:pStyle w:val="Compact"/>
              <w:spacing w:line="240" w:lineRule="auto"/>
              <w:jc w:val="center"/>
            </w:pPr>
            <w:r>
              <w:rPr>
                <w:color w:val="FF0000"/>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color w:val="FF0000"/>
                <w:sz w:val="22"/>
              </w:rPr>
              <w:t>2,10</w:t>
            </w:r>
          </w:p>
        </w:tc>
        <w:tc>
          <w:tcPr>
            <w:tcW w:w="1176" w:type="dxa"/>
          </w:tcPr>
          <w:p w:rsidR="005603EC" w:rsidRDefault="00AB61AC">
            <w:pPr>
              <w:pStyle w:val="Compact"/>
              <w:spacing w:line="240" w:lineRule="auto"/>
              <w:jc w:val="center"/>
            </w:pPr>
            <w:r>
              <w:rPr>
                <w:color w:val="FF0000"/>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color w:val="FF0000"/>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color w:val="FF0000"/>
                <w:sz w:val="22"/>
              </w:rPr>
              <w:t>3,26</w:t>
            </w:r>
          </w:p>
        </w:tc>
        <w:tc>
          <w:tcPr>
            <w:tcW w:w="1176" w:type="dxa"/>
          </w:tcPr>
          <w:p w:rsidR="005603EC" w:rsidRDefault="00AB61AC">
            <w:pPr>
              <w:pStyle w:val="Compact"/>
              <w:spacing w:line="240" w:lineRule="auto"/>
              <w:jc w:val="center"/>
            </w:pPr>
            <w:r>
              <w:rPr>
                <w:color w:val="FF0000"/>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color w:val="FF0000"/>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color w:val="FF0000"/>
                <w:sz w:val="22"/>
              </w:rPr>
              <w:t>3,73</w:t>
            </w:r>
          </w:p>
        </w:tc>
        <w:tc>
          <w:tcPr>
            <w:tcW w:w="1176" w:type="dxa"/>
          </w:tcPr>
          <w:p w:rsidR="005603EC" w:rsidRDefault="00AB61AC">
            <w:pPr>
              <w:pStyle w:val="Compact"/>
              <w:spacing w:line="240" w:lineRule="auto"/>
              <w:jc w:val="center"/>
            </w:pPr>
            <w:r>
              <w:rPr>
                <w:color w:val="FF0000"/>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color w:val="FF0000"/>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color w:val="FF0000"/>
                <w:sz w:val="22"/>
              </w:rPr>
              <w:t>3,35</w:t>
            </w:r>
          </w:p>
        </w:tc>
        <w:tc>
          <w:tcPr>
            <w:tcW w:w="1176" w:type="dxa"/>
          </w:tcPr>
          <w:p w:rsidR="005603EC" w:rsidRDefault="00AB61AC">
            <w:pPr>
              <w:pStyle w:val="Compact"/>
              <w:spacing w:line="240" w:lineRule="auto"/>
              <w:jc w:val="center"/>
            </w:pPr>
            <w:r>
              <w:rPr>
                <w:color w:val="FF0000"/>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color w:val="FF0000"/>
                <w:sz w:val="22"/>
              </w:rPr>
              <w:t>3,33</w:t>
            </w:r>
          </w:p>
        </w:tc>
      </w:tr>
      <w:tr w:rsidR="005603EC" w:rsidTr="005603EC">
        <w:trPr>
          <w:cantSplit/>
        </w:trPr>
        <w:tc>
          <w:tcPr>
            <w:tcW w:w="2560" w:type="dxa"/>
          </w:tcPr>
          <w:p w:rsidR="005603EC" w:rsidRDefault="00AB61AC">
            <w:pPr>
              <w:pStyle w:val="Compact"/>
              <w:spacing w:line="240" w:lineRule="auto"/>
            </w:pPr>
            <w:r>
              <w:rPr>
                <w:sz w:val="22"/>
              </w:rPr>
              <w:t>Sinfi ekspert vaznlaridagi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color w:val="FF0000"/>
                <w:sz w:val="22"/>
              </w:rPr>
              <w:t>17</w:t>
            </w:r>
          </w:p>
        </w:tc>
        <w:tc>
          <w:tcPr>
            <w:tcW w:w="1176" w:type="dxa"/>
          </w:tcPr>
          <w:p w:rsidR="005603EC" w:rsidRDefault="00AB61AC">
            <w:pPr>
              <w:pStyle w:val="Compact"/>
              <w:spacing w:line="240" w:lineRule="auto"/>
              <w:jc w:val="center"/>
            </w:pPr>
            <w:r>
              <w:rPr>
                <w:color w:val="FF0000"/>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color w:val="FF0000"/>
                <w:sz w:val="22"/>
              </w:rPr>
              <w:t>18</w:t>
            </w:r>
          </w:p>
        </w:tc>
      </w:tr>
      <w:tr w:rsidR="005603EC" w:rsidTr="005603EC">
        <w:trPr>
          <w:cantSplit/>
        </w:trPr>
        <w:tc>
          <w:tcPr>
            <w:tcW w:w="2560" w:type="dxa"/>
          </w:tcPr>
          <w:p w:rsidR="005603EC" w:rsidRDefault="00AB61AC">
            <w:pPr>
              <w:pStyle w:val="Compact"/>
              <w:spacing w:line="240" w:lineRule="auto"/>
            </w:pPr>
            <w:r>
              <w:rPr>
                <w:sz w:val="22"/>
              </w:rPr>
              <w:t>Ekspert vaznlaridagi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color w:val="FF0000"/>
                <w:sz w:val="22"/>
              </w:rPr>
              <w:t>0,96</w:t>
            </w:r>
          </w:p>
        </w:tc>
        <w:tc>
          <w:tcPr>
            <w:tcW w:w="1176" w:type="dxa"/>
          </w:tcPr>
          <w:p w:rsidR="005603EC" w:rsidRDefault="00AB61AC">
            <w:pPr>
              <w:pStyle w:val="Compact"/>
              <w:spacing w:line="240" w:lineRule="auto"/>
              <w:jc w:val="center"/>
            </w:pPr>
            <w:r>
              <w:rPr>
                <w:color w:val="FF0000"/>
                <w:sz w:val="22"/>
              </w:rPr>
              <w:t>0,97</w:t>
            </w:r>
          </w:p>
        </w:tc>
        <w:tc>
          <w:tcPr>
            <w:tcW w:w="1176" w:type="dxa"/>
          </w:tcPr>
          <w:p w:rsidR="005603EC" w:rsidRDefault="00AB61AC">
            <w:pPr>
              <w:pStyle w:val="Compact"/>
              <w:spacing w:line="240" w:lineRule="auto"/>
              <w:jc w:val="center"/>
            </w:pPr>
            <w:r>
              <w:rPr>
                <w:color w:val="FF0000"/>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color w:val="FF0000"/>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color w:val="FF0000"/>
                <w:sz w:val="22"/>
              </w:rPr>
              <w:t>0,878</w:t>
            </w:r>
          </w:p>
        </w:tc>
        <w:tc>
          <w:tcPr>
            <w:tcW w:w="1176" w:type="dxa"/>
          </w:tcPr>
          <w:p w:rsidR="005603EC" w:rsidRDefault="00AB61AC">
            <w:pPr>
              <w:pStyle w:val="Compact"/>
              <w:spacing w:line="240" w:lineRule="auto"/>
              <w:jc w:val="center"/>
            </w:pPr>
            <w:r>
              <w:rPr>
                <w:color w:val="FF0000"/>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color w:val="FF0000"/>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t xml:space="preserve">ya’ni qoniqarli barqarorlik darajasida joylashadi. Ekspert vaznlari asosidagi va empirik vaznlar asosidagi indekslar o‘rtasidagi tartib bo‘yicha </w:t>
      </w:r>
      <w:r>
        <w:rPr>
          <w:color w:val="FF0000"/>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color w:val="FF0000"/>
        </w:rPr>
        <w:t xml:space="preserve"> Faqat empirik usullar asosidagi o‘rtacha vaznlar bilan indeksning AUC qiymati 0,871 ni tashkil etib, ekspert vaznlaridagidan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1"/>
      </w:r>
      <w: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2"/>
      </w:r>
    </w:p>
    <w:p w:rsidR="005603EC" w:rsidRDefault="00AB61AC">
      <w:pPr>
        <w:pStyle w:val="af"/>
        <w:spacing w:after="0" w:line="360" w:lineRule="auto"/>
        <w:ind w:firstLine="709"/>
        <w:jc w:val="both"/>
      </w:pPr>
      <w:r>
        <w:t xml:space="preserve">Rasmdan ko‘rinib turibdiki, vaznlar ekspert vaznlari atrofida o‘zgarganda banklarning barqarorlik sinfi o‘rtacha 78,9 foiz holatda saqlanadi, “O‘zsanoatqurilishbank” ATB da esa bu ko‘rsatkich </w:t>
      </w:r>
      <w:r>
        <w:rPr>
          <w:color w:val="FF0000"/>
        </w:rPr>
        <w:t>91,7 foizga</w:t>
      </w:r>
      <w:r>
        <w:t xml:space="preserve"> yetadi. Banklar tartibining ekspert vaznlaridagi tartib bilan mosligi bu holatda juda yuqori: tartib korrelyatsiyasi koeffitsiyentining medianasi 0,98 ni, eng past 5 foizlik qiymati </w:t>
      </w:r>
      <w:r>
        <w:rPr>
          <w:color w:val="FF0000"/>
        </w:rPr>
        <w:t>esa 0,84 ni</w:t>
      </w:r>
      <w:r>
        <w:t xml:space="preserve"> tashkil etadi. Vaznlar to‘liq tasodifiy tanlanganda ham sinf </w:t>
      </w:r>
      <w:r>
        <w:rPr>
          <w:color w:val="FF0000"/>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t>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color w:val="FF0000"/>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color w:val="FF0000"/>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color w:val="FF0000"/>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color w:val="FF0000"/>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color w:val="FF0000"/>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color w:val="FF0000"/>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color w:val="FF0000"/>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color w:val="FF0000"/>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color w:val="FF0000"/>
                <w:sz w:val="22"/>
              </w:rPr>
              <w:t>–</w:t>
            </w:r>
          </w:p>
        </w:tc>
      </w:tr>
    </w:tbl>
    <w:p w:rsidR="005603EC" w:rsidRDefault="00AB61AC">
      <w:pPr>
        <w:pStyle w:val="af"/>
        <w:spacing w:after="0" w:line="360" w:lineRule="auto"/>
        <w:ind w:firstLine="709"/>
        <w:jc w:val="both"/>
      </w:pPr>
      <w:r>
        <w:t xml:space="preserve">Jadvaldan ko‘rinib turibdiki, </w:t>
      </w:r>
      <w:r>
        <w:rPr>
          <w:color w:val="FF0000"/>
        </w:rPr>
        <w:t>sinflar chegaralari tahlil davri ma’lumotlarida aniq farqlanadi</w:t>
      </w:r>
      <w:r>
        <w:t>: I sinfdagi banklarda keyingi bir yil ichida muammo yuz berish ehtimoli 2,0 foizni, II sinfda 13,3 foizni, III sinfda esa 90,0 foizni tashkil etgan.</w:t>
      </w:r>
      <w:r>
        <w:rPr>
          <w:color w:val="FF0000"/>
        </w:rPr>
        <w:t xml:space="preserve"> Bu ulushlarning 95 foizlik Wilson ishonch oraliqlari</w:t>
      </w:r>
      <w:r>
        <w:rPr>
          <w:rStyle w:val="aff8"/>
          <w:color w:val="FF0000"/>
        </w:rPr>
        <w:footnoteReference w:id="434"/>
      </w:r>
      <w:r>
        <w:rPr>
          <w:color w:val="FF0000"/>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5"/>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color w:val="FF0000"/>
        </w:rPr>
        <w:t xml:space="preserve">2,72–2,92 ball </w:t>
      </w:r>
      <w:r>
        <w:rPr>
          <w:color w:val="FF0000"/>
        </w:rPr>
        <w:lastRenderedPageBreak/>
        <w:t>oralig‘ida</w:t>
      </w:r>
      <w:r>
        <w:t xml:space="preserve"> barqaror saqlangan, “Mikrokreditbank” ATB niki esa </w:t>
      </w:r>
      <w:r>
        <w:rPr>
          <w:color w:val="FF0000"/>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color w:val="0070C0"/>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color w:val="FF0000"/>
        </w:rPr>
        <w:t xml:space="preserve">Birinchidan, aktivlar sifati blokining ekspert vazni barcha empirik baholar oralig‘ida (0,27–0,57) joylashadi va tarqoqlik usullarining o‘rtachasiga (0,31) deyarli teng, bashorat kuchiga asoslangan logit </w:t>
      </w:r>
      <w:r>
        <w:rPr>
          <w:color w:val="FF0000"/>
        </w:rPr>
        <w:lastRenderedPageBreak/>
        <w:t>usulida esa bu blok yagona statistik ahamiyatli blok bo‘ldi.</w:t>
      </w:r>
      <w:r>
        <w:t xml:space="preserve"> Ikkinchidan, vaznlar tanlovi banklar tartibini deyarli o‘zgartirmaydi: </w:t>
      </w:r>
      <w:r>
        <w:rPr>
          <w:color w:val="FF0000"/>
        </w:rPr>
        <w:t>tartib korrelyatsiyasi 0,95–0,98 ni</w:t>
      </w:r>
      <w:r>
        <w:t xml:space="preserve">, Monte-Karlo tahlilida esa median qiymati 0,98 ni tashkil etdi. </w:t>
      </w:r>
      <w:r>
        <w:rPr>
          <w:color w:val="FF0000"/>
        </w:rPr>
        <w:t>Uchinchidan, barqarorlik sinflari chegaralari tahlil davri ma’lumotlarida muammo ehtimolidagi sifat o‘zgarishiga mos keladi</w:t>
      </w:r>
      <w:r>
        <w:t>: I, II va III sinflarda bir yil ichida muammo yuz berish ehtimoli mos ravishda 2,0; 13,3 va 90,0 foizni tashkil etdi</w:t>
      </w:r>
      <w:r>
        <w:rPr>
          <w:color w:val="FF0000"/>
        </w:rPr>
        <w:t xml:space="preserve"> (95 foizlik ishonch oraliqlari: 0,8–5,0; 7,9–21,4 va 59,6–98,2 foiz)</w:t>
      </w:r>
      <w:r>
        <w:t>. Shu sababli ekspert vaznlari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7"/>
      </w:r>
      <w:r>
        <w:t>, L. Laeven va R. Levine esa bankning to‘lovga qobiliyatsizlik riskini Z-score ko‘rsatkichi orqali o‘lchab, uning mulkchilik tuzilmasi va tartibga solish bilan bog‘liqligini aniqlagan</w:t>
      </w:r>
      <w:r>
        <w:rPr>
          <w:rStyle w:val="aff8"/>
        </w:rPr>
        <w:footnoteReference w:id="438"/>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9"/>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43"/>
      </w:r>
      <w:r>
        <w:t>. Uchinchi gipoteza A. Demirgüç-Kunt va H. Huizinga xulosasiga tayanadi: depozit bo‘lmagan, ya’ni ulgurji moliyalashtirishga ko‘proq tayanadigan banklar riskliroq bo‘ladi</w:t>
      </w:r>
      <w:r>
        <w:rPr>
          <w:rStyle w:val="aff8"/>
        </w:rPr>
        <w:footnoteReference w:id="444"/>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8"/>
      </w:r>
      <w:r>
        <w:t>, yuqori likvid aktivlar, kredit zaxiralari, foizli daromad va xarajatlar, operatsion xarajatlar va sof foyda “SNS” reyting agentligining banklar ko‘rsatkichlari bazasidan</w:t>
      </w:r>
      <w:r>
        <w:rPr>
          <w:rStyle w:val="aff8"/>
        </w:rPr>
        <w:footnoteReference w:id="449"/>
      </w:r>
      <w:r>
        <w:t>, makroiqtisodiy ko‘rsatkichlar esa Markaziy bankning statistik byulletenidan olindi</w:t>
      </w:r>
      <w:r>
        <w:rPr>
          <w:rStyle w:val="aff8"/>
        </w:rPr>
        <w:footnoteReference w:id="450"/>
      </w:r>
      <w:r>
        <w:t>. Ikki bank manbasi bank nomlari bo‘yicha birlashtirildi, ma’lum xato qiymatlar tahlildan chiqarildi</w:t>
      </w:r>
      <w:r>
        <w:rPr>
          <w:rStyle w:val="aff8"/>
        </w:rPr>
        <w:footnoteReference w:id="451"/>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52"/>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color w:val="FF0000"/>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3"/>
      </w:r>
      <w:r>
        <w:rPr>
          <w:rStyle w:val="aff8"/>
        </w:rPr>
        <w:footnoteReference w:id="454"/>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5"/>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7"/>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8"/>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9"/>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color w:val="FF0000"/>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0"/>
      </w:r>
      <w:r>
        <w:rPr>
          <w:rStyle w:val="aff8"/>
        </w:rPr>
        <w:footnoteReference w:id="461"/>
      </w:r>
      <w:r>
        <w:t>. Usullar o‘rtasida tanlov Breusch–Pagan va Hausman testlari asosida amalga oshirildi</w:t>
      </w:r>
      <w:r>
        <w:rPr>
          <w:rStyle w:val="aff8"/>
        </w:rPr>
        <w:footnoteReference w:id="462"/>
      </w:r>
      <w:r>
        <w:rPr>
          <w:rStyle w:val="aff8"/>
        </w:rPr>
        <w:footnoteReference w:id="463"/>
      </w:r>
      <w:r>
        <w:t>. Standart xatolar heteroskedastiklik va avtokorrelyatsiyani hisobga olish uchun bank bo‘yicha klasterlangan. Indeksning inersiyasini hisobga oluvchi dinamik model esa qisqa panellardagi siljishni</w:t>
      </w:r>
      <w:r>
        <w:rPr>
          <w:rStyle w:val="aff8"/>
        </w:rPr>
        <w:footnoteReference w:id="464"/>
      </w:r>
      <w:r>
        <w:t xml:space="preserve"> bartaraf etish maqsadida </w:t>
      </w:r>
      <w:r>
        <w:lastRenderedPageBreak/>
        <w:t>T. Anderson va C. Hsiao usuli bo‘yicha birinchi farqlarda, indeksning ikki chorak oldingi qiymatini instrument sifatida qo‘llab baholandi</w:t>
      </w:r>
      <w:r>
        <w:rPr>
          <w:rStyle w:val="aff8"/>
        </w:rPr>
        <w:footnoteReference w:id="465"/>
      </w:r>
      <w:r>
        <w:rPr>
          <w:rStyle w:val="aff8"/>
        </w:rPr>
        <w:footnoteReference w:id="466"/>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color w:val="FF0000"/>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8"/>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9"/>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70"/>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color w:val="FF0000"/>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3"/>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color w:val="FF0000"/>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color w:val="FF0000"/>
        </w:rPr>
        <w:footnoteReference w:id="475"/>
      </w:r>
      <w:r>
        <w:rPr>
          <w:color w:val="FF0000"/>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6"/>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7"/>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color w:val="FF0000"/>
                <w:sz w:val="22"/>
              </w:rPr>
              <w:t>Pooled modelda manfiy*** (4 va 8 chorak lag), bank ichida ahamiyatsiz</w:t>
            </w:r>
          </w:p>
        </w:tc>
        <w:tc>
          <w:tcPr>
            <w:tcW w:w="1474" w:type="dxa"/>
          </w:tcPr>
          <w:p w:rsidR="005603EC" w:rsidRDefault="00AB61AC">
            <w:pPr>
              <w:pStyle w:val="Compact"/>
              <w:spacing w:line="240" w:lineRule="auto"/>
            </w:pPr>
            <w:r>
              <w:rPr>
                <w:color w:val="FF0000"/>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color w:val="FF0000"/>
        </w:rPr>
        <w:t>MHXS bo‘yicha 2,81 ballni</w:t>
      </w:r>
      <w:r>
        <w:t xml:space="preserve"> (II sinf), “Mikrokreditbank” ATB niki esa mos ravishda 3,13 va 2,47 ballni (II va III sinflar) tashkil etadi. </w:t>
      </w:r>
      <w:r>
        <w:rPr>
          <w:color w:val="FF0000"/>
        </w:rPr>
        <w:t>ΔMBII −0,46 va −0,66</w:t>
      </w:r>
      <w:r>
        <w:t xml:space="preserve"> ballga teng bo‘lib, </w:t>
      </w:r>
      <w:r>
        <w:rPr>
          <w:color w:val="FF0000"/>
        </w:rPr>
        <w:t>uning 83–86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color w:val="FF0000"/>
        </w:rPr>
        <w:t>aktivlar sifati blokining ekspert vazni (0,30) empirik baholar oralig‘ida (0,27–0,57) joylashishini va bu blok bashorat jihatidan yagona ahamiyatli blok ekanini ko‘rsatdi, tarqoqlik usullari esa daromadlilik blokiga eng yuqori vazn berdi</w:t>
      </w:r>
      <w:r>
        <w:t xml:space="preserve">. Ekspert vaznlari va empirik vaznlar asosidagi banklar tartibi o‘rtasidagi </w:t>
      </w:r>
      <w:r>
        <w:rPr>
          <w:color w:val="FF0000"/>
        </w:rPr>
        <w:t>korrelyatsiya 0,95–0,98 ni</w:t>
      </w:r>
      <w:r>
        <w:t xml:space="preserve"> tashkil etdi, Monte-Karlo tahlilida esa vaznlar </w:t>
      </w:r>
      <w:r>
        <w:lastRenderedPageBreak/>
        <w:t xml:space="preserve">oqilona doirada o‘zgarganda banklar sinfi o‘rtacha 79 foiz holatda saqlandi. </w:t>
      </w:r>
      <w:r>
        <w:rPr>
          <w:color w:val="FF0000"/>
        </w:rPr>
        <w:t>Barqarorlik sinflari chegaralari tahlil davri ma’lumotlariga mos keldi</w:t>
      </w:r>
      <w:r>
        <w:t>: I, II va III sinflardagi banklarda keyingi bir yil ichida jiddiy zarar yuz berish ehtimoli mos ravishda 2,0; 13,3 va 90,0 foizni tashkil etdi</w:t>
      </w:r>
      <w:r>
        <w:rPr>
          <w:color w:val="FF0000"/>
        </w:rPr>
        <w:t xml:space="preserve"> (95 foizlik ishonch oraliqlari: 0,8–5,0; 7,9–21,4 va 59,6–98,2 foiz)</w:t>
      </w:r>
      <w:r>
        <w:t>. Shu bilan birga, empirik usullar daromadlilik blokiga ekspert vaznidan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color w:val="FF0000"/>
        </w:rPr>
        <w:t>2,72–2,92 ball oralig‘ida</w:t>
      </w:r>
      <w:r>
        <w:t xml:space="preserve"> barqaror saqlandi, “Mikrokreditbank” ATB esa besh yilning barchasida III sinfda </w:t>
      </w:r>
      <w:r>
        <w:rPr>
          <w:color w:val="FF0000"/>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9"/>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0"/>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9"/>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0"/>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1"/>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color w:val="FF0000"/>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3"/>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4"/>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96"/>
      </w:r>
      <w:r>
        <w:rPr>
          <w:rStyle w:val="aff8"/>
        </w:rPr>
        <w:footnoteReference w:id="497"/>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9"/>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500"/>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color w:val="FF0000"/>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color w:val="FF0000"/>
        </w:rPr>
        <w:footnoteReference w:id="502"/>
      </w:r>
      <w:r>
        <w:rPr>
          <w:color w:val="FF0000"/>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color w:val="FF0000"/>
        </w:rPr>
        <w:footnoteReference w:id="503"/>
      </w:r>
      <w:r>
        <w:rPr>
          <w:color w:val="FF0000"/>
        </w:rPr>
        <w:t xml:space="preserve">. Demak, indeksning bashorat kuchi hodisa ta’rifi va baholash usuliga nisbatan barqaror, Z-score dan ustunligi statistik ahamiyatli, biroq muammoli kreditlar </w:t>
      </w:r>
      <w:r>
        <w:rPr>
          <w:color w:val="FF0000"/>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color w:val="FF0000"/>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color w:val="FF0000"/>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color w:val="FF0000"/>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7"/>
      </w:r>
      <w:r>
        <w:t>. M. Sorge va K. Virolainen esa makro stress-testlarda kredit riskining makroiqtisodiy omillarga sezgirligini baholovchi “satellit” modellardan foydalanishni asosiy yondashuv sifatida ko‘rsatadi</w:t>
      </w:r>
      <w:r>
        <w:rPr>
          <w:rStyle w:val="aff8"/>
        </w:rPr>
        <w:footnoteReference w:id="508"/>
      </w:r>
      <w:r>
        <w:t>. Bazel qo‘mitasining stress-test tamoyillari ham ssenariylar haqiqiy tarixiy shoklarga asoslanishi va model natijalari muntazam tekshirilishi lozimligini talab qiladi</w:t>
      </w:r>
      <w:r>
        <w:rPr>
          <w:rStyle w:val="aff8"/>
        </w:rPr>
        <w:footnoteReference w:id="509"/>
      </w:r>
      <w:r>
        <w:t>. O‘zbekistonda esa bu yo‘nalishdagi ilmiy ishlar alohida ko‘rsatkichlarni prognoz qilish bilan cheklangan: B.T. Berdiyarov likvidlik ko‘rsatkichini ARIMA modeli yordamida prognoz qilgan</w:t>
      </w:r>
      <w:r>
        <w:rPr>
          <w:rStyle w:val="aff8"/>
        </w:rPr>
        <w:footnoteReference w:id="510"/>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12"/>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4"/>
      </w:r>
      <w:r>
        <w:rPr>
          <w:rStyle w:val="aff8"/>
        </w:rPr>
        <w:footnoteReference w:id="515"/>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7"/>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8"/>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0"/>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MHXS hisoboti (MBII-13)</w:t>
            </w:r>
          </w:p>
        </w:tc>
        <w:tc>
          <w:tcPr>
            <w:tcW w:w="1474" w:type="dxa"/>
          </w:tcPr>
          <w:p w:rsidR="005603EC" w:rsidRDefault="00AB61AC">
            <w:pPr>
              <w:pStyle w:val="Compact"/>
              <w:spacing w:line="240" w:lineRule="auto"/>
              <w:jc w:val="center"/>
            </w:pPr>
            <w:r>
              <w:rPr>
                <w:color w:val="FF0000"/>
                <w:sz w:val="22"/>
              </w:rPr>
              <w:t>2,81 (sariq; 7,5 %)</w:t>
            </w:r>
          </w:p>
        </w:tc>
        <w:tc>
          <w:tcPr>
            <w:tcW w:w="1474" w:type="dxa"/>
          </w:tcPr>
          <w:p w:rsidR="005603EC" w:rsidRDefault="00AB61AC">
            <w:pPr>
              <w:pStyle w:val="Compact"/>
              <w:spacing w:line="240" w:lineRule="auto"/>
              <w:jc w:val="center"/>
            </w:pPr>
            <w:r>
              <w:rPr>
                <w:color w:val="FF0000"/>
                <w:sz w:val="22"/>
              </w:rPr>
              <w:t>2,79 (sariq; 8,1 %)</w:t>
            </w:r>
          </w:p>
        </w:tc>
        <w:tc>
          <w:tcPr>
            <w:tcW w:w="1474" w:type="dxa"/>
          </w:tcPr>
          <w:p w:rsidR="005603EC" w:rsidRDefault="00AB61AC">
            <w:pPr>
              <w:pStyle w:val="Compact"/>
              <w:spacing w:line="240" w:lineRule="auto"/>
              <w:jc w:val="center"/>
            </w:pPr>
            <w:r>
              <w:rPr>
                <w:color w:val="FF0000"/>
                <w:sz w:val="22"/>
              </w:rPr>
              <w:t>2,82 (sariq; 7,3 %)</w:t>
            </w:r>
          </w:p>
        </w:tc>
        <w:tc>
          <w:tcPr>
            <w:tcW w:w="1417" w:type="dxa"/>
          </w:tcPr>
          <w:p w:rsidR="005603EC" w:rsidRDefault="00AB61AC">
            <w:pPr>
              <w:pStyle w:val="Compact"/>
              <w:spacing w:line="240" w:lineRule="auto"/>
              <w:jc w:val="center"/>
            </w:pPr>
            <w:r>
              <w:rPr>
                <w:color w:val="FF0000"/>
                <w:sz w:val="22"/>
              </w:rPr>
              <w:t>2,70 (qizil; 9,7 %)</w:t>
            </w:r>
          </w:p>
        </w:tc>
        <w:tc>
          <w:tcPr>
            <w:tcW w:w="1417" w:type="dxa"/>
          </w:tcPr>
          <w:p w:rsidR="005603EC" w:rsidRDefault="00AB61AC">
            <w:pPr>
              <w:pStyle w:val="Compact"/>
              <w:spacing w:line="240" w:lineRule="auto"/>
              <w:jc w:val="center"/>
            </w:pPr>
            <w:r>
              <w:rPr>
                <w:color w:val="FF0000"/>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color w:val="FF0000"/>
        </w:rPr>
        <w:t>salbiy ssenariyda 2,70 ballgacha</w:t>
      </w:r>
      <w:r>
        <w:t xml:space="preserve">, </w:t>
      </w:r>
      <w:r>
        <w:rPr>
          <w:color w:val="FF0000"/>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3"/>
      </w:r>
    </w:p>
    <w:p w:rsidR="005603EC" w:rsidRDefault="00AB61AC">
      <w:pPr>
        <w:pStyle w:val="af"/>
        <w:spacing w:after="0" w:line="360" w:lineRule="auto"/>
        <w:ind w:firstLine="709"/>
        <w:jc w:val="both"/>
      </w:pPr>
      <w:r>
        <w:t>Rasmdan ko‘rinib turibdiki, MHXS asosidagi indeks barcha ssenariylarda milliy indeksdan past</w:t>
      </w:r>
      <w:r>
        <w:rPr>
          <w:color w:val="FF0000"/>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color w:val="FF0000"/>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color w:val="FF0000"/>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24"/>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5"/>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6"/>
      </w:r>
      <w:r>
        <w:t>. Hatto asosiy ssenariyda ham to‘qqizta davlat bankidan beshtasi, jumladan ikkita tizimli ahamiyatga molik bank minimal talabdan pastga tushadi</w:t>
      </w:r>
      <w:r>
        <w:rPr>
          <w:rStyle w:val="aff8"/>
        </w:rPr>
        <w:footnoteReference w:id="527"/>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8"/>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9"/>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1"/>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color w:val="FF0000"/>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color w:val="FF0000"/>
        </w:rPr>
        <w:footnoteReference w:id="532"/>
      </w:r>
      <w:r>
        <w:rPr>
          <w:color w:val="FF0000"/>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3"/>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4"/>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5"/>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6"/>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color w:val="0070C0"/>
        </w:rPr>
        <w:t>Oltita bankda</w:t>
      </w:r>
      <w:r>
        <w:rPr>
          <w:b/>
          <w:bCs/>
        </w:rPr>
        <w:t xml:space="preserve"> milliy hisobot va MHXS hisoboti asosidagi integral indeks hamda erta ogohlantirish zonalari, 2025-yil</w:t>
      </w:r>
      <w:r>
        <w:rPr>
          <w:rStyle w:val="aff8"/>
        </w:rPr>
        <w:footnoteReference w:id="5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color w:val="FF0000"/>
                <w:sz w:val="20"/>
              </w:rPr>
              <w:t>MBII-8: milliy hisobot</w:t>
            </w:r>
          </w:p>
        </w:tc>
        <w:tc>
          <w:tcPr>
            <w:tcW w:w="1020" w:type="dxa"/>
            <w:shd w:val="clear" w:color="auto" w:fill="DEEBF7"/>
          </w:tcPr>
          <w:p w:rsidR="005603EC" w:rsidRDefault="00AB61AC">
            <w:pPr>
              <w:pStyle w:val="Compact"/>
              <w:spacing w:line="240" w:lineRule="auto"/>
              <w:jc w:val="center"/>
            </w:pPr>
            <w:r>
              <w:rPr>
                <w:b/>
                <w:color w:val="FF0000"/>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color w:val="FF0000"/>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color w:val="0070C0"/>
                <w:sz w:val="20"/>
              </w:rPr>
              <w:t>“Aloqabank” ATB</w:t>
            </w:r>
          </w:p>
        </w:tc>
        <w:tc>
          <w:tcPr>
            <w:tcW w:w="1020" w:type="dxa"/>
          </w:tcPr>
          <w:p w:rsidR="005603EC" w:rsidRDefault="00AB61AC">
            <w:pPr>
              <w:pStyle w:val="Compact"/>
              <w:spacing w:line="240" w:lineRule="auto"/>
            </w:pPr>
            <w:r>
              <w:rPr>
                <w:color w:val="0070C0"/>
                <w:sz w:val="20"/>
              </w:rPr>
              <w:t>2,5</w:t>
            </w:r>
          </w:p>
        </w:tc>
        <w:tc>
          <w:tcPr>
            <w:tcW w:w="1020" w:type="dxa"/>
          </w:tcPr>
          <w:p w:rsidR="005603EC" w:rsidRDefault="00AB61AC">
            <w:pPr>
              <w:pStyle w:val="Compact"/>
              <w:spacing w:line="240" w:lineRule="auto"/>
            </w:pPr>
            <w:r>
              <w:rPr>
                <w:color w:val="0070C0"/>
                <w:sz w:val="20"/>
              </w:rPr>
              <w:t>7,2</w:t>
            </w:r>
          </w:p>
        </w:tc>
        <w:tc>
          <w:tcPr>
            <w:tcW w:w="1077" w:type="dxa"/>
          </w:tcPr>
          <w:p w:rsidR="005603EC" w:rsidRDefault="00AB61AC">
            <w:pPr>
              <w:pStyle w:val="Compact"/>
              <w:spacing w:line="240" w:lineRule="auto"/>
            </w:pPr>
            <w:r>
              <w:rPr>
                <w:color w:val="0070C0"/>
                <w:sz w:val="20"/>
              </w:rPr>
              <w:t>2,83</w:t>
            </w:r>
          </w:p>
        </w:tc>
        <w:tc>
          <w:tcPr>
            <w:tcW w:w="1020" w:type="dxa"/>
          </w:tcPr>
          <w:p w:rsidR="005603EC" w:rsidRDefault="00AB61AC">
            <w:pPr>
              <w:pStyle w:val="Compact"/>
              <w:spacing w:line="240" w:lineRule="auto"/>
            </w:pPr>
            <w:r>
              <w:rPr>
                <w:color w:val="0070C0"/>
                <w:sz w:val="20"/>
              </w:rPr>
              <w:t>3,26</w:t>
            </w:r>
          </w:p>
        </w:tc>
        <w:tc>
          <w:tcPr>
            <w:tcW w:w="1020" w:type="dxa"/>
          </w:tcPr>
          <w:p w:rsidR="005603EC" w:rsidRDefault="00AB61AC">
            <w:pPr>
              <w:pStyle w:val="Compact"/>
              <w:spacing w:line="240" w:lineRule="auto"/>
            </w:pPr>
            <w:r>
              <w:rPr>
                <w:color w:val="0070C0"/>
                <w:sz w:val="20"/>
              </w:rPr>
              <w:t>2,78</w:t>
            </w:r>
          </w:p>
        </w:tc>
        <w:tc>
          <w:tcPr>
            <w:tcW w:w="1077" w:type="dxa"/>
          </w:tcPr>
          <w:p w:rsidR="005603EC" w:rsidRDefault="00AB61AC">
            <w:pPr>
              <w:pStyle w:val="Compact"/>
              <w:spacing w:line="240" w:lineRule="auto"/>
            </w:pPr>
            <w:r>
              <w:rPr>
                <w:color w:val="0070C0"/>
                <w:sz w:val="20"/>
              </w:rPr>
              <w:t>yashil</w:t>
            </w:r>
          </w:p>
        </w:tc>
        <w:tc>
          <w:tcPr>
            <w:tcW w:w="1134" w:type="dxa"/>
          </w:tcPr>
          <w:p w:rsidR="005603EC" w:rsidRDefault="00AB61AC">
            <w:pPr>
              <w:pStyle w:val="Compact"/>
              <w:spacing w:line="240" w:lineRule="auto"/>
            </w:pPr>
            <w:r>
              <w:rPr>
                <w:color w:val="0070C0"/>
                <w:sz w:val="20"/>
              </w:rPr>
              <w:t>sariq</w:t>
            </w:r>
          </w:p>
        </w:tc>
      </w:tr>
    </w:tbl>
    <w:p w:rsidR="005603EC" w:rsidRDefault="00AB61AC">
      <w:pPr>
        <w:pStyle w:val="af"/>
        <w:spacing w:after="0" w:line="360" w:lineRule="auto"/>
        <w:ind w:firstLine="709"/>
        <w:jc w:val="both"/>
      </w:pPr>
      <w:r>
        <w:lastRenderedPageBreak/>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color w:val="0070C0"/>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8"/>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color w:val="FF0000"/>
        </w:rPr>
        <w:t xml:space="preserve"> Bundan tashqari, Markaziy bank Yevropa bank boshqarmasining risk dashbordi tajribasidan foydalanib</w:t>
      </w:r>
      <w:r>
        <w:rPr>
          <w:rStyle w:val="aff8"/>
          <w:color w:val="FF0000"/>
        </w:rPr>
        <w:footnoteReference w:id="539"/>
      </w:r>
      <w:r>
        <w:rPr>
          <w:color w:val="FF0000"/>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0"/>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1"/>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2"/>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4"/>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0400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0400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1.4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5"/>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color w:val="0070C0"/>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color w:val="0070C0"/>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color w:val="FF0000"/>
        </w:rPr>
        <w:t>ATB da −0,46</w:t>
      </w:r>
      <w:r>
        <w:t xml:space="preserve">, “Mikrokreditbank” ATB da −0,66 ballni tashkil etib, </w:t>
      </w:r>
      <w:r>
        <w:rPr>
          <w:color w:val="FF0000"/>
        </w:rPr>
        <w:t>uning 83–86 foizi</w:t>
      </w:r>
      <w:r>
        <w:t xml:space="preserve"> aktivlar sifati blokiga to‘g‘ri keladi, ya’ni milliy hisobot banklar barqarorligini bir sinfga oshirib ko‘rsatadi.</w:t>
      </w:r>
    </w:p>
    <w:p w:rsidR="005603EC" w:rsidRDefault="00AB61AC">
      <w:pPr>
        <w:numPr>
          <w:ilvl w:val="0"/>
          <w:numId w:val="15"/>
        </w:numPr>
        <w:spacing w:after="0" w:line="360" w:lineRule="auto"/>
        <w:ind w:firstLine="709"/>
        <w:jc w:val="both"/>
      </w:pPr>
      <w:r>
        <w:rPr>
          <w:color w:val="FF0000"/>
        </w:rPr>
        <w:t>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color w:val="FF0000"/>
        </w:rPr>
        <w:t>(tartib korrelyatsiyasi 0,95–0,98)</w:t>
      </w:r>
      <w:r>
        <w:t>. I, II va III sinflardagi banklarda keyingi bir yil ichida jiddiy zarar yuz berish ehtimoli mos ravishda 2,0; 13,3 va 90,0 foizni tashkil etdi</w:t>
      </w:r>
      <w:r>
        <w:rPr>
          <w:color w:val="FF0000"/>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color w:val="FF0000"/>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color w:val="FF0000"/>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color w:val="FF0000"/>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color w:val="FF0000"/>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color w:val="FF0000"/>
        </w:rPr>
        <w:t>16. Tijorat banklarida korporativ boshqaruv to‘g‘risidagi nizom (ro‘yxat raqami 3254, 30.06.2020). – https://lex.uz.</w:t>
      </w:r>
    </w:p>
    <w:p w:rsidR="005603EC" w:rsidRDefault="00AB61AC">
      <w:pPr>
        <w:pStyle w:val="af"/>
        <w:spacing w:after="0" w:line="360" w:lineRule="auto"/>
        <w:ind w:firstLine="709"/>
        <w:jc w:val="both"/>
      </w:pPr>
      <w:r>
        <w:rPr>
          <w:color w:val="FF0000"/>
        </w:rPr>
        <w:t>17. Tijorat banklarida ichki audit to‘g‘risidagi nizom (ro‘yxat raqami 3302, 07.05.2021). – https://lex.uz.</w:t>
      </w:r>
    </w:p>
    <w:p w:rsidR="005603EC" w:rsidRDefault="00AB61AC">
      <w:pPr>
        <w:pStyle w:val="af"/>
        <w:spacing w:after="0" w:line="360" w:lineRule="auto"/>
        <w:ind w:firstLine="709"/>
        <w:jc w:val="both"/>
      </w:pPr>
      <w:r>
        <w:rPr>
          <w:color w:val="FF0000"/>
        </w:rPr>
        <w:t>18. Banklarda risklarni boshqarish tizimi to‘g‘risidagi nizom (ro‘yxat raqami 3427, 18.04.2023). – https://lex.uz.</w:t>
      </w:r>
    </w:p>
    <w:p w:rsidR="005603EC" w:rsidRDefault="00AB61AC">
      <w:pPr>
        <w:pStyle w:val="af"/>
        <w:spacing w:after="0" w:line="360" w:lineRule="auto"/>
        <w:ind w:firstLine="709"/>
        <w:jc w:val="both"/>
      </w:pPr>
      <w:r>
        <w:rPr>
          <w:color w:val="FF0000"/>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color w:val="FF0000"/>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color w:val="FF0000"/>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color w:val="FF0000"/>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color w:val="FF0000"/>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color w:val="FF0000"/>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color w:val="FF0000"/>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color w:val="FF0000"/>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color w:val="FF0000"/>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color w:val="FF0000"/>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color w:val="FF0000"/>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color w:val="FF0000"/>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color w:val="FF0000"/>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color w:val="FF0000"/>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color w:val="FF0000"/>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color w:val="FF0000"/>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color w:val="FF0000"/>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color w:val="FF0000"/>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color w:val="FF0000"/>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color w:val="FF0000"/>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color w:val="0070C0"/>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color w:val="0070C0"/>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color w:val="0070C0"/>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color w:val="FF0000"/>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color w:val="FF0000"/>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11,9 (4,00)</w:t>
            </w:r>
          </w:p>
        </w:tc>
        <w:tc>
          <w:tcPr>
            <w:tcW w:w="2041" w:type="dxa"/>
          </w:tcPr>
          <w:p w:rsidR="005603EC" w:rsidRDefault="00AB61AC">
            <w:pPr>
              <w:jc w:val="center"/>
            </w:pPr>
            <w:r>
              <w:rPr>
                <w:color w:val="FF0000"/>
                <w:sz w:val="18"/>
              </w:rPr>
              <w:t>11,6 (4,00)</w:t>
            </w:r>
          </w:p>
        </w:tc>
        <w:tc>
          <w:tcPr>
            <w:tcW w:w="2041" w:type="dxa"/>
          </w:tcPr>
          <w:p w:rsidR="005603EC" w:rsidRDefault="00AB61AC">
            <w:pPr>
              <w:jc w:val="center"/>
            </w:pPr>
            <w:r>
              <w:rPr>
                <w:color w:val="FF0000"/>
                <w:sz w:val="18"/>
              </w:rPr>
              <w:t>10,7 (4,00)</w:t>
            </w:r>
          </w:p>
        </w:tc>
        <w:tc>
          <w:tcPr>
            <w:tcW w:w="2041" w:type="dxa"/>
          </w:tcPr>
          <w:p w:rsidR="005603EC" w:rsidRDefault="00AB61AC">
            <w:pPr>
              <w:jc w:val="center"/>
            </w:pPr>
            <w:r>
              <w:rPr>
                <w:color w:val="FF0000"/>
                <w:sz w:val="18"/>
              </w:rPr>
              <w:t>10,0 (3,82)</w:t>
            </w:r>
          </w:p>
        </w:tc>
        <w:tc>
          <w:tcPr>
            <w:tcW w:w="2041" w:type="dxa"/>
          </w:tcPr>
          <w:p w:rsidR="005603EC" w:rsidRDefault="00AB61AC">
            <w:pPr>
              <w:jc w:val="center"/>
            </w:pPr>
            <w:r>
              <w:rPr>
                <w:color w:val="FF0000"/>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15,1 (3,86)</w:t>
            </w:r>
          </w:p>
        </w:tc>
        <w:tc>
          <w:tcPr>
            <w:tcW w:w="2041" w:type="dxa"/>
          </w:tcPr>
          <w:p w:rsidR="005603EC" w:rsidRDefault="00AB61AC">
            <w:pPr>
              <w:jc w:val="center"/>
            </w:pPr>
            <w:r>
              <w:rPr>
                <w:color w:val="FF0000"/>
                <w:sz w:val="18"/>
              </w:rPr>
              <w:t>15,0 (3,78)</w:t>
            </w:r>
          </w:p>
        </w:tc>
        <w:tc>
          <w:tcPr>
            <w:tcW w:w="2041" w:type="dxa"/>
          </w:tcPr>
          <w:p w:rsidR="005603EC" w:rsidRDefault="00AB61AC">
            <w:pPr>
              <w:jc w:val="center"/>
            </w:pPr>
            <w:r>
              <w:rPr>
                <w:color w:val="FF0000"/>
                <w:sz w:val="18"/>
              </w:rPr>
              <w:t>15,7 (4,00)</w:t>
            </w:r>
          </w:p>
        </w:tc>
        <w:tc>
          <w:tcPr>
            <w:tcW w:w="2041" w:type="dxa"/>
          </w:tcPr>
          <w:p w:rsidR="005603EC" w:rsidRDefault="00AB61AC">
            <w:pPr>
              <w:jc w:val="center"/>
            </w:pPr>
            <w:r>
              <w:rPr>
                <w:color w:val="FF0000"/>
                <w:sz w:val="18"/>
              </w:rPr>
              <w:t>14,8 (3,71)</w:t>
            </w:r>
          </w:p>
        </w:tc>
        <w:tc>
          <w:tcPr>
            <w:tcW w:w="2041" w:type="dxa"/>
          </w:tcPr>
          <w:p w:rsidR="005603EC" w:rsidRDefault="00AB61AC">
            <w:pPr>
              <w:jc w:val="center"/>
            </w:pPr>
            <w:r>
              <w:rPr>
                <w:color w:val="FF0000"/>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3,95</w:t>
            </w:r>
          </w:p>
        </w:tc>
        <w:tc>
          <w:tcPr>
            <w:tcW w:w="2041" w:type="dxa"/>
          </w:tcPr>
          <w:p w:rsidR="005603EC" w:rsidRDefault="00AB61AC">
            <w:pPr>
              <w:jc w:val="center"/>
            </w:pPr>
            <w:r>
              <w:rPr>
                <w:color w:val="FF0000"/>
                <w:sz w:val="18"/>
              </w:rPr>
              <w:t>3,93</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3,84</w:t>
            </w:r>
          </w:p>
        </w:tc>
        <w:tc>
          <w:tcPr>
            <w:tcW w:w="2041" w:type="dxa"/>
          </w:tcPr>
          <w:p w:rsidR="005603EC" w:rsidRDefault="00AB61AC">
            <w:pPr>
              <w:jc w:val="center"/>
            </w:pPr>
            <w:r>
              <w:rPr>
                <w:color w:val="FF0000"/>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2,92 (qoniqarli)</w:t>
            </w:r>
          </w:p>
        </w:tc>
        <w:tc>
          <w:tcPr>
            <w:tcW w:w="2041" w:type="dxa"/>
          </w:tcPr>
          <w:p w:rsidR="005603EC" w:rsidRDefault="00AB61AC">
            <w:pPr>
              <w:jc w:val="center"/>
            </w:pPr>
            <w:r>
              <w:rPr>
                <w:b/>
                <w:color w:val="FF0000"/>
                <w:sz w:val="18"/>
              </w:rPr>
              <w:t>2,81 (qoniqarli)</w:t>
            </w:r>
          </w:p>
        </w:tc>
        <w:tc>
          <w:tcPr>
            <w:tcW w:w="2041" w:type="dxa"/>
          </w:tcPr>
          <w:p w:rsidR="005603EC" w:rsidRDefault="00AB61AC">
            <w:pPr>
              <w:jc w:val="center"/>
            </w:pPr>
            <w:r>
              <w:rPr>
                <w:b/>
                <w:color w:val="FF0000"/>
                <w:sz w:val="18"/>
              </w:rPr>
              <w:t>2,91 (qoniqarli)</w:t>
            </w:r>
          </w:p>
        </w:tc>
        <w:tc>
          <w:tcPr>
            <w:tcW w:w="2041" w:type="dxa"/>
          </w:tcPr>
          <w:p w:rsidR="005603EC" w:rsidRDefault="00AB61AC">
            <w:pPr>
              <w:jc w:val="center"/>
            </w:pPr>
            <w:r>
              <w:rPr>
                <w:b/>
                <w:color w:val="FF0000"/>
                <w:sz w:val="18"/>
              </w:rPr>
              <w:t>2,72 (qoniqarli)</w:t>
            </w:r>
          </w:p>
        </w:tc>
        <w:tc>
          <w:tcPr>
            <w:tcW w:w="2041" w:type="dxa"/>
          </w:tcPr>
          <w:p w:rsidR="005603EC" w:rsidRDefault="00AB61AC">
            <w:pPr>
              <w:jc w:val="center"/>
            </w:pPr>
            <w:r>
              <w:rPr>
                <w:b/>
                <w:color w:val="FF0000"/>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13,6 (4,00)</w:t>
            </w:r>
          </w:p>
        </w:tc>
        <w:tc>
          <w:tcPr>
            <w:tcW w:w="2041" w:type="dxa"/>
          </w:tcPr>
          <w:p w:rsidR="005603EC" w:rsidRDefault="00AB61AC">
            <w:pPr>
              <w:jc w:val="center"/>
            </w:pPr>
            <w:r>
              <w:rPr>
                <w:color w:val="FF0000"/>
                <w:sz w:val="18"/>
              </w:rPr>
              <w:t>20,2 (4,00)</w:t>
            </w:r>
          </w:p>
        </w:tc>
        <w:tc>
          <w:tcPr>
            <w:tcW w:w="2041" w:type="dxa"/>
          </w:tcPr>
          <w:p w:rsidR="005603EC" w:rsidRDefault="00AB61AC">
            <w:pPr>
              <w:jc w:val="center"/>
            </w:pPr>
            <w:r>
              <w:rPr>
                <w:color w:val="FF0000"/>
                <w:sz w:val="18"/>
              </w:rPr>
              <w:t>16,2 (4,00)</w:t>
            </w:r>
          </w:p>
        </w:tc>
        <w:tc>
          <w:tcPr>
            <w:tcW w:w="2041" w:type="dxa"/>
          </w:tcPr>
          <w:p w:rsidR="005603EC" w:rsidRDefault="00AB61AC">
            <w:pPr>
              <w:jc w:val="center"/>
            </w:pPr>
            <w:r>
              <w:rPr>
                <w:color w:val="FF0000"/>
                <w:sz w:val="18"/>
              </w:rPr>
              <w:t>15,0 (4,00)</w:t>
            </w:r>
          </w:p>
        </w:tc>
        <w:tc>
          <w:tcPr>
            <w:tcW w:w="2041" w:type="dxa"/>
          </w:tcPr>
          <w:p w:rsidR="005603EC" w:rsidRDefault="00AB61AC">
            <w:pPr>
              <w:jc w:val="center"/>
            </w:pPr>
            <w:r>
              <w:rPr>
                <w:color w:val="FF0000"/>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13,9 (3,34)</w:t>
            </w:r>
          </w:p>
        </w:tc>
        <w:tc>
          <w:tcPr>
            <w:tcW w:w="2041" w:type="dxa"/>
          </w:tcPr>
          <w:p w:rsidR="005603EC" w:rsidRDefault="00AB61AC">
            <w:pPr>
              <w:jc w:val="center"/>
            </w:pPr>
            <w:r>
              <w:rPr>
                <w:color w:val="FF0000"/>
                <w:sz w:val="18"/>
              </w:rPr>
              <w:t>20,8 (4,00)</w:t>
            </w:r>
          </w:p>
        </w:tc>
        <w:tc>
          <w:tcPr>
            <w:tcW w:w="2041" w:type="dxa"/>
          </w:tcPr>
          <w:p w:rsidR="005603EC" w:rsidRDefault="00AB61AC">
            <w:pPr>
              <w:jc w:val="center"/>
            </w:pPr>
            <w:r>
              <w:rPr>
                <w:color w:val="FF0000"/>
                <w:sz w:val="18"/>
              </w:rPr>
              <w:t>17,0 (4,00)</w:t>
            </w:r>
          </w:p>
        </w:tc>
        <w:tc>
          <w:tcPr>
            <w:tcW w:w="2041" w:type="dxa"/>
          </w:tcPr>
          <w:p w:rsidR="005603EC" w:rsidRDefault="00AB61AC">
            <w:pPr>
              <w:jc w:val="center"/>
            </w:pPr>
            <w:r>
              <w:rPr>
                <w:color w:val="FF0000"/>
                <w:sz w:val="18"/>
              </w:rPr>
              <w:t>17,4 (4,00)</w:t>
            </w:r>
          </w:p>
        </w:tc>
        <w:tc>
          <w:tcPr>
            <w:tcW w:w="2041" w:type="dxa"/>
          </w:tcPr>
          <w:p w:rsidR="005603EC" w:rsidRDefault="00AB61AC">
            <w:pPr>
              <w:jc w:val="center"/>
            </w:pPr>
            <w:r>
              <w:rPr>
                <w:color w:val="FF0000"/>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3,78</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2,18 (zaif)</w:t>
            </w:r>
          </w:p>
        </w:tc>
        <w:tc>
          <w:tcPr>
            <w:tcW w:w="2041" w:type="dxa"/>
          </w:tcPr>
          <w:p w:rsidR="005603EC" w:rsidRDefault="00AB61AC">
            <w:pPr>
              <w:jc w:val="center"/>
            </w:pPr>
            <w:r>
              <w:rPr>
                <w:b/>
                <w:color w:val="FF0000"/>
                <w:sz w:val="18"/>
              </w:rPr>
              <w:t>2,31 (zaif)</w:t>
            </w:r>
          </w:p>
        </w:tc>
        <w:tc>
          <w:tcPr>
            <w:tcW w:w="2041" w:type="dxa"/>
          </w:tcPr>
          <w:p w:rsidR="005603EC" w:rsidRDefault="00AB61AC">
            <w:pPr>
              <w:jc w:val="center"/>
            </w:pPr>
            <w:r>
              <w:rPr>
                <w:b/>
                <w:color w:val="FF0000"/>
                <w:sz w:val="18"/>
              </w:rPr>
              <w:t>2,22 (zaif)</w:t>
            </w:r>
          </w:p>
        </w:tc>
        <w:tc>
          <w:tcPr>
            <w:tcW w:w="2041" w:type="dxa"/>
          </w:tcPr>
          <w:p w:rsidR="005603EC" w:rsidRDefault="00AB61AC">
            <w:pPr>
              <w:jc w:val="center"/>
            </w:pPr>
            <w:r>
              <w:rPr>
                <w:b/>
                <w:color w:val="FF0000"/>
                <w:sz w:val="18"/>
              </w:rPr>
              <w:t>2,25 (zaif)</w:t>
            </w:r>
          </w:p>
        </w:tc>
        <w:tc>
          <w:tcPr>
            <w:tcW w:w="2041" w:type="dxa"/>
          </w:tcPr>
          <w:p w:rsidR="005603EC" w:rsidRDefault="00AB61AC">
            <w:pPr>
              <w:jc w:val="center"/>
            </w:pPr>
            <w:r>
              <w:rPr>
                <w:b/>
                <w:color w:val="FF0000"/>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color w:val="0070C0"/>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color w:val="0070C0"/>
                <w:sz w:val="18"/>
              </w:rPr>
              <w:t>Ko‘rsatkich</w:t>
            </w:r>
          </w:p>
        </w:tc>
        <w:tc>
          <w:tcPr>
            <w:tcW w:w="2041" w:type="dxa"/>
            <w:shd w:val="clear" w:color="auto" w:fill="DEEBF7"/>
          </w:tcPr>
          <w:p w:rsidR="005603EC" w:rsidRDefault="00AB61AC">
            <w:pPr>
              <w:jc w:val="center"/>
            </w:pPr>
            <w:r>
              <w:rPr>
                <w:b/>
                <w:color w:val="0070C0"/>
                <w:sz w:val="18"/>
              </w:rPr>
              <w:t>2021</w:t>
            </w:r>
          </w:p>
        </w:tc>
        <w:tc>
          <w:tcPr>
            <w:tcW w:w="2041" w:type="dxa"/>
            <w:shd w:val="clear" w:color="auto" w:fill="DEEBF7"/>
          </w:tcPr>
          <w:p w:rsidR="005603EC" w:rsidRDefault="00AB61AC">
            <w:pPr>
              <w:jc w:val="center"/>
            </w:pPr>
            <w:r>
              <w:rPr>
                <w:b/>
                <w:color w:val="0070C0"/>
                <w:sz w:val="18"/>
              </w:rPr>
              <w:t>2022</w:t>
            </w:r>
          </w:p>
        </w:tc>
        <w:tc>
          <w:tcPr>
            <w:tcW w:w="2041" w:type="dxa"/>
            <w:shd w:val="clear" w:color="auto" w:fill="DEEBF7"/>
          </w:tcPr>
          <w:p w:rsidR="005603EC" w:rsidRDefault="00AB61AC">
            <w:pPr>
              <w:jc w:val="center"/>
            </w:pPr>
            <w:r>
              <w:rPr>
                <w:b/>
                <w:color w:val="0070C0"/>
                <w:sz w:val="18"/>
              </w:rPr>
              <w:t>2023</w:t>
            </w:r>
          </w:p>
        </w:tc>
        <w:tc>
          <w:tcPr>
            <w:tcW w:w="2041" w:type="dxa"/>
            <w:shd w:val="clear" w:color="auto" w:fill="DEEBF7"/>
          </w:tcPr>
          <w:p w:rsidR="005603EC" w:rsidRDefault="00AB61AC">
            <w:pPr>
              <w:jc w:val="center"/>
            </w:pPr>
            <w:r>
              <w:rPr>
                <w:b/>
                <w:color w:val="0070C0"/>
                <w:sz w:val="18"/>
              </w:rPr>
              <w:t>2024</w:t>
            </w:r>
          </w:p>
        </w:tc>
        <w:tc>
          <w:tcPr>
            <w:tcW w:w="2041" w:type="dxa"/>
            <w:shd w:val="clear" w:color="auto" w:fill="DEEBF7"/>
          </w:tcPr>
          <w:p w:rsidR="005603EC" w:rsidRDefault="00AB61AC">
            <w:pPr>
              <w:jc w:val="center"/>
            </w:pPr>
            <w:r>
              <w:rPr>
                <w:b/>
                <w:color w:val="0070C0"/>
                <w:sz w:val="18"/>
              </w:rPr>
              <w:t>2025</w:t>
            </w:r>
          </w:p>
        </w:tc>
      </w:tr>
      <w:tr w:rsidR="005603EC">
        <w:trPr>
          <w:cantSplit/>
        </w:trPr>
        <w:tc>
          <w:tcPr>
            <w:tcW w:w="4819" w:type="dxa"/>
          </w:tcPr>
          <w:p w:rsidR="005603EC" w:rsidRDefault="00AB61AC">
            <w:r>
              <w:rPr>
                <w:color w:val="0070C0"/>
                <w:sz w:val="18"/>
              </w:rPr>
              <w:t>K1. CET1 monandligi, %</w:t>
            </w:r>
          </w:p>
        </w:tc>
        <w:tc>
          <w:tcPr>
            <w:tcW w:w="2041" w:type="dxa"/>
          </w:tcPr>
          <w:p w:rsidR="005603EC" w:rsidRDefault="00AB61AC">
            <w:pPr>
              <w:jc w:val="center"/>
            </w:pPr>
            <w:r>
              <w:rPr>
                <w:color w:val="0070C0"/>
                <w:sz w:val="18"/>
              </w:rPr>
              <w:t>12,3 (4,00)</w:t>
            </w:r>
          </w:p>
        </w:tc>
        <w:tc>
          <w:tcPr>
            <w:tcW w:w="2041" w:type="dxa"/>
          </w:tcPr>
          <w:p w:rsidR="005603EC" w:rsidRDefault="00AB61AC">
            <w:pPr>
              <w:jc w:val="center"/>
            </w:pPr>
            <w:r>
              <w:rPr>
                <w:color w:val="0070C0"/>
                <w:sz w:val="18"/>
              </w:rPr>
              <w:t>9,6 (3,65)</w:t>
            </w:r>
          </w:p>
        </w:tc>
        <w:tc>
          <w:tcPr>
            <w:tcW w:w="2041" w:type="dxa"/>
          </w:tcPr>
          <w:p w:rsidR="005603EC" w:rsidRDefault="00AB61AC">
            <w:pPr>
              <w:jc w:val="center"/>
            </w:pPr>
            <w:r>
              <w:rPr>
                <w:color w:val="0070C0"/>
                <w:sz w:val="18"/>
              </w:rPr>
              <w:t>11,5 (4,00)</w:t>
            </w:r>
          </w:p>
        </w:tc>
        <w:tc>
          <w:tcPr>
            <w:tcW w:w="2041" w:type="dxa"/>
          </w:tcPr>
          <w:p w:rsidR="005603EC" w:rsidRDefault="00AB61AC">
            <w:pPr>
              <w:jc w:val="center"/>
            </w:pPr>
            <w:r>
              <w:rPr>
                <w:color w:val="0070C0"/>
                <w:sz w:val="18"/>
              </w:rPr>
              <w:t>11,6 (4,00)</w:t>
            </w:r>
          </w:p>
        </w:tc>
        <w:tc>
          <w:tcPr>
            <w:tcW w:w="2041" w:type="dxa"/>
          </w:tcPr>
          <w:p w:rsidR="005603EC" w:rsidRDefault="00AB61AC">
            <w:pPr>
              <w:jc w:val="center"/>
            </w:pPr>
            <w:r>
              <w:rPr>
                <w:color w:val="0070C0"/>
                <w:sz w:val="18"/>
              </w:rPr>
              <w:t>9,8 (3,71)</w:t>
            </w:r>
          </w:p>
        </w:tc>
      </w:tr>
      <w:tr w:rsidR="005603EC">
        <w:trPr>
          <w:cantSplit/>
        </w:trPr>
        <w:tc>
          <w:tcPr>
            <w:tcW w:w="4819" w:type="dxa"/>
          </w:tcPr>
          <w:p w:rsidR="005603EC" w:rsidRDefault="00AB61AC">
            <w:r>
              <w:rPr>
                <w:color w:val="0070C0"/>
                <w:sz w:val="18"/>
              </w:rPr>
              <w:t>K2. Regulyativ kapital monandligi, %</w:t>
            </w:r>
          </w:p>
        </w:tc>
        <w:tc>
          <w:tcPr>
            <w:tcW w:w="2041" w:type="dxa"/>
          </w:tcPr>
          <w:p w:rsidR="005603EC" w:rsidRDefault="00AB61AC">
            <w:pPr>
              <w:jc w:val="center"/>
            </w:pPr>
            <w:r>
              <w:rPr>
                <w:color w:val="0070C0"/>
                <w:sz w:val="18"/>
              </w:rPr>
              <w:t>14,4 (3,55)</w:t>
            </w:r>
          </w:p>
        </w:tc>
        <w:tc>
          <w:tcPr>
            <w:tcW w:w="2041" w:type="dxa"/>
          </w:tcPr>
          <w:p w:rsidR="005603EC" w:rsidRDefault="00AB61AC">
            <w:pPr>
              <w:jc w:val="center"/>
            </w:pPr>
            <w:r>
              <w:rPr>
                <w:color w:val="0070C0"/>
                <w:sz w:val="18"/>
              </w:rPr>
              <w:t>12,5 (2,81)</w:t>
            </w:r>
          </w:p>
        </w:tc>
        <w:tc>
          <w:tcPr>
            <w:tcW w:w="2041" w:type="dxa"/>
          </w:tcPr>
          <w:p w:rsidR="005603EC" w:rsidRDefault="00AB61AC">
            <w:pPr>
              <w:jc w:val="center"/>
            </w:pPr>
            <w:r>
              <w:rPr>
                <w:color w:val="0070C0"/>
                <w:sz w:val="18"/>
              </w:rPr>
              <w:t>15,1 (3,83)</w:t>
            </w:r>
          </w:p>
        </w:tc>
        <w:tc>
          <w:tcPr>
            <w:tcW w:w="2041" w:type="dxa"/>
          </w:tcPr>
          <w:p w:rsidR="005603EC" w:rsidRDefault="00AB61AC">
            <w:pPr>
              <w:jc w:val="center"/>
            </w:pPr>
            <w:r>
              <w:rPr>
                <w:color w:val="0070C0"/>
                <w:sz w:val="18"/>
              </w:rPr>
              <w:t>14,0 (3,41)</w:t>
            </w:r>
          </w:p>
        </w:tc>
        <w:tc>
          <w:tcPr>
            <w:tcW w:w="2041" w:type="dxa"/>
          </w:tcPr>
          <w:p w:rsidR="005603EC" w:rsidRDefault="00AB61AC">
            <w:pPr>
              <w:jc w:val="center"/>
            </w:pPr>
            <w:r>
              <w:rPr>
                <w:color w:val="0070C0"/>
                <w:sz w:val="18"/>
              </w:rPr>
              <w:t>13,1 (3,04)</w:t>
            </w:r>
          </w:p>
        </w:tc>
      </w:tr>
      <w:tr w:rsidR="005603EC">
        <w:trPr>
          <w:cantSplit/>
        </w:trPr>
        <w:tc>
          <w:tcPr>
            <w:tcW w:w="4819" w:type="dxa"/>
          </w:tcPr>
          <w:p w:rsidR="005603EC" w:rsidRDefault="00AB61AC">
            <w:r>
              <w:rPr>
                <w:color w:val="0070C0"/>
                <w:sz w:val="18"/>
              </w:rPr>
              <w:t>K3. Kapital / aktivlar, %</w:t>
            </w:r>
          </w:p>
        </w:tc>
        <w:tc>
          <w:tcPr>
            <w:tcW w:w="2041" w:type="dxa"/>
          </w:tcPr>
          <w:p w:rsidR="005603EC" w:rsidRDefault="00AB61AC">
            <w:pPr>
              <w:jc w:val="center"/>
            </w:pPr>
            <w:r>
              <w:rPr>
                <w:color w:val="0070C0"/>
                <w:sz w:val="18"/>
              </w:rPr>
              <w:t>12,8 (4,00)</w:t>
            </w:r>
          </w:p>
        </w:tc>
        <w:tc>
          <w:tcPr>
            <w:tcW w:w="2041" w:type="dxa"/>
          </w:tcPr>
          <w:p w:rsidR="005603EC" w:rsidRDefault="00AB61AC">
            <w:pPr>
              <w:jc w:val="center"/>
            </w:pPr>
            <w:r>
              <w:rPr>
                <w:color w:val="0070C0"/>
                <w:sz w:val="18"/>
              </w:rPr>
              <w:t>11,3 (4,00)</w:t>
            </w:r>
          </w:p>
        </w:tc>
        <w:tc>
          <w:tcPr>
            <w:tcW w:w="2041" w:type="dxa"/>
          </w:tcPr>
          <w:p w:rsidR="005603EC" w:rsidRDefault="00AB61AC">
            <w:pPr>
              <w:jc w:val="center"/>
            </w:pPr>
            <w:r>
              <w:rPr>
                <w:color w:val="0070C0"/>
                <w:sz w:val="18"/>
              </w:rPr>
              <w:t>15,2 (4,00)</w:t>
            </w:r>
          </w:p>
        </w:tc>
        <w:tc>
          <w:tcPr>
            <w:tcW w:w="2041" w:type="dxa"/>
          </w:tcPr>
          <w:p w:rsidR="005603EC" w:rsidRDefault="00AB61AC">
            <w:pPr>
              <w:jc w:val="center"/>
            </w:pPr>
            <w:r>
              <w:rPr>
                <w:color w:val="0070C0"/>
                <w:sz w:val="18"/>
              </w:rPr>
              <w:t>13,7 (4,00)</w:t>
            </w:r>
          </w:p>
        </w:tc>
        <w:tc>
          <w:tcPr>
            <w:tcW w:w="2041" w:type="dxa"/>
          </w:tcPr>
          <w:p w:rsidR="005603EC" w:rsidRDefault="00AB61AC">
            <w:pPr>
              <w:jc w:val="center"/>
            </w:pPr>
            <w:r>
              <w:rPr>
                <w:color w:val="0070C0"/>
                <w:sz w:val="18"/>
              </w:rPr>
              <w:t>11,1 (4,00)</w:t>
            </w:r>
          </w:p>
        </w:tc>
      </w:tr>
      <w:tr w:rsidR="005603EC">
        <w:trPr>
          <w:cantSplit/>
        </w:trPr>
        <w:tc>
          <w:tcPr>
            <w:tcW w:w="4819" w:type="dxa"/>
          </w:tcPr>
          <w:p w:rsidR="005603EC" w:rsidRDefault="00AB61AC">
            <w:r>
              <w:rPr>
                <w:color w:val="0070C0"/>
                <w:sz w:val="18"/>
              </w:rPr>
              <w:t>A1. 3-bosqich kreditlari ulushi, %</w:t>
            </w:r>
          </w:p>
        </w:tc>
        <w:tc>
          <w:tcPr>
            <w:tcW w:w="2041" w:type="dxa"/>
          </w:tcPr>
          <w:p w:rsidR="005603EC" w:rsidRDefault="00AB61AC">
            <w:pPr>
              <w:jc w:val="center"/>
            </w:pPr>
            <w:r>
              <w:rPr>
                <w:color w:val="0070C0"/>
                <w:sz w:val="18"/>
              </w:rPr>
              <w:t>10,0 (2,01)</w:t>
            </w:r>
          </w:p>
        </w:tc>
        <w:tc>
          <w:tcPr>
            <w:tcW w:w="2041" w:type="dxa"/>
          </w:tcPr>
          <w:p w:rsidR="005603EC" w:rsidRDefault="00AB61AC">
            <w:pPr>
              <w:jc w:val="center"/>
            </w:pPr>
            <w:r>
              <w:rPr>
                <w:color w:val="0070C0"/>
                <w:sz w:val="18"/>
              </w:rPr>
              <w:t>9,9 (2,01)</w:t>
            </w:r>
          </w:p>
        </w:tc>
        <w:tc>
          <w:tcPr>
            <w:tcW w:w="2041" w:type="dxa"/>
          </w:tcPr>
          <w:p w:rsidR="005603EC" w:rsidRDefault="00AB61AC">
            <w:pPr>
              <w:jc w:val="center"/>
            </w:pPr>
            <w:r>
              <w:rPr>
                <w:color w:val="0070C0"/>
                <w:sz w:val="18"/>
              </w:rPr>
              <w:t>6,1 (2,78)</w:t>
            </w:r>
          </w:p>
        </w:tc>
        <w:tc>
          <w:tcPr>
            <w:tcW w:w="2041" w:type="dxa"/>
          </w:tcPr>
          <w:p w:rsidR="005603EC" w:rsidRDefault="00AB61AC">
            <w:pPr>
              <w:jc w:val="center"/>
            </w:pPr>
            <w:r>
              <w:rPr>
                <w:color w:val="0070C0"/>
                <w:sz w:val="18"/>
              </w:rPr>
              <w:t>7,5 (2,50)</w:t>
            </w:r>
          </w:p>
        </w:tc>
        <w:tc>
          <w:tcPr>
            <w:tcW w:w="2041" w:type="dxa"/>
          </w:tcPr>
          <w:p w:rsidR="005603EC" w:rsidRDefault="00AB61AC">
            <w:pPr>
              <w:jc w:val="center"/>
            </w:pPr>
            <w:r>
              <w:rPr>
                <w:color w:val="0070C0"/>
                <w:sz w:val="18"/>
              </w:rPr>
              <w:t>7,2 (2,56)</w:t>
            </w:r>
          </w:p>
        </w:tc>
      </w:tr>
      <w:tr w:rsidR="005603EC">
        <w:trPr>
          <w:cantSplit/>
        </w:trPr>
        <w:tc>
          <w:tcPr>
            <w:tcW w:w="4819" w:type="dxa"/>
          </w:tcPr>
          <w:p w:rsidR="005603EC" w:rsidRDefault="00AB61AC">
            <w:r>
              <w:rPr>
                <w:color w:val="0070C0"/>
                <w:sz w:val="18"/>
              </w:rPr>
              <w:t>A2. 2-bosqich kreditlari ulushi, %</w:t>
            </w:r>
          </w:p>
        </w:tc>
        <w:tc>
          <w:tcPr>
            <w:tcW w:w="2041" w:type="dxa"/>
          </w:tcPr>
          <w:p w:rsidR="005603EC" w:rsidRDefault="00AB61AC">
            <w:pPr>
              <w:jc w:val="center"/>
            </w:pPr>
            <w:r>
              <w:rPr>
                <w:color w:val="0070C0"/>
                <w:sz w:val="18"/>
              </w:rPr>
              <w:t>4,6 (4,00)</w:t>
            </w:r>
          </w:p>
        </w:tc>
        <w:tc>
          <w:tcPr>
            <w:tcW w:w="2041" w:type="dxa"/>
          </w:tcPr>
          <w:p w:rsidR="005603EC" w:rsidRDefault="00AB61AC">
            <w:pPr>
              <w:jc w:val="center"/>
            </w:pPr>
            <w:r>
              <w:rPr>
                <w:color w:val="0070C0"/>
                <w:sz w:val="18"/>
              </w:rPr>
              <w:t>9,5 (4,00)</w:t>
            </w:r>
          </w:p>
        </w:tc>
        <w:tc>
          <w:tcPr>
            <w:tcW w:w="2041" w:type="dxa"/>
          </w:tcPr>
          <w:p w:rsidR="005603EC" w:rsidRDefault="00AB61AC">
            <w:pPr>
              <w:jc w:val="center"/>
            </w:pPr>
            <w:r>
              <w:rPr>
                <w:color w:val="0070C0"/>
                <w:sz w:val="18"/>
              </w:rPr>
              <w:t>17,7 (2,73)</w:t>
            </w:r>
          </w:p>
        </w:tc>
        <w:tc>
          <w:tcPr>
            <w:tcW w:w="2041" w:type="dxa"/>
          </w:tcPr>
          <w:p w:rsidR="005603EC" w:rsidRDefault="00AB61AC">
            <w:pPr>
              <w:jc w:val="center"/>
            </w:pPr>
            <w:r>
              <w:rPr>
                <w:color w:val="0070C0"/>
                <w:sz w:val="18"/>
              </w:rPr>
              <w:t>12,6 (3,48)</w:t>
            </w:r>
          </w:p>
        </w:tc>
        <w:tc>
          <w:tcPr>
            <w:tcW w:w="2041" w:type="dxa"/>
          </w:tcPr>
          <w:p w:rsidR="005603EC" w:rsidRDefault="00AB61AC">
            <w:pPr>
              <w:jc w:val="center"/>
            </w:pPr>
            <w:r>
              <w:rPr>
                <w:color w:val="0070C0"/>
                <w:sz w:val="18"/>
              </w:rPr>
              <w:t>6,6 (4,00)</w:t>
            </w:r>
          </w:p>
        </w:tc>
      </w:tr>
      <w:tr w:rsidR="005603EC">
        <w:trPr>
          <w:cantSplit/>
        </w:trPr>
        <w:tc>
          <w:tcPr>
            <w:tcW w:w="4819" w:type="dxa"/>
          </w:tcPr>
          <w:p w:rsidR="005603EC" w:rsidRDefault="00AB61AC">
            <w:r>
              <w:rPr>
                <w:color w:val="0070C0"/>
                <w:sz w:val="18"/>
              </w:rPr>
              <w:t>A3. Qoplanmagan NPL / kapital, %</w:t>
            </w:r>
          </w:p>
        </w:tc>
        <w:tc>
          <w:tcPr>
            <w:tcW w:w="2041" w:type="dxa"/>
          </w:tcPr>
          <w:p w:rsidR="005603EC" w:rsidRDefault="00AB61AC">
            <w:pPr>
              <w:jc w:val="center"/>
            </w:pPr>
            <w:r>
              <w:rPr>
                <w:color w:val="0070C0"/>
                <w:sz w:val="18"/>
              </w:rPr>
              <w:t>45,7 (1,00)</w:t>
            </w:r>
          </w:p>
        </w:tc>
        <w:tc>
          <w:tcPr>
            <w:tcW w:w="2041" w:type="dxa"/>
          </w:tcPr>
          <w:p w:rsidR="005603EC" w:rsidRDefault="00AB61AC">
            <w:pPr>
              <w:jc w:val="center"/>
            </w:pPr>
            <w:r>
              <w:rPr>
                <w:color w:val="0070C0"/>
                <w:sz w:val="18"/>
              </w:rPr>
              <w:t>42,7 (1,00)</w:t>
            </w:r>
          </w:p>
        </w:tc>
        <w:tc>
          <w:tcPr>
            <w:tcW w:w="2041" w:type="dxa"/>
          </w:tcPr>
          <w:p w:rsidR="005603EC" w:rsidRDefault="00AB61AC">
            <w:pPr>
              <w:jc w:val="center"/>
            </w:pPr>
            <w:r>
              <w:rPr>
                <w:color w:val="0070C0"/>
                <w:sz w:val="18"/>
              </w:rPr>
              <w:t>17,0 (2,30)</w:t>
            </w:r>
          </w:p>
        </w:tc>
        <w:tc>
          <w:tcPr>
            <w:tcW w:w="2041" w:type="dxa"/>
          </w:tcPr>
          <w:p w:rsidR="005603EC" w:rsidRDefault="00AB61AC">
            <w:pPr>
              <w:jc w:val="center"/>
            </w:pPr>
            <w:r>
              <w:rPr>
                <w:color w:val="0070C0"/>
                <w:sz w:val="18"/>
              </w:rPr>
              <w:t>17,2 (2,28)</w:t>
            </w:r>
          </w:p>
        </w:tc>
        <w:tc>
          <w:tcPr>
            <w:tcW w:w="2041" w:type="dxa"/>
          </w:tcPr>
          <w:p w:rsidR="005603EC" w:rsidRDefault="00AB61AC">
            <w:pPr>
              <w:jc w:val="center"/>
            </w:pPr>
            <w:r>
              <w:rPr>
                <w:color w:val="0070C0"/>
                <w:sz w:val="18"/>
              </w:rPr>
              <w:t>17,8 (2,22)</w:t>
            </w:r>
          </w:p>
        </w:tc>
      </w:tr>
      <w:tr w:rsidR="005603EC">
        <w:trPr>
          <w:cantSplit/>
        </w:trPr>
        <w:tc>
          <w:tcPr>
            <w:tcW w:w="4819" w:type="dxa"/>
          </w:tcPr>
          <w:p w:rsidR="005603EC" w:rsidRDefault="00AB61AC">
            <w:r>
              <w:rPr>
                <w:color w:val="0070C0"/>
                <w:sz w:val="18"/>
              </w:rPr>
              <w:t>L1. Yuqori likvid aktivlar / aktivlar, %</w:t>
            </w:r>
          </w:p>
        </w:tc>
        <w:tc>
          <w:tcPr>
            <w:tcW w:w="2041" w:type="dxa"/>
          </w:tcPr>
          <w:p w:rsidR="005603EC" w:rsidRDefault="00AB61AC">
            <w:pPr>
              <w:jc w:val="center"/>
            </w:pPr>
            <w:r>
              <w:rPr>
                <w:color w:val="0070C0"/>
                <w:sz w:val="18"/>
              </w:rPr>
              <w:t>19,1 (3,82)</w:t>
            </w:r>
          </w:p>
        </w:tc>
        <w:tc>
          <w:tcPr>
            <w:tcW w:w="2041" w:type="dxa"/>
          </w:tcPr>
          <w:p w:rsidR="005603EC" w:rsidRDefault="00AB61AC">
            <w:pPr>
              <w:jc w:val="center"/>
            </w:pPr>
            <w:r>
              <w:rPr>
                <w:color w:val="0070C0"/>
                <w:sz w:val="18"/>
              </w:rPr>
              <w:t>23,1 (4,00)</w:t>
            </w:r>
          </w:p>
        </w:tc>
        <w:tc>
          <w:tcPr>
            <w:tcW w:w="2041" w:type="dxa"/>
          </w:tcPr>
          <w:p w:rsidR="005603EC" w:rsidRDefault="00AB61AC">
            <w:pPr>
              <w:jc w:val="center"/>
            </w:pPr>
            <w:r>
              <w:rPr>
                <w:color w:val="0070C0"/>
                <w:sz w:val="18"/>
              </w:rPr>
              <w:t>12,3 (2,45)</w:t>
            </w:r>
          </w:p>
        </w:tc>
        <w:tc>
          <w:tcPr>
            <w:tcW w:w="2041" w:type="dxa"/>
          </w:tcPr>
          <w:p w:rsidR="005603EC" w:rsidRDefault="00AB61AC">
            <w:pPr>
              <w:jc w:val="center"/>
            </w:pPr>
            <w:r>
              <w:rPr>
                <w:color w:val="0070C0"/>
                <w:sz w:val="18"/>
              </w:rPr>
              <w:t>13,9 (2,78)</w:t>
            </w:r>
          </w:p>
        </w:tc>
        <w:tc>
          <w:tcPr>
            <w:tcW w:w="2041" w:type="dxa"/>
          </w:tcPr>
          <w:p w:rsidR="005603EC" w:rsidRDefault="00AB61AC">
            <w:pPr>
              <w:jc w:val="center"/>
            </w:pPr>
            <w:r>
              <w:rPr>
                <w:color w:val="0070C0"/>
                <w:sz w:val="18"/>
              </w:rPr>
              <w:t>12,7 (2,54)</w:t>
            </w:r>
          </w:p>
        </w:tc>
      </w:tr>
      <w:tr w:rsidR="005603EC">
        <w:trPr>
          <w:cantSplit/>
        </w:trPr>
        <w:tc>
          <w:tcPr>
            <w:tcW w:w="4819" w:type="dxa"/>
          </w:tcPr>
          <w:p w:rsidR="005603EC" w:rsidRDefault="00AB61AC">
            <w:r>
              <w:rPr>
                <w:color w:val="0070C0"/>
                <w:sz w:val="18"/>
              </w:rPr>
              <w:t>L2. Kreditlar / depozitlar, %</w:t>
            </w:r>
          </w:p>
        </w:tc>
        <w:tc>
          <w:tcPr>
            <w:tcW w:w="2041" w:type="dxa"/>
          </w:tcPr>
          <w:p w:rsidR="005603EC" w:rsidRDefault="00AB61AC">
            <w:pPr>
              <w:jc w:val="center"/>
            </w:pPr>
            <w:r>
              <w:rPr>
                <w:color w:val="0070C0"/>
                <w:sz w:val="18"/>
              </w:rPr>
              <w:t>123,1 (2,54)</w:t>
            </w:r>
          </w:p>
        </w:tc>
        <w:tc>
          <w:tcPr>
            <w:tcW w:w="2041" w:type="dxa"/>
          </w:tcPr>
          <w:p w:rsidR="005603EC" w:rsidRDefault="00AB61AC">
            <w:pPr>
              <w:jc w:val="center"/>
            </w:pPr>
            <w:r>
              <w:rPr>
                <w:color w:val="0070C0"/>
                <w:sz w:val="18"/>
              </w:rPr>
              <w:t>128,0 (2,44)</w:t>
            </w:r>
          </w:p>
        </w:tc>
        <w:tc>
          <w:tcPr>
            <w:tcW w:w="2041" w:type="dxa"/>
          </w:tcPr>
          <w:p w:rsidR="005603EC" w:rsidRDefault="00AB61AC">
            <w:pPr>
              <w:jc w:val="center"/>
            </w:pPr>
            <w:r>
              <w:rPr>
                <w:color w:val="0070C0"/>
                <w:sz w:val="18"/>
              </w:rPr>
              <w:t>124,9 (2,50)</w:t>
            </w:r>
          </w:p>
        </w:tc>
        <w:tc>
          <w:tcPr>
            <w:tcW w:w="2041" w:type="dxa"/>
          </w:tcPr>
          <w:p w:rsidR="005603EC" w:rsidRDefault="00AB61AC">
            <w:pPr>
              <w:jc w:val="center"/>
            </w:pPr>
            <w:r>
              <w:rPr>
                <w:color w:val="0070C0"/>
                <w:sz w:val="18"/>
              </w:rPr>
              <w:t>105,6 (2,89)</w:t>
            </w:r>
          </w:p>
        </w:tc>
        <w:tc>
          <w:tcPr>
            <w:tcW w:w="2041" w:type="dxa"/>
          </w:tcPr>
          <w:p w:rsidR="005603EC" w:rsidRDefault="00AB61AC">
            <w:pPr>
              <w:jc w:val="center"/>
            </w:pPr>
            <w:r>
              <w:rPr>
                <w:color w:val="0070C0"/>
                <w:sz w:val="18"/>
              </w:rPr>
              <w:t>140,1 (2,20)</w:t>
            </w:r>
          </w:p>
        </w:tc>
      </w:tr>
      <w:tr w:rsidR="005603EC">
        <w:trPr>
          <w:cantSplit/>
        </w:trPr>
        <w:tc>
          <w:tcPr>
            <w:tcW w:w="4819" w:type="dxa"/>
          </w:tcPr>
          <w:p w:rsidR="005603EC" w:rsidRDefault="00AB61AC">
            <w:r>
              <w:rPr>
                <w:color w:val="0070C0"/>
                <w:sz w:val="18"/>
              </w:rPr>
              <w:t>D1. ROA, %</w:t>
            </w:r>
          </w:p>
        </w:tc>
        <w:tc>
          <w:tcPr>
            <w:tcW w:w="2041" w:type="dxa"/>
          </w:tcPr>
          <w:p w:rsidR="005603EC" w:rsidRDefault="00AB61AC">
            <w:pPr>
              <w:jc w:val="center"/>
            </w:pPr>
            <w:r>
              <w:rPr>
                <w:color w:val="0070C0"/>
                <w:sz w:val="18"/>
              </w:rPr>
              <w:t>1,3 (2,92)</w:t>
            </w:r>
          </w:p>
        </w:tc>
        <w:tc>
          <w:tcPr>
            <w:tcW w:w="2041" w:type="dxa"/>
          </w:tcPr>
          <w:p w:rsidR="005603EC" w:rsidRDefault="00AB61AC">
            <w:pPr>
              <w:jc w:val="center"/>
            </w:pPr>
            <w:r>
              <w:rPr>
                <w:color w:val="0070C0"/>
                <w:sz w:val="18"/>
              </w:rPr>
              <w:t>1,4 (2,98)</w:t>
            </w:r>
          </w:p>
        </w:tc>
        <w:tc>
          <w:tcPr>
            <w:tcW w:w="2041" w:type="dxa"/>
          </w:tcPr>
          <w:p w:rsidR="005603EC" w:rsidRDefault="00AB61AC">
            <w:pPr>
              <w:jc w:val="center"/>
            </w:pPr>
            <w:r>
              <w:rPr>
                <w:color w:val="0070C0"/>
                <w:sz w:val="18"/>
              </w:rPr>
              <w:t>2,3 (4,00)</w:t>
            </w:r>
          </w:p>
        </w:tc>
        <w:tc>
          <w:tcPr>
            <w:tcW w:w="2041" w:type="dxa"/>
          </w:tcPr>
          <w:p w:rsidR="005603EC" w:rsidRDefault="00AB61AC">
            <w:pPr>
              <w:jc w:val="center"/>
            </w:pPr>
            <w:r>
              <w:rPr>
                <w:color w:val="0070C0"/>
                <w:sz w:val="18"/>
              </w:rPr>
              <w:t>1,3 (2,88)</w:t>
            </w:r>
          </w:p>
        </w:tc>
        <w:tc>
          <w:tcPr>
            <w:tcW w:w="2041" w:type="dxa"/>
          </w:tcPr>
          <w:p w:rsidR="005603EC" w:rsidRDefault="00AB61AC">
            <w:pPr>
              <w:jc w:val="center"/>
            </w:pPr>
            <w:r>
              <w:rPr>
                <w:color w:val="0070C0"/>
                <w:sz w:val="18"/>
              </w:rPr>
              <w:t>−0,7 (1,00)</w:t>
            </w:r>
          </w:p>
        </w:tc>
      </w:tr>
      <w:tr w:rsidR="005603EC">
        <w:trPr>
          <w:cantSplit/>
        </w:trPr>
        <w:tc>
          <w:tcPr>
            <w:tcW w:w="4819" w:type="dxa"/>
          </w:tcPr>
          <w:p w:rsidR="005603EC" w:rsidRDefault="00AB61AC">
            <w:r>
              <w:rPr>
                <w:color w:val="0070C0"/>
                <w:sz w:val="18"/>
              </w:rPr>
              <w:t>D2. ROE, %</w:t>
            </w:r>
          </w:p>
        </w:tc>
        <w:tc>
          <w:tcPr>
            <w:tcW w:w="2041" w:type="dxa"/>
          </w:tcPr>
          <w:p w:rsidR="005603EC" w:rsidRDefault="00AB61AC">
            <w:pPr>
              <w:jc w:val="center"/>
            </w:pPr>
            <w:r>
              <w:rPr>
                <w:color w:val="0070C0"/>
                <w:sz w:val="18"/>
              </w:rPr>
              <w:t>9,1 (2,82)</w:t>
            </w:r>
          </w:p>
        </w:tc>
        <w:tc>
          <w:tcPr>
            <w:tcW w:w="2041" w:type="dxa"/>
          </w:tcPr>
          <w:p w:rsidR="005603EC" w:rsidRDefault="00AB61AC">
            <w:pPr>
              <w:jc w:val="center"/>
            </w:pPr>
            <w:r>
              <w:rPr>
                <w:color w:val="0070C0"/>
                <w:sz w:val="18"/>
              </w:rPr>
              <w:t>11,6 (3,32)</w:t>
            </w:r>
          </w:p>
        </w:tc>
        <w:tc>
          <w:tcPr>
            <w:tcW w:w="2041" w:type="dxa"/>
          </w:tcPr>
          <w:p w:rsidR="005603EC" w:rsidRDefault="00AB61AC">
            <w:pPr>
              <w:jc w:val="center"/>
            </w:pPr>
            <w:r>
              <w:rPr>
                <w:color w:val="0070C0"/>
                <w:sz w:val="18"/>
              </w:rPr>
              <w:t>17,1 (4,00)</w:t>
            </w:r>
          </w:p>
        </w:tc>
        <w:tc>
          <w:tcPr>
            <w:tcW w:w="2041" w:type="dxa"/>
          </w:tcPr>
          <w:p w:rsidR="005603EC" w:rsidRDefault="00AB61AC">
            <w:pPr>
              <w:jc w:val="center"/>
            </w:pPr>
            <w:r>
              <w:rPr>
                <w:color w:val="0070C0"/>
                <w:sz w:val="18"/>
              </w:rPr>
              <w:t>9,2 (2,84)</w:t>
            </w:r>
          </w:p>
        </w:tc>
        <w:tc>
          <w:tcPr>
            <w:tcW w:w="2041" w:type="dxa"/>
          </w:tcPr>
          <w:p w:rsidR="005603EC" w:rsidRDefault="00AB61AC">
            <w:pPr>
              <w:jc w:val="center"/>
            </w:pPr>
            <w:r>
              <w:rPr>
                <w:color w:val="0070C0"/>
                <w:sz w:val="18"/>
              </w:rPr>
              <w:t>−5,9 (1,00)</w:t>
            </w:r>
          </w:p>
        </w:tc>
      </w:tr>
      <w:tr w:rsidR="005603EC">
        <w:trPr>
          <w:cantSplit/>
        </w:trPr>
        <w:tc>
          <w:tcPr>
            <w:tcW w:w="4819" w:type="dxa"/>
          </w:tcPr>
          <w:p w:rsidR="005603EC" w:rsidRDefault="00AB61AC">
            <w:r>
              <w:rPr>
                <w:color w:val="0070C0"/>
                <w:sz w:val="18"/>
              </w:rPr>
              <w:t>D3. Xarajatlar / daromadlar, %</w:t>
            </w:r>
          </w:p>
        </w:tc>
        <w:tc>
          <w:tcPr>
            <w:tcW w:w="2041" w:type="dxa"/>
          </w:tcPr>
          <w:p w:rsidR="005603EC" w:rsidRDefault="00AB61AC">
            <w:pPr>
              <w:jc w:val="center"/>
            </w:pPr>
            <w:r>
              <w:rPr>
                <w:color w:val="0070C0"/>
                <w:sz w:val="18"/>
              </w:rPr>
              <w:t>57,1 (3,19)</w:t>
            </w:r>
          </w:p>
        </w:tc>
        <w:tc>
          <w:tcPr>
            <w:tcW w:w="2041" w:type="dxa"/>
          </w:tcPr>
          <w:p w:rsidR="005603EC" w:rsidRDefault="00AB61AC">
            <w:pPr>
              <w:jc w:val="center"/>
            </w:pPr>
            <w:r>
              <w:rPr>
                <w:color w:val="0070C0"/>
                <w:sz w:val="18"/>
              </w:rPr>
              <w:t>61,1 (2,94)</w:t>
            </w:r>
          </w:p>
        </w:tc>
        <w:tc>
          <w:tcPr>
            <w:tcW w:w="2041" w:type="dxa"/>
          </w:tcPr>
          <w:p w:rsidR="005603EC" w:rsidRDefault="00AB61AC">
            <w:pPr>
              <w:jc w:val="center"/>
            </w:pPr>
            <w:r>
              <w:rPr>
                <w:color w:val="0070C0"/>
                <w:sz w:val="18"/>
              </w:rPr>
              <w:t>52,2 (3,52)</w:t>
            </w:r>
          </w:p>
        </w:tc>
        <w:tc>
          <w:tcPr>
            <w:tcW w:w="2041" w:type="dxa"/>
          </w:tcPr>
          <w:p w:rsidR="005603EC" w:rsidRDefault="00AB61AC">
            <w:pPr>
              <w:jc w:val="center"/>
            </w:pPr>
            <w:r>
              <w:rPr>
                <w:color w:val="0070C0"/>
                <w:sz w:val="18"/>
              </w:rPr>
              <w:t>87,5 (1,63)</w:t>
            </w:r>
          </w:p>
        </w:tc>
        <w:tc>
          <w:tcPr>
            <w:tcW w:w="2041" w:type="dxa"/>
          </w:tcPr>
          <w:p w:rsidR="005603EC" w:rsidRDefault="00AB61AC">
            <w:pPr>
              <w:jc w:val="center"/>
            </w:pPr>
            <w:r>
              <w:rPr>
                <w:color w:val="0070C0"/>
                <w:sz w:val="18"/>
              </w:rPr>
              <w:t>89,0 (1,55)</w:t>
            </w:r>
          </w:p>
        </w:tc>
      </w:tr>
      <w:tr w:rsidR="005603EC">
        <w:trPr>
          <w:cantSplit/>
        </w:trPr>
        <w:tc>
          <w:tcPr>
            <w:tcW w:w="4819" w:type="dxa"/>
          </w:tcPr>
          <w:p w:rsidR="005603EC" w:rsidRDefault="00AB61AC">
            <w:r>
              <w:rPr>
                <w:color w:val="0070C0"/>
                <w:sz w:val="18"/>
              </w:rPr>
              <w:t>V1. Valyutadagi kreditlar ulushi, %</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r>
      <w:tr w:rsidR="005603EC">
        <w:trPr>
          <w:cantSplit/>
        </w:trPr>
        <w:tc>
          <w:tcPr>
            <w:tcW w:w="4819" w:type="dxa"/>
          </w:tcPr>
          <w:p w:rsidR="005603EC" w:rsidRDefault="00AB61AC">
            <w:r>
              <w:rPr>
                <w:color w:val="0070C0"/>
                <w:sz w:val="18"/>
              </w:rPr>
              <w:t>V2. Valyutadagi majburiyatlar ulushi, %</w:t>
            </w:r>
          </w:p>
        </w:tc>
        <w:tc>
          <w:tcPr>
            <w:tcW w:w="2041" w:type="dxa"/>
          </w:tcPr>
          <w:p w:rsidR="005603EC" w:rsidRDefault="00AB61AC">
            <w:pPr>
              <w:jc w:val="center"/>
            </w:pPr>
            <w:r>
              <w:rPr>
                <w:color w:val="0070C0"/>
                <w:sz w:val="18"/>
              </w:rPr>
              <w:t>45,3 (2,65)</w:t>
            </w:r>
          </w:p>
        </w:tc>
        <w:tc>
          <w:tcPr>
            <w:tcW w:w="2041" w:type="dxa"/>
          </w:tcPr>
          <w:p w:rsidR="005603EC" w:rsidRDefault="00AB61AC">
            <w:pPr>
              <w:jc w:val="center"/>
            </w:pPr>
            <w:r>
              <w:rPr>
                <w:color w:val="0070C0"/>
                <w:sz w:val="18"/>
              </w:rPr>
              <w:t>41,7 (2,89)</w:t>
            </w:r>
          </w:p>
        </w:tc>
        <w:tc>
          <w:tcPr>
            <w:tcW w:w="2041" w:type="dxa"/>
          </w:tcPr>
          <w:p w:rsidR="005603EC" w:rsidRDefault="00AB61AC">
            <w:pPr>
              <w:jc w:val="center"/>
            </w:pPr>
            <w:r>
              <w:rPr>
                <w:color w:val="0070C0"/>
                <w:sz w:val="18"/>
              </w:rPr>
              <w:t>35,5 (3,30)</w:t>
            </w:r>
          </w:p>
        </w:tc>
        <w:tc>
          <w:tcPr>
            <w:tcW w:w="2041" w:type="dxa"/>
          </w:tcPr>
          <w:p w:rsidR="005603EC" w:rsidRDefault="00AB61AC">
            <w:pPr>
              <w:jc w:val="center"/>
            </w:pPr>
            <w:r>
              <w:rPr>
                <w:color w:val="0070C0"/>
                <w:sz w:val="18"/>
              </w:rPr>
              <w:t>25,9 (3,94)</w:t>
            </w:r>
          </w:p>
        </w:tc>
        <w:tc>
          <w:tcPr>
            <w:tcW w:w="2041" w:type="dxa"/>
          </w:tcPr>
          <w:p w:rsidR="005603EC" w:rsidRDefault="00AB61AC">
            <w:pPr>
              <w:jc w:val="center"/>
            </w:pPr>
            <w:r>
              <w:rPr>
                <w:color w:val="0070C0"/>
                <w:sz w:val="18"/>
              </w:rPr>
              <w:t>31,4 (3,57)</w:t>
            </w:r>
          </w:p>
        </w:tc>
      </w:tr>
      <w:tr w:rsidR="005603EC">
        <w:trPr>
          <w:cantSplit/>
        </w:trPr>
        <w:tc>
          <w:tcPr>
            <w:tcW w:w="4819" w:type="dxa"/>
          </w:tcPr>
          <w:p w:rsidR="005603EC" w:rsidRDefault="00AB61AC">
            <w:r>
              <w:rPr>
                <w:color w:val="0070C0"/>
                <w:sz w:val="18"/>
              </w:rPr>
              <w:t>Kapital yetarliligi bloki</w:t>
            </w:r>
          </w:p>
        </w:tc>
        <w:tc>
          <w:tcPr>
            <w:tcW w:w="2041" w:type="dxa"/>
          </w:tcPr>
          <w:p w:rsidR="005603EC" w:rsidRDefault="00AB61AC">
            <w:pPr>
              <w:jc w:val="center"/>
            </w:pPr>
            <w:r>
              <w:rPr>
                <w:color w:val="0070C0"/>
                <w:sz w:val="18"/>
              </w:rPr>
              <w:t>3,85</w:t>
            </w:r>
          </w:p>
        </w:tc>
        <w:tc>
          <w:tcPr>
            <w:tcW w:w="2041" w:type="dxa"/>
          </w:tcPr>
          <w:p w:rsidR="005603EC" w:rsidRDefault="00AB61AC">
            <w:pPr>
              <w:jc w:val="center"/>
            </w:pPr>
            <w:r>
              <w:rPr>
                <w:color w:val="0070C0"/>
                <w:sz w:val="18"/>
              </w:rPr>
              <w:t>3,49</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3,80</w:t>
            </w:r>
          </w:p>
        </w:tc>
        <w:tc>
          <w:tcPr>
            <w:tcW w:w="2041" w:type="dxa"/>
          </w:tcPr>
          <w:p w:rsidR="005603EC" w:rsidRDefault="00AB61AC">
            <w:pPr>
              <w:jc w:val="center"/>
            </w:pPr>
            <w:r>
              <w:rPr>
                <w:color w:val="0070C0"/>
                <w:sz w:val="18"/>
              </w:rPr>
              <w:t>3,58</w:t>
            </w:r>
          </w:p>
        </w:tc>
      </w:tr>
      <w:tr w:rsidR="005603EC">
        <w:trPr>
          <w:cantSplit/>
        </w:trPr>
        <w:tc>
          <w:tcPr>
            <w:tcW w:w="4819" w:type="dxa"/>
          </w:tcPr>
          <w:p w:rsidR="005603EC" w:rsidRDefault="00AB61AC">
            <w:r>
              <w:rPr>
                <w:color w:val="0070C0"/>
                <w:sz w:val="18"/>
              </w:rPr>
              <w:t>Aktivlar sifati bloki</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2,60</w:t>
            </w:r>
          </w:p>
        </w:tc>
        <w:tc>
          <w:tcPr>
            <w:tcW w:w="2041" w:type="dxa"/>
          </w:tcPr>
          <w:p w:rsidR="005603EC" w:rsidRDefault="00AB61AC">
            <w:pPr>
              <w:jc w:val="center"/>
            </w:pPr>
            <w:r>
              <w:rPr>
                <w:color w:val="0070C0"/>
                <w:sz w:val="18"/>
              </w:rPr>
              <w:t>2,75</w:t>
            </w:r>
          </w:p>
        </w:tc>
        <w:tc>
          <w:tcPr>
            <w:tcW w:w="2041" w:type="dxa"/>
          </w:tcPr>
          <w:p w:rsidR="005603EC" w:rsidRDefault="00AB61AC">
            <w:pPr>
              <w:jc w:val="center"/>
            </w:pPr>
            <w:r>
              <w:rPr>
                <w:color w:val="0070C0"/>
                <w:sz w:val="18"/>
              </w:rPr>
              <w:t>2,93</w:t>
            </w:r>
          </w:p>
        </w:tc>
      </w:tr>
      <w:tr w:rsidR="005603EC">
        <w:trPr>
          <w:cantSplit/>
        </w:trPr>
        <w:tc>
          <w:tcPr>
            <w:tcW w:w="4819" w:type="dxa"/>
          </w:tcPr>
          <w:p w:rsidR="005603EC" w:rsidRDefault="00AB61AC">
            <w:r>
              <w:rPr>
                <w:color w:val="0070C0"/>
                <w:sz w:val="18"/>
              </w:rPr>
              <w:t>Likvidlik bloki</w:t>
            </w:r>
          </w:p>
        </w:tc>
        <w:tc>
          <w:tcPr>
            <w:tcW w:w="2041" w:type="dxa"/>
          </w:tcPr>
          <w:p w:rsidR="005603EC" w:rsidRDefault="00AB61AC">
            <w:pPr>
              <w:jc w:val="center"/>
            </w:pPr>
            <w:r>
              <w:rPr>
                <w:color w:val="0070C0"/>
                <w:sz w:val="18"/>
              </w:rPr>
              <w:t>3,18</w:t>
            </w:r>
          </w:p>
        </w:tc>
        <w:tc>
          <w:tcPr>
            <w:tcW w:w="2041" w:type="dxa"/>
          </w:tcPr>
          <w:p w:rsidR="005603EC" w:rsidRDefault="00AB61AC">
            <w:pPr>
              <w:jc w:val="center"/>
            </w:pPr>
            <w:r>
              <w:rPr>
                <w:color w:val="0070C0"/>
                <w:sz w:val="18"/>
              </w:rPr>
              <w:t>3,22</w:t>
            </w:r>
          </w:p>
        </w:tc>
        <w:tc>
          <w:tcPr>
            <w:tcW w:w="2041" w:type="dxa"/>
          </w:tcPr>
          <w:p w:rsidR="005603EC" w:rsidRDefault="00AB61AC">
            <w:pPr>
              <w:jc w:val="center"/>
            </w:pPr>
            <w:r>
              <w:rPr>
                <w:color w:val="0070C0"/>
                <w:sz w:val="18"/>
              </w:rPr>
              <w:t>2,48</w:t>
            </w:r>
          </w:p>
        </w:tc>
        <w:tc>
          <w:tcPr>
            <w:tcW w:w="2041" w:type="dxa"/>
          </w:tcPr>
          <w:p w:rsidR="005603EC" w:rsidRDefault="00AB61AC">
            <w:pPr>
              <w:jc w:val="center"/>
            </w:pPr>
            <w:r>
              <w:rPr>
                <w:color w:val="0070C0"/>
                <w:sz w:val="18"/>
              </w:rPr>
              <w:t>2,83</w:t>
            </w:r>
          </w:p>
        </w:tc>
        <w:tc>
          <w:tcPr>
            <w:tcW w:w="2041" w:type="dxa"/>
          </w:tcPr>
          <w:p w:rsidR="005603EC" w:rsidRDefault="00AB61AC">
            <w:pPr>
              <w:jc w:val="center"/>
            </w:pPr>
            <w:r>
              <w:rPr>
                <w:color w:val="0070C0"/>
                <w:sz w:val="18"/>
              </w:rPr>
              <w:t>2,37</w:t>
            </w:r>
          </w:p>
        </w:tc>
      </w:tr>
      <w:tr w:rsidR="005603EC">
        <w:trPr>
          <w:cantSplit/>
        </w:trPr>
        <w:tc>
          <w:tcPr>
            <w:tcW w:w="4819" w:type="dxa"/>
          </w:tcPr>
          <w:p w:rsidR="005603EC" w:rsidRDefault="00AB61AC">
            <w:r>
              <w:rPr>
                <w:color w:val="0070C0"/>
                <w:sz w:val="18"/>
              </w:rPr>
              <w:t>Daromadlilik bloki</w:t>
            </w:r>
          </w:p>
        </w:tc>
        <w:tc>
          <w:tcPr>
            <w:tcW w:w="2041" w:type="dxa"/>
          </w:tcPr>
          <w:p w:rsidR="005603EC" w:rsidRDefault="00AB61AC">
            <w:pPr>
              <w:jc w:val="center"/>
            </w:pPr>
            <w:r>
              <w:rPr>
                <w:color w:val="0070C0"/>
                <w:sz w:val="18"/>
              </w:rPr>
              <w:t>2,98</w:t>
            </w:r>
          </w:p>
        </w:tc>
        <w:tc>
          <w:tcPr>
            <w:tcW w:w="2041" w:type="dxa"/>
          </w:tcPr>
          <w:p w:rsidR="005603EC" w:rsidRDefault="00AB61AC">
            <w:pPr>
              <w:jc w:val="center"/>
            </w:pPr>
            <w:r>
              <w:rPr>
                <w:color w:val="0070C0"/>
                <w:sz w:val="18"/>
              </w:rPr>
              <w:t>3,08</w:t>
            </w:r>
          </w:p>
        </w:tc>
        <w:tc>
          <w:tcPr>
            <w:tcW w:w="2041" w:type="dxa"/>
          </w:tcPr>
          <w:p w:rsidR="005603EC" w:rsidRDefault="00AB61AC">
            <w:pPr>
              <w:jc w:val="center"/>
            </w:pPr>
            <w:r>
              <w:rPr>
                <w:color w:val="0070C0"/>
                <w:sz w:val="18"/>
              </w:rPr>
              <w:t>3,84</w:t>
            </w:r>
          </w:p>
        </w:tc>
        <w:tc>
          <w:tcPr>
            <w:tcW w:w="2041" w:type="dxa"/>
          </w:tcPr>
          <w:p w:rsidR="005603EC" w:rsidRDefault="00AB61AC">
            <w:pPr>
              <w:jc w:val="center"/>
            </w:pPr>
            <w:r>
              <w:rPr>
                <w:color w:val="0070C0"/>
                <w:sz w:val="18"/>
              </w:rPr>
              <w:t>2,45</w:t>
            </w:r>
          </w:p>
        </w:tc>
        <w:tc>
          <w:tcPr>
            <w:tcW w:w="2041" w:type="dxa"/>
          </w:tcPr>
          <w:p w:rsidR="005603EC" w:rsidRDefault="00AB61AC">
            <w:pPr>
              <w:jc w:val="center"/>
            </w:pPr>
            <w:r>
              <w:rPr>
                <w:color w:val="0070C0"/>
                <w:sz w:val="18"/>
              </w:rPr>
              <w:t>1,18</w:t>
            </w:r>
          </w:p>
        </w:tc>
      </w:tr>
      <w:tr w:rsidR="005603EC">
        <w:trPr>
          <w:cantSplit/>
        </w:trPr>
        <w:tc>
          <w:tcPr>
            <w:tcW w:w="4819" w:type="dxa"/>
          </w:tcPr>
          <w:p w:rsidR="005603EC" w:rsidRDefault="00AB61AC">
            <w:r>
              <w:rPr>
                <w:color w:val="0070C0"/>
                <w:sz w:val="18"/>
              </w:rPr>
              <w:t>Valyuta riski bloki</w:t>
            </w:r>
          </w:p>
        </w:tc>
        <w:tc>
          <w:tcPr>
            <w:tcW w:w="2041" w:type="dxa"/>
          </w:tcPr>
          <w:p w:rsidR="005603EC" w:rsidRDefault="00AB61AC">
            <w:pPr>
              <w:jc w:val="center"/>
            </w:pPr>
            <w:r>
              <w:rPr>
                <w:color w:val="0070C0"/>
                <w:sz w:val="18"/>
              </w:rPr>
              <w:t>2,65</w:t>
            </w:r>
          </w:p>
        </w:tc>
        <w:tc>
          <w:tcPr>
            <w:tcW w:w="2041" w:type="dxa"/>
          </w:tcPr>
          <w:p w:rsidR="005603EC" w:rsidRDefault="00AB61AC">
            <w:pPr>
              <w:jc w:val="center"/>
            </w:pPr>
            <w:r>
              <w:rPr>
                <w:color w:val="0070C0"/>
                <w:sz w:val="18"/>
              </w:rPr>
              <w:t>2,89</w:t>
            </w:r>
          </w:p>
        </w:tc>
        <w:tc>
          <w:tcPr>
            <w:tcW w:w="2041" w:type="dxa"/>
          </w:tcPr>
          <w:p w:rsidR="005603EC" w:rsidRDefault="00AB61AC">
            <w:pPr>
              <w:jc w:val="center"/>
            </w:pPr>
            <w:r>
              <w:rPr>
                <w:color w:val="0070C0"/>
                <w:sz w:val="18"/>
              </w:rPr>
              <w:t>3,30</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3,57</w:t>
            </w:r>
          </w:p>
        </w:tc>
      </w:tr>
      <w:tr w:rsidR="005603EC">
        <w:trPr>
          <w:cantSplit/>
        </w:trPr>
        <w:tc>
          <w:tcPr>
            <w:tcW w:w="4819" w:type="dxa"/>
          </w:tcPr>
          <w:p w:rsidR="005603EC" w:rsidRDefault="00AB61AC">
            <w:r>
              <w:rPr>
                <w:b/>
                <w:color w:val="0070C0"/>
                <w:sz w:val="18"/>
              </w:rPr>
              <w:t>MBII (sinf)</w:t>
            </w:r>
          </w:p>
        </w:tc>
        <w:tc>
          <w:tcPr>
            <w:tcW w:w="2041" w:type="dxa"/>
          </w:tcPr>
          <w:p w:rsidR="005603EC" w:rsidRDefault="00AB61AC">
            <w:pPr>
              <w:jc w:val="center"/>
            </w:pPr>
            <w:r>
              <w:rPr>
                <w:b/>
                <w:color w:val="0070C0"/>
                <w:sz w:val="18"/>
              </w:rPr>
              <w:t>3,01 (qoniqarli)</w:t>
            </w:r>
          </w:p>
        </w:tc>
        <w:tc>
          <w:tcPr>
            <w:tcW w:w="2041" w:type="dxa"/>
          </w:tcPr>
          <w:p w:rsidR="005603EC" w:rsidRDefault="00AB61AC">
            <w:pPr>
              <w:jc w:val="center"/>
            </w:pPr>
            <w:r>
              <w:rPr>
                <w:b/>
                <w:color w:val="0070C0"/>
                <w:sz w:val="18"/>
              </w:rPr>
              <w:t>2,97 (qoniqarli)</w:t>
            </w:r>
          </w:p>
        </w:tc>
        <w:tc>
          <w:tcPr>
            <w:tcW w:w="2041" w:type="dxa"/>
          </w:tcPr>
          <w:p w:rsidR="005603EC" w:rsidRDefault="00AB61AC">
            <w:pPr>
              <w:jc w:val="center"/>
            </w:pPr>
            <w:r>
              <w:rPr>
                <w:b/>
                <w:color w:val="0070C0"/>
                <w:sz w:val="18"/>
              </w:rPr>
              <w:t>3,17 (qoniqarli)</w:t>
            </w:r>
          </w:p>
        </w:tc>
        <w:tc>
          <w:tcPr>
            <w:tcW w:w="2041" w:type="dxa"/>
          </w:tcPr>
          <w:p w:rsidR="005603EC" w:rsidRDefault="00AB61AC">
            <w:pPr>
              <w:jc w:val="center"/>
            </w:pPr>
            <w:r>
              <w:rPr>
                <w:b/>
                <w:color w:val="0070C0"/>
                <w:sz w:val="18"/>
              </w:rPr>
              <w:t>3,10 (qoniqarli)</w:t>
            </w:r>
          </w:p>
        </w:tc>
        <w:tc>
          <w:tcPr>
            <w:tcW w:w="2041" w:type="dxa"/>
          </w:tcPr>
          <w:p w:rsidR="005603EC" w:rsidRDefault="00AB61AC">
            <w:pPr>
              <w:jc w:val="center"/>
            </w:pPr>
            <w:r>
              <w:rPr>
                <w:b/>
                <w:color w:val="0070C0"/>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color w:val="FF0000"/>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color w:val="FF0000"/>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color w:val="FF0000"/>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color w:val="FF0000"/>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color w:val="FF0000"/>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Izoh: har bir katakda vaznlar ekspert vaznlari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color w:val="FF0000"/>
          <w:sz w:val="24"/>
        </w:rPr>
        <w:t xml:space="preserve">9-ilova</w:t>
      </w:r>
    </w:p>
    <w:p w:rsidR="005603EC" w:rsidRDefault="00AB61AC">
      <w:pPr>
        <w:spacing w:after="120" w:line="240" w:lineRule="auto"/>
        <w:jc w:val="center"/>
      </w:pPr>
      <w:r>
        <w:rPr>
          <w:b/>
          <w:color w:val="FF0000"/>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color w:val="FF0000"/>
                <w:sz w:val="18"/>
              </w:rPr>
              <w:t xml:space="preserve">№</w:t>
            </w:r>
          </w:p>
        </w:tc>
        <w:tc>
          <w:tcPr>
            <w:tcW w:w="2700" w:type="dxa"/>
            <w:shd w:val="clear" w:color="auto" w:fill="DEEBF7"/>
          </w:tcPr>
          <w:p>
            <w:pPr>
              <w:jc w:val="center"/>
            </w:pPr>
            <w:r>
              <w:rPr>
                <w:b/>
                <w:color w:val="FF0000"/>
                <w:sz w:val="18"/>
              </w:rPr>
              <w:t xml:space="preserve">Bank, mamlakat</w:t>
            </w:r>
          </w:p>
        </w:tc>
        <w:tc>
          <w:tcPr>
            <w:tcW w:w="700" w:type="dxa"/>
            <w:shd w:val="clear" w:color="auto" w:fill="DEEBF7"/>
          </w:tcPr>
          <w:p>
            <w:pPr>
              <w:jc w:val="center"/>
            </w:pPr>
            <w:r>
              <w:rPr>
                <w:b/>
                <w:color w:val="FF0000"/>
                <w:sz w:val="18"/>
              </w:rPr>
              <w:t xml:space="preserve">Yil</w:t>
            </w:r>
          </w:p>
        </w:tc>
        <w:tc>
          <w:tcPr>
            <w:tcW w:w="6300" w:type="dxa"/>
            <w:shd w:val="clear" w:color="auto" w:fill="DEEBF7"/>
          </w:tcPr>
          <w:p>
            <w:pPr>
              <w:jc w:val="center"/>
            </w:pPr>
            <w:r>
              <w:rPr>
                <w:b/>
                <w:color w:val="FF0000"/>
                <w:sz w:val="18"/>
              </w:rPr>
              <w:t xml:space="preserve">Rasmiy hisobotlarda qayd etilgan sabablar</w:t>
            </w:r>
          </w:p>
        </w:tc>
        <w:tc>
          <w:tcPr>
            <w:tcW w:w="420" w:type="dxa"/>
            <w:shd w:val="clear" w:color="auto" w:fill="DEEBF7"/>
          </w:tcPr>
          <w:p>
            <w:pPr>
              <w:jc w:val="center"/>
            </w:pPr>
            <w:r>
              <w:rPr>
                <w:b/>
                <w:color w:val="FF0000"/>
                <w:sz w:val="18"/>
              </w:rPr>
              <w:t xml:space="preserve">B</w:t>
            </w:r>
          </w:p>
        </w:tc>
        <w:tc>
          <w:tcPr>
            <w:tcW w:w="420" w:type="dxa"/>
            <w:shd w:val="clear" w:color="auto" w:fill="DEEBF7"/>
          </w:tcPr>
          <w:p>
            <w:pPr>
              <w:jc w:val="center"/>
            </w:pPr>
            <w:r>
              <w:rPr>
                <w:b/>
                <w:color w:val="FF0000"/>
                <w:sz w:val="18"/>
              </w:rPr>
              <w:t xml:space="preserve">A</w:t>
            </w:r>
          </w:p>
        </w:tc>
        <w:tc>
          <w:tcPr>
            <w:tcW w:w="420" w:type="dxa"/>
            <w:shd w:val="clear" w:color="auto" w:fill="DEEBF7"/>
          </w:tcPr>
          <w:p>
            <w:pPr>
              <w:jc w:val="center"/>
            </w:pPr>
            <w:r>
              <w:rPr>
                <w:b/>
                <w:color w:val="FF0000"/>
                <w:sz w:val="18"/>
              </w:rPr>
              <w:t xml:space="preserve">N</w:t>
            </w:r>
          </w:p>
        </w:tc>
        <w:tc>
          <w:tcPr>
            <w:tcW w:w="420" w:type="dxa"/>
            <w:shd w:val="clear" w:color="auto" w:fill="DEEBF7"/>
          </w:tcPr>
          <w:p>
            <w:pPr>
              <w:jc w:val="center"/>
            </w:pPr>
            <w:r>
              <w:rPr>
                <w:b/>
                <w:color w:val="FF0000"/>
                <w:sz w:val="18"/>
              </w:rPr>
              <w:t xml:space="preserve">F</w:t>
            </w:r>
          </w:p>
        </w:tc>
        <w:tc>
          <w:tcPr>
            <w:tcW w:w="420" w:type="dxa"/>
            <w:shd w:val="clear" w:color="auto" w:fill="DEEBF7"/>
          </w:tcPr>
          <w:p>
            <w:pPr>
              <w:jc w:val="center"/>
            </w:pPr>
            <w:r>
              <w:rPr>
                <w:b/>
                <w:color w:val="FF0000"/>
                <w:sz w:val="18"/>
              </w:rPr>
              <w:t xml:space="preserve">L</w:t>
            </w:r>
          </w:p>
        </w:tc>
        <w:tc>
          <w:tcPr>
            <w:tcW w:w="420" w:type="dxa"/>
            <w:shd w:val="clear" w:color="auto" w:fill="DEEBF7"/>
          </w:tcPr>
          <w:p>
            <w:pPr>
              <w:jc w:val="center"/>
            </w:pPr>
            <w:r>
              <w:rPr>
                <w:b/>
                <w:color w:val="FF0000"/>
                <w:sz w:val="18"/>
              </w:rPr>
              <w:t xml:space="preserve">S</w:t>
            </w:r>
          </w:p>
        </w:tc>
        <w:tc>
          <w:tcPr>
            <w:tcW w:w="420" w:type="dxa"/>
            <w:shd w:val="clear" w:color="auto" w:fill="DEEBF7"/>
          </w:tcPr>
          <w:p>
            <w:pPr>
              <w:jc w:val="center"/>
            </w:pPr>
            <w:r>
              <w:rPr>
                <w:b/>
                <w:color w:val="FF0000"/>
                <w:sz w:val="18"/>
              </w:rPr>
              <w:t xml:space="preserve">D</w:t>
            </w:r>
          </w:p>
        </w:tc>
        <w:tc>
          <w:tcPr>
            <w:tcW w:w="1330" w:type="dxa"/>
            <w:shd w:val="clear" w:color="auto" w:fill="DEEBF7"/>
          </w:tcPr>
          <w:p>
            <w:pPr>
              <w:jc w:val="center"/>
            </w:pPr>
            <w:r>
              <w:rPr>
                <w:b/>
                <w:color w:val="FF0000"/>
                <w:sz w:val="18"/>
              </w:rPr>
              <w:t xml:space="preserve">Manba</w:t>
            </w:r>
          </w:p>
        </w:tc>
      </w:tr>
      <w:tr>
        <w:trPr>
          <w:cantSplit/>
        </w:trPr>
        <w:tc>
          <w:tcPr>
            <w:tcW w:w="600" w:type="dxa"/>
          </w:tcPr>
          <w:p>
            <w:pPr>
              <w:jc w:val="center"/>
            </w:pPr>
            <w:r>
              <w:rPr>
                <w:color w:val="FF0000"/>
                <w:sz w:val="18"/>
              </w:rPr>
              <w:t xml:space="preserve">1</w:t>
            </w:r>
          </w:p>
        </w:tc>
        <w:tc>
          <w:tcPr>
            <w:tcW w:w="2700" w:type="dxa"/>
          </w:tcPr>
          <w:p>
            <w:pPr/>
            <w:r>
              <w:rPr>
                <w:color w:val="FF0000"/>
                <w:sz w:val="18"/>
              </w:rPr>
              <w:t xml:space="preserve">Greensill Bank AG (Germaniya)</w:t>
            </w:r>
          </w:p>
        </w:tc>
        <w:tc>
          <w:tcPr>
            <w:tcW w:w="700" w:type="dxa"/>
          </w:tcPr>
          <w:p>
            <w:pPr>
              <w:jc w:val="center"/>
            </w:pPr>
            <w:r>
              <w:rPr>
                <w:color w:val="FF0000"/>
                <w:sz w:val="18"/>
              </w:rPr>
              <w:t xml:space="preserve">2021</w:t>
            </w:r>
          </w:p>
        </w:tc>
        <w:tc>
          <w:tcPr>
            <w:tcW w:w="6300" w:type="dxa"/>
          </w:tcPr>
          <w:p>
            <w:pPr/>
            <w:r>
              <w:rPr>
                <w:color w:val="FF0000"/>
                <w:sz w:val="18"/>
              </w:rPr>
              <w:t xml:space="preserve">Balansdagi GFG Alliance guruhi debitorlik qarzlari mavjudligini tasdiqlay olmaslik (kredit konsentratsiyasi); balansni soxtalashtirish bo‘yicha jinoiy ariza</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BaFin</w:t>
            </w:r>
          </w:p>
        </w:tc>
      </w:tr>
      <w:tr>
        <w:trPr>
          <w:cantSplit/>
        </w:trPr>
        <w:tc>
          <w:tcPr>
            <w:tcW w:w="600" w:type="dxa"/>
          </w:tcPr>
          <w:p>
            <w:pPr>
              <w:jc w:val="center"/>
            </w:pPr>
            <w:r>
              <w:rPr>
                <w:color w:val="FF0000"/>
                <w:sz w:val="18"/>
              </w:rPr>
              <w:t xml:space="preserve">2</w:t>
            </w:r>
          </w:p>
        </w:tc>
        <w:tc>
          <w:tcPr>
            <w:tcW w:w="2700" w:type="dxa"/>
          </w:tcPr>
          <w:p>
            <w:pPr/>
            <w:r>
              <w:rPr>
                <w:color w:val="FF0000"/>
                <w:sz w:val="18"/>
              </w:rPr>
              <w:t xml:space="preserve">Silicon Valley Bank (AQSh)</w:t>
            </w:r>
          </w:p>
        </w:tc>
        <w:tc>
          <w:tcPr>
            <w:tcW w:w="700" w:type="dxa"/>
          </w:tcPr>
          <w:p>
            <w:pPr>
              <w:jc w:val="center"/>
            </w:pPr>
            <w:r>
              <w:rPr>
                <w:color w:val="FF0000"/>
                <w:sz w:val="18"/>
              </w:rPr>
              <w:t xml:space="preserve">2023</w:t>
            </w:r>
          </w:p>
        </w:tc>
        <w:tc>
          <w:tcPr>
            <w:tcW w:w="6300" w:type="dxa"/>
          </w:tcPr>
          <w:p>
            <w:pPr/>
            <w:r>
              <w:rPr>
                <w:color w:val="FF0000"/>
                <w:sz w:val="18"/>
              </w:rPr>
              <w:t xml:space="preserve">Boshqaruv tez o‘sish va konsentratsiya risklarini nazorat qilmagan; foiz stavkasi riski xedjlari olib tashlangan; 40 mlrd dollarlik depozitlar oqimi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FRT OIG, 2023-SR-B-013</w:t>
            </w:r>
          </w:p>
        </w:tc>
      </w:tr>
      <w:tr>
        <w:trPr>
          <w:cantSplit/>
        </w:trPr>
        <w:tc>
          <w:tcPr>
            <w:tcW w:w="600" w:type="dxa"/>
          </w:tcPr>
          <w:p>
            <w:pPr>
              <w:jc w:val="center"/>
            </w:pPr>
            <w:r>
              <w:rPr>
                <w:color w:val="FF0000"/>
                <w:sz w:val="18"/>
              </w:rPr>
              <w:t xml:space="preserve">3</w:t>
            </w:r>
          </w:p>
        </w:tc>
        <w:tc>
          <w:tcPr>
            <w:tcW w:w="2700" w:type="dxa"/>
          </w:tcPr>
          <w:p>
            <w:pPr/>
            <w:r>
              <w:rPr>
                <w:color w:val="FF0000"/>
                <w:sz w:val="18"/>
              </w:rPr>
              <w:t xml:space="preserve">Signature Bank (AQSh)</w:t>
            </w:r>
          </w:p>
        </w:tc>
        <w:tc>
          <w:tcPr>
            <w:tcW w:w="700" w:type="dxa"/>
          </w:tcPr>
          <w:p>
            <w:pPr>
              <w:jc w:val="center"/>
            </w:pPr>
            <w:r>
              <w:rPr>
                <w:color w:val="FF0000"/>
                <w:sz w:val="18"/>
              </w:rPr>
              <w:t xml:space="preserve">2023</w:t>
            </w:r>
          </w:p>
        </w:tc>
        <w:tc>
          <w:tcPr>
            <w:tcW w:w="6300" w:type="dxa"/>
          </w:tcPr>
          <w:p>
            <w:pPr/>
            <w:r>
              <w:rPr>
                <w:color w:val="FF0000"/>
                <w:sz w:val="18"/>
              </w:rPr>
              <w:t xml:space="preserve">Likvidlik va favqulodda moliyalashtirish mexanizmlarining yetarli emasligi; boshqaruvning risk menejmenti amaliyoti zaif</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EVAL-24-02</w:t>
            </w:r>
          </w:p>
        </w:tc>
      </w:tr>
      <w:tr>
        <w:trPr>
          <w:cantSplit/>
        </w:trPr>
        <w:tc>
          <w:tcPr>
            <w:tcW w:w="600" w:type="dxa"/>
          </w:tcPr>
          <w:p>
            <w:pPr>
              <w:jc w:val="center"/>
            </w:pPr>
            <w:r>
              <w:rPr>
                <w:color w:val="FF0000"/>
                <w:sz w:val="18"/>
              </w:rPr>
              <w:t xml:space="preserve">4</w:t>
            </w:r>
          </w:p>
        </w:tc>
        <w:tc>
          <w:tcPr>
            <w:tcW w:w="2700" w:type="dxa"/>
          </w:tcPr>
          <w:p>
            <w:pPr/>
            <w:r>
              <w:rPr>
                <w:color w:val="FF0000"/>
                <w:sz w:val="18"/>
              </w:rPr>
              <w:t xml:space="preserve">First Republic Bank (AQSh)</w:t>
            </w:r>
          </w:p>
        </w:tc>
        <w:tc>
          <w:tcPr>
            <w:tcW w:w="700" w:type="dxa"/>
          </w:tcPr>
          <w:p>
            <w:pPr>
              <w:jc w:val="center"/>
            </w:pPr>
            <w:r>
              <w:rPr>
                <w:color w:val="FF0000"/>
                <w:sz w:val="18"/>
              </w:rPr>
              <w:t xml:space="preserve">2023</w:t>
            </w:r>
          </w:p>
        </w:tc>
        <w:tc>
          <w:tcPr>
            <w:tcW w:w="6300" w:type="dxa"/>
          </w:tcPr>
          <w:p>
            <w:pPr/>
            <w:r>
              <w:rPr>
                <w:color w:val="FF0000"/>
                <w:sz w:val="18"/>
              </w:rPr>
              <w:t xml:space="preserve">Sug‘urtalanmagan depozitlar konsentratsiyasi, aktiv va passivlar muddatlarining nomutanosibligi, foiz stavkasi riski; boshqa banklar inqirozining yuqumli ta’siri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FDIC OIG, EVAL-24-03</w:t>
            </w:r>
          </w:p>
        </w:tc>
      </w:tr>
      <w:tr>
        <w:trPr>
          <w:cantSplit/>
        </w:trPr>
        <w:tc>
          <w:tcPr>
            <w:tcW w:w="600" w:type="dxa"/>
          </w:tcPr>
          <w:p>
            <w:pPr>
              <w:jc w:val="center"/>
            </w:pPr>
            <w:r>
              <w:rPr>
                <w:color w:val="FF0000"/>
                <w:sz w:val="18"/>
              </w:rPr>
              <w:t xml:space="preserve">5</w:t>
            </w:r>
          </w:p>
        </w:tc>
        <w:tc>
          <w:tcPr>
            <w:tcW w:w="2700" w:type="dxa"/>
          </w:tcPr>
          <w:p>
            <w:pPr/>
            <w:r>
              <w:rPr>
                <w:color w:val="FF0000"/>
                <w:sz w:val="18"/>
              </w:rPr>
              <w:t xml:space="preserve">Heartland Tri-State Bank (AQSh)</w:t>
            </w:r>
          </w:p>
        </w:tc>
        <w:tc>
          <w:tcPr>
            <w:tcW w:w="700" w:type="dxa"/>
          </w:tcPr>
          <w:p>
            <w:pPr>
              <w:jc w:val="center"/>
            </w:pPr>
            <w:r>
              <w:rPr>
                <w:color w:val="FF0000"/>
                <w:sz w:val="18"/>
              </w:rPr>
              <w:t xml:space="preserve">2023</w:t>
            </w:r>
          </w:p>
        </w:tc>
        <w:tc>
          <w:tcPr>
            <w:tcW w:w="6300" w:type="dxa"/>
          </w:tcPr>
          <w:p>
            <w:pPr/>
            <w:r>
              <w:rPr>
                <w:color w:val="FF0000"/>
                <w:sz w:val="18"/>
              </w:rPr>
              <w:t xml:space="preserve">Bosh direktorning firibgarlik bilan bog‘liq 47,1 mln dollarlik pul o‘tkazmalari; ichki nazoratning buzilishi va rahbarning hukmron mavqei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FRT OIG, 2024-SR-B-004</w:t>
            </w:r>
          </w:p>
        </w:tc>
      </w:tr>
      <w:tr>
        <w:trPr>
          <w:cantSplit/>
        </w:trPr>
        <w:tc>
          <w:tcPr>
            <w:tcW w:w="600" w:type="dxa"/>
          </w:tcPr>
          <w:p>
            <w:pPr>
              <w:jc w:val="center"/>
            </w:pPr>
            <w:r>
              <w:rPr>
                <w:color w:val="FF0000"/>
                <w:sz w:val="18"/>
              </w:rPr>
              <w:t xml:space="preserve">6</w:t>
            </w:r>
          </w:p>
        </w:tc>
        <w:tc>
          <w:tcPr>
            <w:tcW w:w="2700" w:type="dxa"/>
          </w:tcPr>
          <w:p>
            <w:pPr/>
            <w:r>
              <w:rPr>
                <w:color w:val="FF0000"/>
                <w:sz w:val="18"/>
              </w:rPr>
              <w:t xml:space="preserve">Citizens Bank (AQSh)</w:t>
            </w:r>
          </w:p>
        </w:tc>
        <w:tc>
          <w:tcPr>
            <w:tcW w:w="700" w:type="dxa"/>
          </w:tcPr>
          <w:p>
            <w:pPr>
              <w:jc w:val="center"/>
            </w:pPr>
            <w:r>
              <w:rPr>
                <w:color w:val="FF0000"/>
                <w:sz w:val="18"/>
              </w:rPr>
              <w:t xml:space="preserve">2023</w:t>
            </w:r>
          </w:p>
        </w:tc>
        <w:tc>
          <w:tcPr>
            <w:tcW w:w="6300" w:type="dxa"/>
          </w:tcPr>
          <w:p>
            <w:pPr/>
            <w:r>
              <w:rPr>
                <w:color w:val="FF0000"/>
                <w:sz w:val="18"/>
              </w:rPr>
              <w:t xml:space="preserve">Kengash va boshqaruvning sust kreditlash amaliyoti; yirik yuk tashish kompaniyalari kreditlarining yomonlashuvi</w:t>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AEC 24-01</w:t>
            </w:r>
          </w:p>
        </w:tc>
      </w:tr>
      <w:tr>
        <w:trPr>
          <w:cantSplit/>
        </w:trPr>
        <w:tc>
          <w:tcPr>
            <w:tcW w:w="600" w:type="dxa"/>
          </w:tcPr>
          <w:p>
            <w:pPr>
              <w:jc w:val="center"/>
            </w:pPr>
            <w:r>
              <w:rPr>
                <w:color w:val="FF0000"/>
                <w:sz w:val="18"/>
              </w:rPr>
              <w:t xml:space="preserve">7</w:t>
            </w:r>
          </w:p>
        </w:tc>
        <w:tc>
          <w:tcPr>
            <w:tcW w:w="2700" w:type="dxa"/>
          </w:tcPr>
          <w:p>
            <w:pPr/>
            <w:r>
              <w:rPr>
                <w:color w:val="FF0000"/>
                <w:sz w:val="18"/>
              </w:rPr>
              <w:t xml:space="preserve">North Channel Bank (Germaniya)</w:t>
            </w:r>
          </w:p>
        </w:tc>
        <w:tc>
          <w:tcPr>
            <w:tcW w:w="700" w:type="dxa"/>
          </w:tcPr>
          <w:p>
            <w:pPr>
              <w:jc w:val="center"/>
            </w:pPr>
            <w:r>
              <w:rPr>
                <w:color w:val="FF0000"/>
                <w:sz w:val="18"/>
              </w:rPr>
              <w:t xml:space="preserve">2023</w:t>
            </w:r>
          </w:p>
        </w:tc>
        <w:tc>
          <w:tcPr>
            <w:tcW w:w="6300" w:type="dxa"/>
          </w:tcPr>
          <w:p>
            <w:pPr/>
            <w:r>
              <w:rPr>
                <w:color w:val="FF0000"/>
                <w:sz w:val="18"/>
              </w:rPr>
              <w:t xml:space="preserve">Surunkali zarar va barqaror biznes modelining yo‘qligi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1330" w:type="dxa"/>
          </w:tcPr>
          <w:p>
            <w:pPr/>
            <w:r>
              <w:rPr>
                <w:color w:val="FF0000"/>
                <w:sz w:val="18"/>
              </w:rPr>
              <w:t xml:space="preserve">BaFin</w:t>
            </w:r>
          </w:p>
        </w:tc>
      </w:tr>
      <w:tr>
        <w:trPr>
          <w:cantSplit/>
        </w:trPr>
        <w:tc>
          <w:tcPr>
            <w:tcW w:w="600" w:type="dxa"/>
          </w:tcPr>
          <w:p>
            <w:pPr>
              <w:jc w:val="center"/>
            </w:pPr>
            <w:r>
              <w:rPr>
                <w:color w:val="FF0000"/>
                <w:sz w:val="18"/>
              </w:rPr>
              <w:t xml:space="preserve">8</w:t>
            </w:r>
          </w:p>
        </w:tc>
        <w:tc>
          <w:tcPr>
            <w:tcW w:w="2700" w:type="dxa"/>
          </w:tcPr>
          <w:p>
            <w:pPr/>
            <w:r>
              <w:rPr>
                <w:color w:val="FF0000"/>
                <w:sz w:val="18"/>
              </w:rPr>
              <w:t xml:space="preserve">SVB UK (Buyuk Britaniya)</w:t>
            </w:r>
          </w:p>
        </w:tc>
        <w:tc>
          <w:tcPr>
            <w:tcW w:w="700" w:type="dxa"/>
          </w:tcPr>
          <w:p>
            <w:pPr>
              <w:jc w:val="center"/>
            </w:pPr>
            <w:r>
              <w:rPr>
                <w:color w:val="FF0000"/>
                <w:sz w:val="18"/>
              </w:rPr>
              <w:t xml:space="preserve">2023</w:t>
            </w:r>
          </w:p>
        </w:tc>
        <w:tc>
          <w:tcPr>
            <w:tcW w:w="6300" w:type="dxa"/>
          </w:tcPr>
          <w:p>
            <w:pPr/>
            <w:r>
              <w:rPr>
                <w:color w:val="FF0000"/>
                <w:sz w:val="18"/>
              </w:rPr>
              <w:t xml:space="preserve">Bosh bank inqirozi sababli depozitlar oqimi va likvidlik tanqisligi; mijozlar bazasining texnologiya sohasida konsentratsiyasi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Angliya banki</w:t>
            </w:r>
          </w:p>
        </w:tc>
      </w:tr>
      <w:tr>
        <w:trPr>
          <w:cantSplit/>
        </w:trPr>
        <w:tc>
          <w:tcPr>
            <w:tcW w:w="600" w:type="dxa"/>
          </w:tcPr>
          <w:p>
            <w:pPr>
              <w:jc w:val="center"/>
            </w:pPr>
            <w:r>
              <w:rPr>
                <w:color w:val="FF0000"/>
                <w:sz w:val="18"/>
              </w:rPr>
              <w:t xml:space="preserve">9</w:t>
            </w:r>
          </w:p>
        </w:tc>
        <w:tc>
          <w:tcPr>
            <w:tcW w:w="2700" w:type="dxa"/>
          </w:tcPr>
          <w:p>
            <w:pPr/>
            <w:r>
              <w:rPr>
                <w:color w:val="FF0000"/>
                <w:sz w:val="18"/>
              </w:rPr>
              <w:t xml:space="preserve">Republic First Bank (AQSh)</w:t>
            </w:r>
          </w:p>
        </w:tc>
        <w:tc>
          <w:tcPr>
            <w:tcW w:w="700" w:type="dxa"/>
          </w:tcPr>
          <w:p>
            <w:pPr>
              <w:jc w:val="center"/>
            </w:pPr>
            <w:r>
              <w:rPr>
                <w:color w:val="FF0000"/>
                <w:sz w:val="18"/>
              </w:rPr>
              <w:t xml:space="preserve">2024</w:t>
            </w:r>
          </w:p>
        </w:tc>
        <w:tc>
          <w:tcPr>
            <w:tcW w:w="6300" w:type="dxa"/>
          </w:tcPr>
          <w:p>
            <w:pPr/>
            <w:r>
              <w:rPr>
                <w:color w:val="FF0000"/>
                <w:sz w:val="18"/>
              </w:rPr>
              <w:t xml:space="preserve">Muddatigacha saqlanadigan qimmatli qog‘ozlar bo‘yicha zararlarni tan olish (foiz stavkasi riski); kengash va boshqaruvning samarasizligi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FDIC OIG, EVAL-25-01</w:t>
            </w:r>
          </w:p>
        </w:tc>
      </w:tr>
      <w:tr>
        <w:trPr>
          <w:cantSplit/>
        </w:trPr>
        <w:tc>
          <w:tcPr>
            <w:tcW w:w="600" w:type="dxa"/>
          </w:tcPr>
          <w:p>
            <w:pPr>
              <w:jc w:val="center"/>
            </w:pPr>
            <w:r>
              <w:rPr>
                <w:color w:val="FF0000"/>
                <w:sz w:val="18"/>
              </w:rPr>
              <w:t xml:space="preserve">10</w:t>
            </w:r>
          </w:p>
        </w:tc>
        <w:tc>
          <w:tcPr>
            <w:tcW w:w="2700" w:type="dxa"/>
          </w:tcPr>
          <w:p>
            <w:pPr/>
            <w:r>
              <w:rPr>
                <w:color w:val="FF0000"/>
                <w:sz w:val="18"/>
              </w:rPr>
              <w:t xml:space="preserve">First National Bank of Lindsay (AQSh)</w:t>
            </w:r>
          </w:p>
        </w:tc>
        <w:tc>
          <w:tcPr>
            <w:tcW w:w="700" w:type="dxa"/>
          </w:tcPr>
          <w:p>
            <w:pPr>
              <w:jc w:val="center"/>
            </w:pPr>
            <w:r>
              <w:rPr>
                <w:color w:val="FF0000"/>
                <w:sz w:val="18"/>
              </w:rPr>
              <w:t xml:space="preserve">2024</w:t>
            </w:r>
          </w:p>
        </w:tc>
        <w:tc>
          <w:tcPr>
            <w:tcW w:w="6300" w:type="dxa"/>
          </w:tcPr>
          <w:p>
            <w:pPr/>
            <w:r>
              <w:rPr>
                <w:color w:val="FF0000"/>
                <w:sz w:val="18"/>
              </w:rPr>
              <w:t xml:space="preserve">Ichki nazoratning keskin buzilishi natijasida kredit portfeli va likvid aktivlarga ta’sir qilgan firibgarlik</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G‘aznachilik OIG, OIG-25-024</w:t>
            </w:r>
          </w:p>
        </w:tc>
      </w:tr>
      <w:tr>
        <w:trPr>
          <w:cantSplit/>
        </w:trPr>
        <w:tc>
          <w:tcPr>
            <w:tcW w:w="600" w:type="dxa"/>
          </w:tcPr>
          <w:p>
            <w:pPr>
              <w:jc w:val="center"/>
            </w:pPr>
            <w:r>
              <w:rPr>
                <w:color w:val="FF0000"/>
                <w:sz w:val="18"/>
              </w:rPr>
              <w:t xml:space="preserve">11</w:t>
            </w:r>
          </w:p>
        </w:tc>
        <w:tc>
          <w:tcPr>
            <w:tcW w:w="2700" w:type="dxa"/>
          </w:tcPr>
          <w:p>
            <w:pPr/>
            <w:r>
              <w:rPr>
                <w:color w:val="FF0000"/>
                <w:sz w:val="18"/>
              </w:rPr>
              <w:t xml:space="preserve">Pulaski Savings Bank (AQSh)</w:t>
            </w:r>
          </w:p>
        </w:tc>
        <w:tc>
          <w:tcPr>
            <w:tcW w:w="700" w:type="dxa"/>
          </w:tcPr>
          <w:p>
            <w:pPr>
              <w:jc w:val="center"/>
            </w:pPr>
            <w:r>
              <w:rPr>
                <w:color w:val="FF0000"/>
                <w:sz w:val="18"/>
              </w:rPr>
              <w:t xml:space="preserve">2025</w:t>
            </w:r>
          </w:p>
        </w:tc>
        <w:tc>
          <w:tcPr>
            <w:tcW w:w="6300" w:type="dxa"/>
          </w:tcPr>
          <w:p>
            <w:pPr/>
            <w:r>
              <w:rPr>
                <w:color w:val="FF0000"/>
                <w:sz w:val="18"/>
              </w:rPr>
              <w:t xml:space="preserve">Kapitalning qadrsizlanishi: buxgalteriya tizimida aks ettirilmagan 20,7 mln dollarlik depozit sertifikatlari; kengash va boshqaruv nazoratining zaifligi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REV-25-02, EVAL-26-01</w:t>
            </w:r>
          </w:p>
        </w:tc>
      </w:tr>
      <w:tr>
        <w:trPr>
          <w:cantSplit/>
        </w:trPr>
        <w:tc>
          <w:tcPr>
            <w:tcW w:w="600" w:type="dxa"/>
          </w:tcPr>
          <w:p>
            <w:pPr>
              <w:jc w:val="center"/>
            </w:pPr>
            <w:r>
              <w:rPr>
                <w:color w:val="FF0000"/>
                <w:sz w:val="18"/>
              </w:rPr>
              <w:t xml:space="preserve">12</w:t>
            </w:r>
          </w:p>
        </w:tc>
        <w:tc>
          <w:tcPr>
            <w:tcW w:w="2700" w:type="dxa"/>
          </w:tcPr>
          <w:p>
            <w:pPr/>
            <w:r>
              <w:rPr>
                <w:color w:val="FF0000"/>
                <w:sz w:val="18"/>
              </w:rPr>
              <w:t xml:space="preserve">Santa Anna National Bank (AQSh)</w:t>
            </w:r>
          </w:p>
        </w:tc>
        <w:tc>
          <w:tcPr>
            <w:tcW w:w="700" w:type="dxa"/>
          </w:tcPr>
          <w:p>
            <w:pPr>
              <w:jc w:val="center"/>
            </w:pPr>
            <w:r>
              <w:rPr>
                <w:color w:val="FF0000"/>
                <w:sz w:val="18"/>
              </w:rPr>
              <w:t xml:space="preserve">2025</w:t>
            </w:r>
          </w:p>
        </w:tc>
        <w:tc>
          <w:tcPr>
            <w:tcW w:w="6300" w:type="dxa"/>
          </w:tcPr>
          <w:p>
            <w:pPr/>
            <w:r>
              <w:rPr>
                <w:color w:val="FF0000"/>
                <w:sz w:val="18"/>
              </w:rPr>
              <w:t xml:space="preserve">Ichki nazoratning keskin buzilishi natijasida kredit portfeliga ta’sir qilgan firibgarlik; kengash nazoratining zaifligi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G‘aznachilik OIG, OIG-26-023</w:t>
            </w:r>
          </w:p>
        </w:tc>
      </w:tr>
      <w:tr>
        <w:trPr>
          <w:cantSplit/>
        </w:trPr>
        <w:tc>
          <w:tcPr>
            <w:tcW w:w="600" w:type="dxa"/>
            <w:shd w:val="clear" w:color="auto" w:fill="DEEBF7"/>
          </w:tcPr>
          <w:p>
            <w:pPr>
              <w:jc w:val="center"/>
            </w:pPr>
            <w:r>
              <w:rPr>
                <w:b/>
                <w:color w:val="FF0000"/>
                <w:sz w:val="18"/>
              </w:rPr>
              <w:t xml:space="preserve"/>
            </w:r>
          </w:p>
        </w:tc>
        <w:tc>
          <w:tcPr>
            <w:tcW w:w="2700" w:type="dxa"/>
            <w:shd w:val="clear" w:color="auto" w:fill="DEEBF7"/>
          </w:tcPr>
          <w:p>
            <w:pPr/>
            <w:r>
              <w:rPr>
                <w:b/>
                <w:color w:val="FF0000"/>
                <w:sz w:val="18"/>
              </w:rPr>
              <w:t xml:space="preserve">Jami, %</w:t>
            </w:r>
          </w:p>
        </w:tc>
        <w:tc>
          <w:tcPr>
            <w:tcW w:w="700" w:type="dxa"/>
            <w:shd w:val="clear" w:color="auto" w:fill="DEEBF7"/>
          </w:tcPr>
          <w:p>
            <w:pPr>
              <w:jc w:val="center"/>
            </w:pPr>
            <w:r>
              <w:rPr>
                <w:b/>
                <w:color w:val="FF0000"/>
                <w:sz w:val="18"/>
              </w:rPr>
              <w:t xml:space="preserve"/>
            </w:r>
          </w:p>
        </w:tc>
        <w:tc>
          <w:tcPr>
            <w:tcW w:w="6300" w:type="dxa"/>
            <w:shd w:val="clear" w:color="auto" w:fill="DEEBF7"/>
          </w:tcPr>
          <w:p>
            <w:pPr/>
            <w:r>
              <w:rPr>
                <w:b/>
                <w:color w:val="FF0000"/>
                <w:sz w:val="18"/>
              </w:rPr>
              <w:t xml:space="preserve">12 ta bank bo‘yicha ulush</w:t>
            </w:r>
          </w:p>
        </w:tc>
        <w:tc>
          <w:tcPr>
            <w:tcW w:w="420" w:type="dxa"/>
            <w:shd w:val="clear" w:color="auto" w:fill="DEEBF7"/>
          </w:tcPr>
          <w:p>
            <w:pPr>
              <w:jc w:val="center"/>
            </w:pPr>
            <w:r>
              <w:rPr>
                <w:b/>
                <w:color w:val="FF0000"/>
                <w:sz w:val="18"/>
              </w:rPr>
              <w:t xml:space="preserve">58</w:t>
            </w:r>
          </w:p>
        </w:tc>
        <w:tc>
          <w:tcPr>
            <w:tcW w:w="420" w:type="dxa"/>
            <w:shd w:val="clear" w:color="auto" w:fill="DEEBF7"/>
          </w:tcPr>
          <w:p>
            <w:pPr>
              <w:jc w:val="center"/>
            </w:pPr>
            <w:r>
              <w:rPr>
                <w:b/>
                <w:color w:val="FF0000"/>
                <w:sz w:val="18"/>
              </w:rPr>
              <w:t xml:space="preserve">17</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25</w:t>
            </w:r>
          </w:p>
        </w:tc>
        <w:tc>
          <w:tcPr>
            <w:tcW w:w="420" w:type="dxa"/>
            <w:shd w:val="clear" w:color="auto" w:fill="DEEBF7"/>
          </w:tcPr>
          <w:p>
            <w:pPr>
              <w:jc w:val="center"/>
            </w:pPr>
            <w:r>
              <w:rPr>
                <w:b/>
                <w:color w:val="FF0000"/>
                <w:sz w:val="18"/>
              </w:rPr>
              <w:t xml:space="preserve">8</w:t>
            </w:r>
          </w:p>
        </w:tc>
        <w:tc>
          <w:tcPr>
            <w:tcW w:w="1330" w:type="dxa"/>
            <w:shd w:val="clear" w:color="auto" w:fill="DEEBF7"/>
          </w:tcPr>
          <w:p>
            <w:pPr/>
            <w:r>
              <w:rPr>
                <w:b/>
                <w:color w:val="FF0000"/>
                <w:sz w:val="18"/>
              </w:rPr>
              <w:t xml:space="preserve"/>
            </w:r>
          </w:p>
        </w:tc>
      </w:tr>
    </w:tbl>
    <w:p w:rsidR="005603EC" w:rsidRDefault="00AB61AC">
      <w:pPr>
        <w:spacing w:after="80" w:line="240" w:lineRule="auto"/>
        <w:jc w:val="both"/>
      </w:pPr>
      <w:r>
        <w:rPr>
          <w:i/>
          <w:color w:val="FF0000"/>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color w:val="FF0000"/>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color w:val="FF0000"/>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color w:val="FF0000"/>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color w:val="FF0000"/>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color w:val="FF0000"/>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color w:val="FF0000"/>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color w:val="FF0000"/>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color w:val="FF0000"/>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color w:val="FF0000"/>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color w:val="FF0000"/>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color w:val="FF0000"/>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color w:val="FF0000"/>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color w:val="FF0000"/>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color w:val="FF0000"/>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color w:val="FF0000"/>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color w:val="FF0000"/>
        </w:rPr>
        <w:t xml:space="preserve"> Bank of England, Prudential Regulation Authority. The Prudential Regulation Authority’s approach to banking supervision. – London: Bank of England, July 2023 – P. 18, 43.</w:t>
      </w:r>
    </w:p>
  </w:footnote>
  <w:footnote w:id="194">
    <w:p w:rsidR="00AB61AC" w:rsidRPr="00E65E68" w:rsidRDefault="00AB61AC">
      <w:pPr>
        <w:pStyle w:val="aff9"/>
        <w:rPr>
          <w:lang w:val="ru-RU"/>
        </w:rPr>
      </w:pPr>
      <w:r>
        <w:rPr>
          <w:rStyle w:val="aff8"/>
        </w:rPr>
        <w:footnoteRef/>
      </w:r>
      <w:r w:rsidRPr="00E65E68">
        <w:rPr>
          <w:lang w:val="ru-RU"/>
        </w:rPr>
        <w:t xml:space="preserve"> </w:t>
      </w:r>
      <w:r>
        <w:rPr>
          <w:color w:val="FF0000"/>
        </w:rPr>
        <w:t xml:space="preserve">Tadqiqot natijasida muallif tomonidan quyidagi manba asosida ishlab chiqildi: Bank of England, Prudential Regulation Authority. The Prudential Regulation Authority’s approach to banking supervision. – London: Bank of England, July 2023 – P. 43–45 (Box 5).</w:t>
      </w:r>
    </w:p>
  </w:footnote>
  <w:footnote w:id="195">
    <w:p w:rsidR="00AB61AC" w:rsidRDefault="00AB61AC">
      <w:pPr>
        <w:pStyle w:val="aff9"/>
      </w:pPr>
      <w:r>
        <w:rPr>
          <w:rStyle w:val="aff8"/>
        </w:rPr>
        <w:footnoteRef/>
      </w:r>
      <w:r>
        <w:rPr>
          <w:color w:val="FF0000"/>
        </w:rPr>
        <w:t xml:space="preserve"> Bank of England, Prudential Regulation Authority. The Prudential Regulation Authority’s approach to banking supervision. – London: Bank of England, July 2023 – P.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color w:val="FF0000"/>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color w:val="FF0000"/>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color w:val="FF0000"/>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color w:val="FF0000"/>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color w:val="FF0000"/>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color w:val="FF0000"/>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color w:val="FF0000"/>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color w:val="FF0000"/>
        </w:rPr>
        <w:t xml:space="preserve">Tadqiqot natijasida muallif tomonidan ishlab chiqildi.</w:t>
      </w:r>
    </w:p>
  </w:footnote>
  <w:footnote w:id="249">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color w:val="FF0000"/>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Ko‘rsatilgan asar. – Б. 27.</w:t>
      </w:r>
    </w:p>
  </w:footnote>
  <w:footnote w:id="253">
    <w:p w:rsidR="00AB61AC" w:rsidRDefault="00AB61AC">
      <w:pPr>
        <w:pStyle w:val="aff9"/>
      </w:pPr>
      <w:r>
        <w:rPr>
          <w:rStyle w:val="aff8"/>
        </w:rPr>
        <w:footnoteRef/>
      </w:r>
      <w:r>
        <w:t xml:space="preserve"> Karaliyev T.M., Sayfiddinov I.F. Ko‘rsatilgan asar. – B. 208.</w:t>
      </w:r>
    </w:p>
  </w:footnote>
  <w:footnote w:id="254">
    <w:p w:rsidR="00AB61AC" w:rsidRDefault="00AB61AC">
      <w:pPr>
        <w:pStyle w:val="aff9"/>
      </w:pPr>
      <w:r>
        <w:rPr>
          <w:rStyle w:val="aff8"/>
        </w:rPr>
        <w:footnoteRef/>
      </w:r>
      <w:r>
        <w:t xml:space="preserve"> The Central Bank of the Republic of Uzbekistan. “Roadmap”… – Item 13.</w:t>
      </w:r>
    </w:p>
  </w:footnote>
  <w:footnote w:id="255">
    <w:p w:rsidR="00AB61AC" w:rsidRDefault="00AB61AC">
      <w:pPr>
        <w:pStyle w:val="aff9"/>
      </w:pPr>
      <w:r>
        <w:rPr>
          <w:rStyle w:val="aff8"/>
        </w:rPr>
        <w:footnoteRef/>
      </w:r>
      <w:r>
        <w:t xml:space="preserve"> Karaliyev T.M., Sayfiddinov I.F. Ko‘rsatilgan asar. – B. 213.</w:t>
      </w:r>
    </w:p>
  </w:footnote>
  <w:footnote w:id="256">
    <w:p w:rsidR="00AB61AC" w:rsidRDefault="00AB61AC">
      <w:pPr>
        <w:pStyle w:val="aff9"/>
      </w:pPr>
      <w:r>
        <w:rPr>
          <w:rStyle w:val="aff8"/>
        </w:rPr>
        <w:footnoteRef/>
      </w:r>
      <w:r>
        <w:t xml:space="preserve"> The Central Bank of the Republic of Uzbekistan. “Roadmap”… – Item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IMF Country Report No. 25/227, 2025.</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O‘zbekiston Respublikasi Markaziy banki. Statistik byulleten: 2021-yil. – Toshkent, 2022; O‘zbekiston Respublikasi Markaziy banki. Statistik byulleten: 2026-yil mart. – Toshkent, 2026. – https://cbu.uz/uz/statistics/buleten/; IMF Country Report No. 25/227, 2025; The Central Bank of Uzbekistan. Financial Stability Report for 2024;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2025.</w:t>
      </w:r>
    </w:p>
  </w:footnote>
  <w:footnote w:id="264">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5">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The Central Bank of Uzbekistan. Financial Stability Report for H1 2025; Financial Stability Report for 2025.</w:t>
      </w:r>
    </w:p>
  </w:footnote>
  <w:footnote w:id="266">
    <w:p w:rsidR="00AB61AC" w:rsidRDefault="00AB61AC">
      <w:pPr>
        <w:pStyle w:val="aff9"/>
      </w:pPr>
      <w:r>
        <w:rPr>
          <w:rStyle w:val="aff8"/>
        </w:rPr>
        <w:footnoteRef/>
      </w:r>
      <w:r>
        <w:t xml:space="preserve"> IMF Country Report No. 25/227, 2025.</w:t>
      </w:r>
    </w:p>
  </w:footnote>
  <w:footnote w:id="267">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IMF Country Report No. 25/227, 2025; IMF. Republic of Uzbekistan: Financial Sector Assessment Program – Financial System Stability Assessment. – IMF Country Report No. 25/145. – Washington, DC, 2025; The Central Bank of the Republic of Uzbekistan. “Roadmap”… – Items 1–5, 7, 9, 15, 17, 20.</w:t>
      </w:r>
    </w:p>
  </w:footnote>
  <w:footnote w:id="268">
    <w:p w:rsidR="00AB61AC" w:rsidRDefault="00AB61AC">
      <w:pPr>
        <w:pStyle w:val="aff9"/>
      </w:pPr>
      <w:r>
        <w:rPr>
          <w:rStyle w:val="aff8"/>
        </w:rPr>
        <w:footnoteRef/>
      </w:r>
      <w:r>
        <w:t xml:space="preserve"> </w:t>
      </w:r>
      <w:r>
        <w:rPr>
          <w:color w:val="FF0000"/>
        </w:rPr>
        <w:t xml:space="preserve">Tadqiqot natijasida muallif tomonidan ishlab chiqildi.</w:t>
      </w:r>
    </w:p>
  </w:footnote>
  <w:footnote w:id="269">
    <w:p w:rsidR="00AB61AC" w:rsidRDefault="00AB61AC">
      <w:pPr>
        <w:pStyle w:val="aff9"/>
      </w:pPr>
      <w:r>
        <w:rPr>
          <w:rStyle w:val="aff8"/>
        </w:rPr>
        <w:footnoteRef/>
      </w:r>
      <w:r>
        <w:t xml:space="preserve"> IMF Country Report No. 25/227, 2025.</w:t>
      </w:r>
    </w:p>
  </w:footnote>
  <w:footnote w:id="270">
    <w:p w:rsidR="00AB61AC" w:rsidRDefault="00AB61AC">
      <w:pPr>
        <w:pStyle w:val="aff9"/>
      </w:pPr>
      <w:r>
        <w:rPr>
          <w:rStyle w:val="aff8"/>
        </w:rPr>
        <w:footnoteRef/>
      </w:r>
      <w:r>
        <w:t xml:space="preserve"> IMF Country Report No. 25/145, 2025.</w:t>
      </w:r>
    </w:p>
  </w:footnote>
  <w:footnote w:id="271">
    <w:p w:rsidR="00AB61AC" w:rsidRDefault="00AB61AC">
      <w:pPr>
        <w:pStyle w:val="aff9"/>
      </w:pPr>
      <w:r>
        <w:rPr>
          <w:rStyle w:val="aff8"/>
        </w:rPr>
        <w:footnoteRef/>
      </w:r>
      <w:r>
        <w:t xml:space="preserve"> The Central Bank of the Republic of Uzbekistan. “Roadmap”… – Item 3.</w:t>
      </w:r>
    </w:p>
  </w:footnote>
  <w:footnote w:id="272">
    <w:p w:rsidR="00AB61AC" w:rsidRDefault="00AB61AC">
      <w:pPr>
        <w:pStyle w:val="aff9"/>
      </w:pPr>
      <w:r>
        <w:rPr>
          <w:rStyle w:val="aff8"/>
        </w:rPr>
        <w:footnoteRef/>
      </w:r>
      <w:r>
        <w:t xml:space="preserve"> O‘sha joyda. – Items 5, 19.</w:t>
      </w:r>
    </w:p>
  </w:footnote>
  <w:footnote w:id="273">
    <w:p w:rsidR="00AB61AC" w:rsidRDefault="00AB61AC">
      <w:pPr>
        <w:pStyle w:val="aff9"/>
      </w:pPr>
      <w:r>
        <w:rPr>
          <w:rStyle w:val="aff8"/>
        </w:rPr>
        <w:footnoteRef/>
      </w:r>
      <w:r>
        <w:t xml:space="preserve"> IMF Country Report No. 25/145, 2025.</w:t>
      </w:r>
    </w:p>
  </w:footnote>
  <w:footnote w:id="274">
    <w:p w:rsidR="00AB61AC" w:rsidRDefault="00AB61AC">
      <w:pPr>
        <w:pStyle w:val="aff9"/>
      </w:pPr>
      <w:r>
        <w:rPr>
          <w:rStyle w:val="aff8"/>
        </w:rPr>
        <w:footnoteRef/>
      </w:r>
      <w:r>
        <w:t xml:space="preserve"> The Central Bank of the Republic of Uzbekistan. “Roadmap”… – Items 7, 16.</w:t>
      </w:r>
    </w:p>
  </w:footnote>
  <w:footnote w:id="275">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6">
    <w:p w:rsidR="00AB61AC" w:rsidRDefault="00AB61AC">
      <w:pPr>
        <w:pStyle w:val="aff9"/>
      </w:pPr>
      <w:r>
        <w:rPr>
          <w:rStyle w:val="aff8"/>
        </w:rPr>
        <w:footnoteRef/>
      </w:r>
      <w:r>
        <w:t xml:space="preserve"> The Central Bank of the Republic of Uzbekistan. “Roadmap”… – Item 9.</w:t>
      </w:r>
    </w:p>
  </w:footnote>
  <w:footnote w:id="277">
    <w:p w:rsidR="00AB61AC" w:rsidRDefault="00AB61AC">
      <w:pPr>
        <w:pStyle w:val="aff9"/>
      </w:pPr>
      <w:r>
        <w:rPr>
          <w:rStyle w:val="aff8"/>
        </w:rPr>
        <w:footnoteRef/>
      </w:r>
      <w:r>
        <w:t xml:space="preserve"> O‘sha joyda. – Item 31.</w:t>
      </w:r>
    </w:p>
  </w:footnote>
  <w:footnote w:id="278">
    <w:p w:rsidR="00AB61AC" w:rsidRPr="00E65E68" w:rsidRDefault="00AB61AC">
      <w:pPr>
        <w:pStyle w:val="aff9"/>
        <w:rPr>
          <w:lang w:val="ru-RU"/>
        </w:rPr>
      </w:pPr>
      <w:r>
        <w:rPr>
          <w:rStyle w:val="aff8"/>
        </w:rPr>
        <w:footnoteRef/>
      </w:r>
      <w:r>
        <w:t xml:space="preserve"> The Central Bank of the Republic of Uzbekistan. </w:t>
      </w:r>
      <w:r w:rsidRPr="00E65E68">
        <w:rPr>
          <w:lang w:val="ru-RU"/>
        </w:rPr>
        <w:t>“</w:t>
      </w:r>
      <w:r>
        <w:t>Roadmap</w:t>
      </w:r>
      <w:r w:rsidRPr="00E65E68">
        <w:rPr>
          <w:lang w:val="ru-RU"/>
        </w:rPr>
        <w:t xml:space="preserve">”… – </w:t>
      </w:r>
      <w:r>
        <w:t>Items</w:t>
      </w:r>
      <w:r w:rsidRPr="00E65E68">
        <w:rPr>
          <w:lang w:val="ru-RU"/>
        </w:rPr>
        <w:t xml:space="preserve"> 2–4, 7, 9.</w:t>
      </w:r>
    </w:p>
  </w:footnote>
  <w:footnote w:id="279">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80">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2">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3">
    <w:p w:rsidR="00AB61AC" w:rsidRDefault="00AB61AC">
      <w:pPr>
        <w:pStyle w:val="aff9"/>
      </w:pPr>
      <w:r>
        <w:rPr>
          <w:rStyle w:val="aff8"/>
        </w:rPr>
        <w:footnoteRef/>
      </w:r>
      <w:r>
        <w:t xml:space="preserve"> World Bank. Republic of Uzbekistan: Financial Sector Assessment. – Washington, DC: World Bank, 2025.</w:t>
      </w:r>
    </w:p>
  </w:footnote>
  <w:footnote w:id="284">
    <w:p w:rsidR="00AB61AC" w:rsidRDefault="00AB61AC">
      <w:pPr>
        <w:pStyle w:val="aff9"/>
      </w:pPr>
      <w:r>
        <w:rPr>
          <w:rStyle w:val="aff8"/>
        </w:rPr>
        <w:footnoteRef/>
      </w:r>
      <w:r>
        <w:t xml:space="preserve"> </w:t>
      </w:r>
      <w:r>
        <w:rPr>
          <w:color w:val="FF0000"/>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6">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8">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0">
    <w:p w:rsidR="00AB61AC" w:rsidRDefault="00AB61AC">
      <w:pPr>
        <w:pStyle w:val="aff9"/>
      </w:pPr>
      <w:r>
        <w:rPr>
          <w:rStyle w:val="aff8"/>
        </w:rPr>
        <w:footnoteRef/>
      </w:r>
      <w:r>
        <w:t xml:space="preserve"> Tadqiqot natijasida muallif tomonidan 2.2.1-jadval ma’lumotlari asosida ishlab chiqildi.</w:t>
      </w:r>
    </w:p>
  </w:footnote>
  <w:footnote w:id="291">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2">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3">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5">
    <w:p w:rsidR="00AB61AC" w:rsidRDefault="00AB61AC">
      <w:pPr>
        <w:pStyle w:val="aff9"/>
      </w:pPr>
      <w:r>
        <w:rPr>
          <w:rStyle w:val="aff8"/>
        </w:rPr>
        <w:footnoteRef/>
      </w:r>
      <w:r>
        <w:t xml:space="preserve"> The Central Bank of the Republic of Uzbekistan. Financial Stability Report for 2025. – Tashkent, 2026.</w:t>
      </w:r>
    </w:p>
  </w:footnote>
  <w:footnote w:id="296">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7">
    <w:p w:rsidR="00AB61AC" w:rsidRDefault="00AB61AC">
      <w:pPr>
        <w:pStyle w:val="aff9"/>
      </w:pPr>
      <w:r>
        <w:rPr>
          <w:rStyle w:val="aff8"/>
        </w:rPr>
        <w:footnoteRef/>
      </w:r>
      <w:r>
        <w:t xml:space="preserve"> O‘zbekiston Respublikasi Markaziy banki. Moliyaviy barqarorlik sharhi: 2022-yil. – Toshkent, 2023.</w:t>
      </w:r>
    </w:p>
  </w:footnote>
  <w:footnote w:id="298">
    <w:p w:rsidR="00AB61AC" w:rsidRDefault="00AB61AC">
      <w:pPr>
        <w:pStyle w:val="aff9"/>
      </w:pPr>
      <w:r>
        <w:rPr>
          <w:rStyle w:val="aff8"/>
        </w:rPr>
        <w:footnoteRef/>
      </w:r>
      <w:r>
        <w:t xml:space="preserve"> The Central Bank of the Republic of Uzbekistan. Annual Report 2023. – Tashkent, 2024. – P. 57.</w:t>
      </w:r>
    </w:p>
  </w:footnote>
  <w:footnote w:id="299">
    <w:p w:rsidR="00AB61AC" w:rsidRDefault="00AB61AC">
      <w:pPr>
        <w:pStyle w:val="aff9"/>
      </w:pPr>
      <w:r>
        <w:rPr>
          <w:rStyle w:val="aff8"/>
        </w:rPr>
        <w:footnoteRef/>
      </w:r>
      <w:r>
        <w:t xml:space="preserve"> The Central Bank of the Republic of Uzbekistan. Financial Stability Report for 2025. – Tashkent, 2026.</w:t>
      </w:r>
    </w:p>
  </w:footnote>
  <w:footnote w:id="300">
    <w:p w:rsidR="00AB61AC" w:rsidRDefault="00AB61AC">
      <w:pPr>
        <w:pStyle w:val="aff9"/>
      </w:pPr>
      <w:r>
        <w:rPr>
          <w:rStyle w:val="aff8"/>
        </w:rPr>
        <w:footnoteRef/>
      </w:r>
      <w:r>
        <w:t xml:space="preserve"> World Bank. Republic of Uzbekistan: Financial Sector Assessment. – Washington, DC: World Bank, 2025.</w:t>
      </w:r>
    </w:p>
  </w:footnote>
  <w:footnote w:id="301">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2">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3">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5">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6">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7">
    <w:p w:rsidR="00AB61AC" w:rsidRDefault="00AB61AC">
      <w:pPr>
        <w:pStyle w:val="aff9"/>
      </w:pPr>
      <w:r>
        <w:rPr>
          <w:rStyle w:val="aff8"/>
        </w:rPr>
        <w:footnoteRef/>
      </w:r>
      <w:r>
        <w:t xml:space="preserve"> Tadqiqot natijasida muallif tomonidan 2.2.1-jadval ma’lumotlari asosida ishlab chiqildi.</w:t>
      </w:r>
    </w:p>
  </w:footnote>
  <w:footnote w:id="30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9">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314">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16">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7">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8">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1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0">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1">
    <w:p w:rsidR="00AB61AC" w:rsidRPr="00E65E68" w:rsidRDefault="00AB61AC">
      <w:pPr>
        <w:pStyle w:val="aff9"/>
        <w:rPr>
          <w:lang w:val="ru-RU"/>
        </w:rPr>
      </w:pPr>
      <w:r>
        <w:rPr>
          <w:rStyle w:val="aff8"/>
        </w:rPr>
        <w:footnoteRef/>
      </w:r>
      <w:r w:rsidRPr="00E65E68">
        <w:rPr>
          <w:color w:val="0070C0"/>
          <w:lang w:val="ru-RU"/>
        </w:rPr>
        <w:t xml:space="preserve"> </w:t>
      </w:r>
      <w:r>
        <w:rPr>
          <w:color w:val="0070C0"/>
        </w:rPr>
        <w:t>Tadqiqot</w:t>
      </w:r>
      <w:r w:rsidRPr="00E65E68">
        <w:rPr>
          <w:color w:val="0070C0"/>
          <w:lang w:val="ru-RU"/>
        </w:rPr>
        <w:t xml:space="preserve"> </w:t>
      </w:r>
      <w:r>
        <w:rPr>
          <w:color w:val="0070C0"/>
        </w:rPr>
        <w:t>natijasida</w:t>
      </w:r>
      <w:r w:rsidRPr="00E65E68">
        <w:rPr>
          <w:color w:val="0070C0"/>
          <w:lang w:val="ru-RU"/>
        </w:rPr>
        <w:t xml:space="preserve"> </w:t>
      </w:r>
      <w:r>
        <w:rPr>
          <w:color w:val="0070C0"/>
        </w:rPr>
        <w:t>muallif</w:t>
      </w:r>
      <w:r w:rsidRPr="00E65E68">
        <w:rPr>
          <w:color w:val="0070C0"/>
          <w:lang w:val="ru-RU"/>
        </w:rPr>
        <w:t xml:space="preserve"> </w:t>
      </w:r>
      <w:r>
        <w:rPr>
          <w:color w:val="0070C0"/>
        </w:rPr>
        <w:t>tomonidan</w:t>
      </w:r>
      <w:r w:rsidRPr="00E65E68">
        <w:rPr>
          <w:color w:val="0070C0"/>
          <w:lang w:val="ru-RU"/>
        </w:rPr>
        <w:t xml:space="preserve"> “</w:t>
      </w:r>
      <w:r>
        <w:rPr>
          <w:color w:val="0070C0"/>
        </w:rPr>
        <w:t>Aloqabank</w:t>
      </w:r>
      <w:r w:rsidRPr="00E65E68">
        <w:rPr>
          <w:color w:val="0070C0"/>
          <w:lang w:val="ru-RU"/>
        </w:rPr>
        <w:t xml:space="preserve">” </w:t>
      </w:r>
      <w:r>
        <w:rPr>
          <w:color w:val="0070C0"/>
        </w:rPr>
        <w:t>ATB</w:t>
      </w:r>
      <w:r w:rsidRPr="00E65E68">
        <w:rPr>
          <w:color w:val="0070C0"/>
          <w:lang w:val="ru-RU"/>
        </w:rPr>
        <w:t xml:space="preserve"> </w:t>
      </w:r>
      <w:r>
        <w:rPr>
          <w:color w:val="0070C0"/>
        </w:rPr>
        <w:t>ning</w:t>
      </w:r>
      <w:r w:rsidRPr="00E65E68">
        <w:rPr>
          <w:color w:val="0070C0"/>
          <w:lang w:val="ru-RU"/>
        </w:rPr>
        <w:t xml:space="preserve"> </w:t>
      </w:r>
      <w:r>
        <w:rPr>
          <w:color w:val="0070C0"/>
        </w:rPr>
        <w:t>prudensial</w:t>
      </w:r>
      <w:r w:rsidRPr="00E65E68">
        <w:rPr>
          <w:color w:val="0070C0"/>
          <w:lang w:val="ru-RU"/>
        </w:rPr>
        <w:t xml:space="preserve"> </w:t>
      </w:r>
      <w:r>
        <w:rPr>
          <w:color w:val="0070C0"/>
        </w:rPr>
        <w:t>hisobot</w:t>
      </w:r>
      <w:r w:rsidRPr="00E65E68">
        <w:rPr>
          <w:color w:val="0070C0"/>
          <w:lang w:val="ru-RU"/>
        </w:rPr>
        <w:t xml:space="preserve"> </w:t>
      </w:r>
      <w:r>
        <w:rPr>
          <w:color w:val="0070C0"/>
        </w:rPr>
        <w:t>shakllari</w:t>
      </w:r>
      <w:r w:rsidRPr="00E65E68">
        <w:rPr>
          <w:color w:val="0070C0"/>
          <w:lang w:val="ru-RU"/>
        </w:rPr>
        <w:t xml:space="preserve"> </w:t>
      </w:r>
      <w:r>
        <w:rPr>
          <w:color w:val="0070C0"/>
        </w:rPr>
        <w:t>va</w:t>
      </w:r>
      <w:r w:rsidRPr="00E65E68">
        <w:rPr>
          <w:color w:val="0070C0"/>
          <w:lang w:val="ru-RU"/>
        </w:rPr>
        <w:t xml:space="preserve"> </w:t>
      </w:r>
      <w:r>
        <w:rPr>
          <w:color w:val="0070C0"/>
        </w:rPr>
        <w:t>MHXS</w:t>
      </w:r>
      <w:r w:rsidRPr="00E65E68">
        <w:rPr>
          <w:color w:val="0070C0"/>
          <w:lang w:val="ru-RU"/>
        </w:rPr>
        <w:t xml:space="preserve"> </w:t>
      </w:r>
      <w:r>
        <w:rPr>
          <w:color w:val="0070C0"/>
        </w:rPr>
        <w:t>bo</w:t>
      </w:r>
      <w:r w:rsidRPr="00E65E68">
        <w:rPr>
          <w:color w:val="0070C0"/>
          <w:lang w:val="ru-RU"/>
        </w:rPr>
        <w:t>‘</w:t>
      </w:r>
      <w:r>
        <w:rPr>
          <w:color w:val="0070C0"/>
        </w:rPr>
        <w:t>yicha</w:t>
      </w:r>
      <w:r w:rsidRPr="00E65E68">
        <w:rPr>
          <w:color w:val="0070C0"/>
          <w:lang w:val="ru-RU"/>
        </w:rPr>
        <w:t xml:space="preserve"> </w:t>
      </w:r>
      <w:r>
        <w:rPr>
          <w:color w:val="0070C0"/>
        </w:rPr>
        <w:t>konsolidatsiyalangan</w:t>
      </w:r>
      <w:r w:rsidRPr="00E65E68">
        <w:rPr>
          <w:color w:val="0070C0"/>
          <w:lang w:val="ru-RU"/>
        </w:rPr>
        <w:t xml:space="preserve"> </w:t>
      </w:r>
      <w:r>
        <w:rPr>
          <w:color w:val="0070C0"/>
        </w:rPr>
        <w:t>moliyaviy</w:t>
      </w:r>
      <w:r w:rsidRPr="00E65E68">
        <w:rPr>
          <w:color w:val="0070C0"/>
          <w:lang w:val="ru-RU"/>
        </w:rPr>
        <w:t xml:space="preserve"> </w:t>
      </w:r>
      <w:r>
        <w:rPr>
          <w:color w:val="0070C0"/>
        </w:rPr>
        <w:t>hisobotlari</w:t>
      </w:r>
      <w:r w:rsidRPr="00E65E68">
        <w:rPr>
          <w:color w:val="0070C0"/>
          <w:lang w:val="ru-RU"/>
        </w:rPr>
        <w:t xml:space="preserve"> </w:t>
      </w:r>
      <w:r>
        <w:rPr>
          <w:color w:val="0070C0"/>
        </w:rPr>
        <w:t>asosida</w:t>
      </w:r>
      <w:r w:rsidRPr="00E65E68">
        <w:rPr>
          <w:color w:val="0070C0"/>
          <w:lang w:val="ru-RU"/>
        </w:rPr>
        <w:t xml:space="preserve"> </w:t>
      </w:r>
      <w:r>
        <w:rPr>
          <w:color w:val="0070C0"/>
        </w:rPr>
        <w:t>hisoblandi</w:t>
      </w:r>
      <w:r w:rsidRPr="00E65E68">
        <w:rPr>
          <w:color w:val="0070C0"/>
          <w:lang w:val="ru-RU"/>
        </w:rPr>
        <w:t xml:space="preserve"> (</w:t>
      </w:r>
      <w:r>
        <w:rPr>
          <w:color w:val="0070C0"/>
        </w:rPr>
        <w:t>manbalar</w:t>
      </w:r>
      <w:r w:rsidRPr="00E65E68">
        <w:rPr>
          <w:color w:val="0070C0"/>
          <w:lang w:val="ru-RU"/>
        </w:rPr>
        <w:t>/</w:t>
      </w:r>
      <w:r>
        <w:rPr>
          <w:color w:val="0070C0"/>
        </w:rPr>
        <w:t>hisob</w:t>
      </w:r>
      <w:r w:rsidRPr="00E65E68">
        <w:rPr>
          <w:color w:val="0070C0"/>
          <w:lang w:val="ru-RU"/>
        </w:rPr>
        <w:t>_</w:t>
      </w:r>
      <w:r>
        <w:rPr>
          <w:color w:val="0070C0"/>
        </w:rPr>
        <w:t>kitob</w:t>
      </w:r>
      <w:r w:rsidRPr="00E65E68">
        <w:rPr>
          <w:color w:val="0070C0"/>
          <w:lang w:val="ru-RU"/>
        </w:rPr>
        <w:t>/</w:t>
      </w:r>
      <w:r>
        <w:rPr>
          <w:color w:val="0070C0"/>
        </w:rPr>
        <w:t>aloqa</w:t>
      </w:r>
      <w:r w:rsidRPr="00E65E68">
        <w:rPr>
          <w:color w:val="0070C0"/>
          <w:lang w:val="ru-RU"/>
        </w:rPr>
        <w:t>23.</w:t>
      </w:r>
      <w:r>
        <w:rPr>
          <w:color w:val="0070C0"/>
        </w:rPr>
        <w:t>py</w:t>
      </w:r>
      <w:r w:rsidRPr="00E65E68">
        <w:rPr>
          <w:color w:val="0070C0"/>
          <w:lang w:val="ru-RU"/>
        </w:rPr>
        <w:t xml:space="preserve">, </w:t>
      </w:r>
      <w:r>
        <w:rPr>
          <w:color w:val="0070C0"/>
        </w:rPr>
        <w:t>aloqa</w:t>
      </w:r>
      <w:r w:rsidRPr="00E65E68">
        <w:rPr>
          <w:color w:val="0070C0"/>
          <w:lang w:val="ru-RU"/>
        </w:rPr>
        <w:t>_</w:t>
      </w:r>
      <w:r>
        <w:rPr>
          <w:color w:val="0070C0"/>
        </w:rPr>
        <w:t>mbii</w:t>
      </w:r>
      <w:r w:rsidRPr="00E65E68">
        <w:rPr>
          <w:color w:val="0070C0"/>
          <w:lang w:val="ru-RU"/>
        </w:rPr>
        <w:t>.</w:t>
      </w:r>
      <w:r>
        <w:rPr>
          <w:color w:val="0070C0"/>
        </w:rPr>
        <w:t>json</w:t>
      </w:r>
      <w:r w:rsidRPr="00E65E68">
        <w:rPr>
          <w:color w:val="0070C0"/>
          <w:lang w:val="ru-RU"/>
        </w:rPr>
        <w:t>).</w:t>
      </w:r>
    </w:p>
  </w:footnote>
  <w:footnote w:id="322">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3">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4">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5">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6">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8">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9">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30">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1">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2">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3">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4">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5">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336">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8">
    <w:p w:rsidR="00AB61AC" w:rsidRDefault="00AB61AC">
      <w:pPr>
        <w:pStyle w:val="aff9"/>
      </w:pPr>
      <w:r>
        <w:rPr>
          <w:rStyle w:val="aff8"/>
        </w:rPr>
        <w:footnoteRef/>
      </w:r>
      <w:r>
        <w:t xml:space="preserve"> IFRS 9 Financial Instruments. – London: International Accounting Standards Board, 2014.</w:t>
      </w:r>
    </w:p>
  </w:footnote>
  <w:footnote w:id="339">
    <w:p w:rsidR="00AB61AC" w:rsidRDefault="00AB61AC">
      <w:pPr>
        <w:pStyle w:val="aff9"/>
      </w:pPr>
      <w:r>
        <w:rPr>
          <w:rStyle w:val="aff8"/>
        </w:rPr>
        <w:footnoteRef/>
      </w:r>
      <w:r>
        <w:t xml:space="preserve"> Tadqiqot natijasida muallif tomonidan ishlab chiqildi.</w:t>
      </w:r>
    </w:p>
  </w:footnote>
  <w:footnote w:id="340">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2">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3">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7">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9">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5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1">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4">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7">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8">
    <w:p w:rsidR="00AB61AC" w:rsidRDefault="00AB61AC">
      <w:pPr>
        <w:pStyle w:val="aff9"/>
      </w:pPr>
      <w:r>
        <w:rPr>
          <w:rStyle w:val="aff8"/>
        </w:rPr>
        <w:footnoteRef/>
      </w:r>
      <w:r>
        <w:t xml:space="preserve"> Basel Committee on Banking Supervision. Basel III: The Net Stable Funding Ratio. – Basel: BIS, October 2014.</w:t>
      </w:r>
    </w:p>
  </w:footnote>
  <w:footnote w:id="359">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60">
    <w:p w:rsidR="00AB61AC" w:rsidRDefault="00AB61AC">
      <w:pPr>
        <w:pStyle w:val="aff9"/>
      </w:pPr>
      <w:r>
        <w:rPr>
          <w:rStyle w:val="aff8"/>
        </w:rPr>
        <w:footnoteRef/>
      </w:r>
      <w:r>
        <w:rPr>
          <w:color w:val="FF0000"/>
        </w:rPr>
        <w:t xml:space="preserve"> Basel Committee on Banking Supervision. Basel III: The Net Stable Funding Ratio. – Basel: BIS, October 2014. – Para. 21.</w:t>
      </w:r>
    </w:p>
  </w:footnote>
  <w:footnote w:id="361">
    <w:p w:rsidR="00AB61AC" w:rsidRDefault="00AB61AC">
      <w:pPr>
        <w:pStyle w:val="aff9"/>
      </w:pPr>
      <w:r>
        <w:rPr>
          <w:rStyle w:val="aff8"/>
        </w:rPr>
        <w:footnoteRef/>
      </w:r>
      <w:r>
        <w:rPr>
          <w:color w:val="FF0000"/>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2">
    <w:p w:rsidR="00AB61AC" w:rsidRDefault="00AB61AC">
      <w:pPr>
        <w:pStyle w:val="aff9"/>
      </w:pPr>
      <w:r>
        <w:rPr>
          <w:rStyle w:val="aff8"/>
        </w:rPr>
        <w:footnoteRef/>
      </w:r>
      <w:r>
        <w:rPr>
          <w:color w:val="FF0000"/>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3">
    <w:p w:rsidR="00AB61AC" w:rsidRDefault="00AB61AC">
      <w:pPr>
        <w:pStyle w:val="aff9"/>
      </w:pPr>
      <w:r>
        <w:rPr>
          <w:rStyle w:val="aff8"/>
        </w:rPr>
        <w:footnoteRef/>
      </w:r>
      <w:r>
        <w:rPr>
          <w:color w:val="FF0000"/>
        </w:rPr>
        <w:t xml:space="preserve"> O‘zbekiston Respublikasi Markaziy banki. Moliya sektorini baholash dasturi (FSAP) tavsiyalarini amalga oshirish bo‘yicha 2025–2028-yillarga mo‘ljallangan “yo‘l xaritasi”. – Toshkent, 17.11.2025. – 4-tadbir.</w:t>
      </w:r>
    </w:p>
  </w:footnote>
  <w:footnote w:id="364">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6">
    <w:p w:rsidR="00AB61AC" w:rsidRDefault="00AB61AC">
      <w:pPr>
        <w:pStyle w:val="aff9"/>
      </w:pPr>
      <w:r>
        <w:rPr>
          <w:rStyle w:val="aff8"/>
        </w:rPr>
        <w:footnoteRef/>
      </w:r>
      <w:r>
        <w:rPr>
          <w:color w:val="FF0000"/>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7">
    <w:p w:rsidR="00AB61AC" w:rsidRDefault="00AB61AC">
      <w:pPr>
        <w:pStyle w:val="aff9"/>
      </w:pPr>
      <w:r>
        <w:rPr>
          <w:rStyle w:val="aff8"/>
        </w:rPr>
        <w:footnoteRef/>
      </w:r>
      <w:r>
        <w:t xml:space="preserve"> Tadqiqot natijasida muallif tomonidan 2.3.4-jadval ma’lumotlari asosida ishlab chiqildi.</w:t>
      </w:r>
    </w:p>
  </w:footnote>
  <w:footnote w:id="368">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9">
    <w:p w:rsidR="00AB61AC" w:rsidRDefault="00AB61AC">
      <w:pPr>
        <w:pStyle w:val="aff9"/>
      </w:pPr>
      <w:r>
        <w:rPr>
          <w:rStyle w:val="aff8"/>
        </w:rPr>
        <w:footnoteRef/>
      </w:r>
      <w:r>
        <w:rPr>
          <w:color w:val="0070C0"/>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70">
    <w:p w:rsidR="00AB61AC" w:rsidRDefault="00AB61AC">
      <w:pPr>
        <w:pStyle w:val="aff9"/>
      </w:pPr>
      <w:r>
        <w:rPr>
          <w:rStyle w:val="aff8"/>
        </w:rPr>
        <w:footnoteRef/>
      </w:r>
      <w:r>
        <w:rPr>
          <w:color w:val="0070C0"/>
        </w:rPr>
        <w:t xml:space="preserve"> Tadqiqot natijasida muallif tomonidan “Aloqabank” ATB ning prudensial hisobot shakllari va MHXS bo‘yicha konsolidatsiyalangan moliyaviy hisobotlari asosida hisoblandi (manbalar/hisob_kitob/aloqa23.py, aloqa_mbii.json).</w:t>
      </w:r>
    </w:p>
  </w:footnote>
  <w:footnote w:id="371">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3">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5">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7">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8">
    <w:p w:rsidR="00AB61AC" w:rsidRDefault="00AB61AC">
      <w:pPr>
        <w:pStyle w:val="aff9"/>
      </w:pPr>
      <w:r>
        <w:rPr>
          <w:rStyle w:val="aff8"/>
        </w:rPr>
        <w:footnoteRef/>
      </w:r>
      <w:r>
        <w:t xml:space="preserve"> Tadqiqot natijasida muallif tomonidan dissertatsiyaning 2.1–2.3-paragraflari natijalari asosida ishlab chiqildi.</w:t>
      </w:r>
    </w:p>
  </w:footnote>
  <w:footnote w:id="379">
    <w:p w:rsidR="00AB61AC" w:rsidRDefault="00AB61AC">
      <w:pPr>
        <w:pStyle w:val="aff9"/>
      </w:pPr>
      <w:r>
        <w:rPr>
          <w:rStyle w:val="aff8"/>
        </w:rPr>
        <w:footnoteRef/>
      </w:r>
      <w:r>
        <w:t xml:space="preserve"> Tadqiqot natijasida muallif tomonidan ishlab chiqildi.</w:t>
      </w:r>
    </w:p>
  </w:footnote>
  <w:footnote w:id="380">
    <w:p w:rsidR="00AB61AC" w:rsidRDefault="00AB61AC">
      <w:pPr>
        <w:pStyle w:val="aff9"/>
      </w:pPr>
      <w:r>
        <w:rPr>
          <w:rStyle w:val="aff8"/>
        </w:rPr>
        <w:footnoteRef/>
      </w:r>
      <w:r>
        <w:t xml:space="preserve"> International Monetary Fund. 2019 Financial Soundness Indicators Compilation Guide. – Washington, DC: IMF, 2019.</w:t>
      </w:r>
    </w:p>
  </w:footnote>
  <w:footnote w:id="381">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2">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4">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5">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6">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9">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90">
    <w:p w:rsidR="00AB61AC" w:rsidRDefault="00AB61AC">
      <w:pPr>
        <w:pStyle w:val="aff9"/>
      </w:pPr>
      <w:r>
        <w:rPr>
          <w:rStyle w:val="aff8"/>
        </w:rPr>
        <w:footnoteRef/>
      </w:r>
      <w:r>
        <w:rPr>
          <w:color w:val="FF0000"/>
        </w:rPr>
        <w:t xml:space="preserve"> European Banking Authority. Risk Dashboard: Data as of Q4 2024. – Paris: EBA, March 2025. – P. 33 (Statistical Annex: IFRS 9 specific data).</w:t>
      </w:r>
    </w:p>
  </w:footnote>
  <w:footnote w:id="391">
    <w:p w:rsidR="00AB61AC" w:rsidRDefault="00AB61AC">
      <w:pPr>
        <w:pStyle w:val="aff9"/>
      </w:pPr>
      <w:r>
        <w:rPr>
          <w:rStyle w:val="aff8"/>
        </w:rPr>
        <w:footnoteRef/>
      </w:r>
      <w:r>
        <w:t xml:space="preserve"> International Monetary Fund. 2019 Financial Soundness Indicators Compilation Guide. – Washington, DC: IMF, 2019.</w:t>
      </w:r>
    </w:p>
  </w:footnote>
  <w:footnote w:id="392">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3">
    <w:p w:rsidR="00AB61AC" w:rsidRDefault="00AB61AC">
      <w:pPr>
        <w:pStyle w:val="aff9"/>
      </w:pPr>
      <w:r>
        <w:rPr>
          <w:rStyle w:val="aff8"/>
        </w:rPr>
        <w:footnoteRef/>
      </w:r>
      <w:r>
        <w:t xml:space="preserve"> Basel Committee on Banking Supervision. Basel III: The Net Stable Funding Ratio. – Basel: BIS, October 2014.</w:t>
      </w:r>
    </w:p>
  </w:footnote>
  <w:footnote w:id="394">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9">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400">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1">
    <w:p w:rsidR="00AB61AC" w:rsidRDefault="00AB61AC">
      <w:pPr>
        <w:pStyle w:val="aff9"/>
      </w:pPr>
      <w:r>
        <w:rPr>
          <w:rStyle w:val="aff8"/>
        </w:rPr>
        <w:footnoteRef/>
      </w:r>
      <w:r>
        <w:t xml:space="preserve"> Tadqiqot natijasida muallif tomonidan 3.1.2-jadval asosida ishlab chiqildi.</w:t>
      </w:r>
    </w:p>
  </w:footnote>
  <w:footnote w:id="402">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6">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8">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9">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48.</w:t>
      </w:r>
    </w:p>
  </w:footnote>
  <w:footnote w:id="411">
    <w:p w:rsidR="00AB61AC" w:rsidRDefault="00AB61AC">
      <w:pPr>
        <w:pStyle w:val="aff9"/>
      </w:pPr>
      <w:r>
        <w:rPr>
          <w:rStyle w:val="aff8"/>
        </w:rPr>
        <w:footnoteRef/>
      </w:r>
      <w:r>
        <w:t xml:space="preserve"> Tadqiqot natijasida muallif tomonidan 3.1.5-jadval ma’lumotlari asosida ishlab chiqildi.</w:t>
      </w:r>
    </w:p>
  </w:footnote>
  <w:footnote w:id="412">
    <w:p w:rsidR="00AB61AC" w:rsidRDefault="00AB61AC">
      <w:pPr>
        <w:pStyle w:val="aff9"/>
      </w:pPr>
      <w:r>
        <w:rPr>
          <w:rStyle w:val="aff8"/>
        </w:rPr>
        <w:footnoteRef/>
      </w:r>
      <w:r>
        <w:t xml:space="preserve"> Tadqiqot natijasida muallif tomonidan 3.1.3 va 3.1.5-jadvallar ma’lumotlari asosida hisoblandi.</w:t>
      </w:r>
    </w:p>
  </w:footnote>
  <w:footnote w:id="413">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4">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5">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6">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7">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9">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2">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3">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4">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5">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6">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Tadqiqot natijasida muallif tomonidan 3.2.2-jadval ma’lumotlari asosida ishlab chiqildi.</w:t>
      </w:r>
    </w:p>
  </w:footnote>
  <w:footnote w:id="4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0">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1">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4">
    <w:p w:rsidR="00AB61AC" w:rsidRDefault="00AB61AC">
      <w:pPr>
        <w:pStyle w:val="aff9"/>
      </w:pPr>
      <w:r>
        <w:rPr>
          <w:rStyle w:val="aff8"/>
        </w:rPr>
        <w:footnoteRef/>
      </w:r>
      <w:r>
        <w:rPr>
          <w:color w:val="FF0000"/>
        </w:rPr>
        <w:t xml:space="preserve"> Wilson E.B. Probable Inference, the Law of Succession, and Statistical Inference // Journal of the American Statistical Association. – 1927. – Vol. 22, No. 158. – P. 209–212.</w:t>
      </w:r>
    </w:p>
  </w:footnote>
  <w:footnote w:id="43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8">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0">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9">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0">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1">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2">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3">
    <w:p w:rsidR="00AB61AC" w:rsidRDefault="00AB61AC">
      <w:pPr>
        <w:pStyle w:val="aff9"/>
      </w:pPr>
      <w:r>
        <w:rPr>
          <w:rStyle w:val="aff8"/>
        </w:rPr>
        <w:footnoteRef/>
      </w:r>
      <w:r>
        <w:t xml:space="preserve"> Roy A.D. Safety First and the Holding of Assets // Econometrica. – 1952. – Vol. 20, No. 3. – P. 431–449.</w:t>
      </w:r>
    </w:p>
  </w:footnote>
  <w:footnote w:id="454">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5">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Baltagi B.H. Econometric Analysis of Panel Data. – 6th ed. – Cham: Springer, 2021.</w:t>
      </w:r>
    </w:p>
  </w:footnote>
  <w:footnote w:id="461">
    <w:p w:rsidR="00AB61AC" w:rsidRDefault="00AB61AC">
      <w:pPr>
        <w:pStyle w:val="aff9"/>
      </w:pPr>
      <w:r>
        <w:rPr>
          <w:rStyle w:val="aff8"/>
        </w:rPr>
        <w:footnoteRef/>
      </w:r>
      <w:r>
        <w:t xml:space="preserve"> Wooldridge J.M. Econometric Analysis of Cross Section and Panel Data. – 2nd ed. – Cambridge, MA: MIT Press, 2010.</w:t>
      </w:r>
    </w:p>
  </w:footnote>
  <w:footnote w:id="462">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3">
    <w:p w:rsidR="00AB61AC" w:rsidRDefault="00AB61AC">
      <w:pPr>
        <w:pStyle w:val="aff9"/>
      </w:pPr>
      <w:r>
        <w:rPr>
          <w:rStyle w:val="aff8"/>
        </w:rPr>
        <w:footnoteRef/>
      </w:r>
      <w:r>
        <w:t xml:space="preserve"> Hausman J.A. Specification Tests in Econometrics // Econometrica. – 1978. – Vol. 46, No. 6. – P. 1251–1271.</w:t>
      </w:r>
    </w:p>
  </w:footnote>
  <w:footnote w:id="464">
    <w:p w:rsidR="00AB61AC" w:rsidRDefault="00AB61AC">
      <w:pPr>
        <w:pStyle w:val="aff9"/>
      </w:pPr>
      <w:r>
        <w:rPr>
          <w:rStyle w:val="aff8"/>
        </w:rPr>
        <w:footnoteRef/>
      </w:r>
      <w:r>
        <w:t xml:space="preserve"> Nickell S. Biases in Dynamic Models with Fixed Effects // Econometrica. – 1981. – Vol. 49, No. 6. – P. 1417–1426.</w:t>
      </w:r>
    </w:p>
  </w:footnote>
  <w:footnote w:id="465">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6">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9">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4">
    <w:p w:rsidR="00AB61AC" w:rsidRDefault="00AB61AC">
      <w:pPr>
        <w:pStyle w:val="aff9"/>
      </w:pPr>
      <w:r>
        <w:rPr>
          <w:rStyle w:val="aff8"/>
        </w:rPr>
        <w:footnoteRef/>
      </w:r>
      <w:r>
        <w:t xml:space="preserve"> Tadqiqot natijasida muallif tomonidan 3.3.2-jadvalda ko‘rsatilgan manbalar ma’lumotlari asosida hisoblandi.</w:t>
      </w:r>
    </w:p>
  </w:footnote>
  <w:footnote w:id="475">
    <w:p w:rsidR="00AB61AC" w:rsidRDefault="00AB61AC">
      <w:pPr>
        <w:pStyle w:val="aff9"/>
      </w:pPr>
      <w:r>
        <w:rPr>
          <w:rStyle w:val="aff8"/>
        </w:rPr>
        <w:footnoteRef/>
      </w:r>
      <w:r>
        <w:rPr>
          <w:color w:val="FF0000"/>
        </w:rPr>
        <w:t xml:space="preserve"> Nickell S. Biases in Dynamic Models with Fixed Effects // Econometrica. – 1981. – Vol. 49, No. 6. – P. 1417–1426.</w:t>
      </w:r>
    </w:p>
  </w:footnote>
  <w:footnote w:id="47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7">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8">
    <w:p w:rsidR="00AB61AC" w:rsidRDefault="00AB61AC">
      <w:pPr>
        <w:pStyle w:val="aff9"/>
      </w:pPr>
      <w:r>
        <w:rPr>
          <w:rStyle w:val="aff8"/>
        </w:rPr>
        <w:footnoteRef/>
      </w:r>
      <w:r>
        <w:t xml:space="preserve"> Tadqiqot natijasida muallif tomonidan 3.3.3–3.3.6-jadvallar ma’lumotlari asosida ishlab chiqildi.</w:t>
      </w:r>
    </w:p>
  </w:footnote>
  <w:footnote w:id="479">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0">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1">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0">
    <w:p w:rsidR="00AB61AC" w:rsidRDefault="00AB61AC">
      <w:pPr>
        <w:pStyle w:val="aff9"/>
      </w:pPr>
      <w:r>
        <w:rPr>
          <w:rStyle w:val="aff8"/>
        </w:rPr>
        <w:footnoteRef/>
      </w:r>
      <w:r>
        <w:t xml:space="preserve"> Fawcett T. An introduction to ROC analysis // Pattern Recognition Letters. – 2006. – Vol. 27, No. 8. – P. 861–874.</w:t>
      </w:r>
    </w:p>
  </w:footnote>
  <w:footnote w:id="491">
    <w:p w:rsidR="00AB61AC" w:rsidRDefault="00AB61AC">
      <w:pPr>
        <w:pStyle w:val="aff9"/>
      </w:pPr>
      <w:r>
        <w:rPr>
          <w:rStyle w:val="aff8"/>
        </w:rPr>
        <w:footnoteRef/>
      </w:r>
      <w:r>
        <w:t xml:space="preserve"> Hosmer D.W., Lemeshow S., Sturdivant R.X. Applied Logistic Regression. – 3rd ed. – Hoboken, NJ: John Wiley &amp; Sons, 2013.</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Hosmer D.W., Lemeshow S., Sturdivant R.X. Applied Logistic Regression. – 3rd ed. – Hoboken, NJ: John Wiley &amp; Sons, 2013.</w:t>
      </w:r>
    </w:p>
  </w:footnote>
  <w:footnote w:id="49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rPr>
          <w:color w:val="FF0000"/>
        </w:rPr>
        <w:t xml:space="preserve"> Cameron A.C., Gelbach J.B., Miller D.L. Bootstrap-Based Improvements for Inference with Clustered Errors // The Review of Economics and Statistics. – 2008. – Vol. 90, No. 3. – P. 414–427.</w:t>
      </w:r>
    </w:p>
  </w:footnote>
  <w:footnote w:id="503">
    <w:p w:rsidR="00AB61AC" w:rsidRDefault="00AB61AC">
      <w:pPr>
        <w:pStyle w:val="aff9"/>
      </w:pPr>
      <w:r>
        <w:rPr>
          <w:rStyle w:val="aff8"/>
        </w:rPr>
        <w:footnoteRef/>
      </w:r>
      <w:r>
        <w:rPr>
          <w:color w:val="FF0000"/>
        </w:rPr>
        <w:t xml:space="preserve"> </w:t>
      </w:r>
      <w:r>
        <w:rPr>
          <w:color w:val="FF0000"/>
        </w:rPr>
        <w:t xml:space="preserve">Tadqiqot natijasida muallif tomonidan hisoblandi:</w:t>
      </w:r>
      <w:r>
        <w:rPr>
          <w:color w:val="FF0000"/>
        </w:rPr>
        <w:t xml:space="preserve"> manbalar/hisob_kitob/robust_kam.py va robust_kam.json (25 ta bank paneli, 2021-yil IV chorak – 2025-yil IV chorak).</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6">
    <w:p w:rsidR="00AB61AC" w:rsidRDefault="00AB61AC">
      <w:pPr>
        <w:pStyle w:val="aff9"/>
      </w:pPr>
      <w:r>
        <w:rPr>
          <w:rStyle w:val="aff8"/>
        </w:rPr>
        <w:footnoteRef/>
      </w:r>
      <w:r>
        <w:t xml:space="preserve"> Tadqiqot natijasida muallif tomonidan 4.1.3–4.1.5-jadvallar ma’lumotlari asosida ishlab chiqildi.</w:t>
      </w:r>
    </w:p>
  </w:footnote>
  <w:footnote w:id="507">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8">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9">
    <w:p w:rsidR="00AB61AC" w:rsidRDefault="00AB61AC">
      <w:pPr>
        <w:pStyle w:val="aff9"/>
      </w:pPr>
      <w:r>
        <w:rPr>
          <w:rStyle w:val="aff8"/>
        </w:rPr>
        <w:footnoteRef/>
      </w:r>
      <w:r>
        <w:t xml:space="preserve"> Basel Committee on Banking Supervision. Stress testing principles. – Basel: BIS, October 2018.</w:t>
      </w:r>
    </w:p>
  </w:footnote>
  <w:footnote w:id="51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1">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6">
    <w:p w:rsidR="00AB61AC" w:rsidRDefault="00AB61AC">
      <w:pPr>
        <w:pStyle w:val="aff9"/>
      </w:pPr>
      <w:r>
        <w:rPr>
          <w:rStyle w:val="aff8"/>
        </w:rPr>
        <w:footnoteRef/>
      </w:r>
      <w:r>
        <w:t xml:space="preserve"> Tadqiqot natijasida muallif tomonidan 4.2.2-jadvalda ko‘rsatilgan manbalar ma’lumotlari asosida hisoblandi.</w:t>
      </w:r>
    </w:p>
  </w:footnote>
  <w:footnote w:id="517">
    <w:p w:rsidR="00AB61AC" w:rsidRDefault="00AB61AC">
      <w:pPr>
        <w:pStyle w:val="aff9"/>
      </w:pPr>
      <w:r>
        <w:rPr>
          <w:rStyle w:val="aff8"/>
        </w:rPr>
        <w:footnoteRef/>
      </w:r>
      <w:r>
        <w:t xml:space="preserve"> Basel Committee on Banking Supervision. Stress testing principles. – Basel: BIS, October 2018.</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3">
    <w:p w:rsidR="00AB61AC" w:rsidRDefault="00AB61AC">
      <w:pPr>
        <w:pStyle w:val="aff9"/>
      </w:pPr>
      <w:r>
        <w:rPr>
          <w:rStyle w:val="aff8"/>
        </w:rPr>
        <w:footnoteRef/>
      </w:r>
      <w:r>
        <w:t xml:space="preserve"> Tadqiqot natijasida muallif tomonidan 4.2.6-jadval ma’lumotlari asosida ishlab chiqildi.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2">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4">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5">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9">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5">
    <w:p w:rsidR="00AB61AC" w:rsidRDefault="00AB61AC">
      <w:pPr>
        <w:pStyle w:val="aff9"/>
      </w:pPr>
      <w:r>
        <w:rPr>
          <w:rStyle w:val="aff8"/>
        </w:rPr>
        <w:footnoteRef/>
      </w:r>
      <w:r>
        <w:t xml:space="preserve"> Tadqiqot natijasida muallif tomonidan ishlab chiqildi.</w:t>
      </w:r>
    </w:p>
  </w:footnote>
  <w:footnote w:id="546">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Jami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08C7-4842-A39A-6CD8F9490B6B}"/>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08C7-4842-A39A-6CD8F9490B6B}"/>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65.400000000000006</c:v>
                </c:pt>
                <c:pt idx="4">
                  <c:v>63.5</c:v>
                </c:pt>
              </c:numCache>
            </c:numRef>
          </c:val>
          <c:extLst>
            <c:ext xmlns:c16="http://schemas.microsoft.com/office/drawing/2014/chart" uri="{C3380CC4-5D6E-409C-BE32-E72D297353CC}">
              <c16:uniqueId val="{00000000-8E02-4596-A265-68F540A48672}"/>
            </c:ext>
          </c:extLst>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c:v>
                </c:pt>
              </c:numCache>
            </c:numRef>
          </c:val>
          <c:extLst>
            <c:ext xmlns:c16="http://schemas.microsoft.com/office/drawing/2014/chart" uri="{C3380CC4-5D6E-409C-BE32-E72D297353CC}">
              <c16:uniqueId val="{00000001-8E02-4596-A265-68F540A48672}"/>
            </c:ext>
          </c:extLst>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c:v>
                </c:pt>
              </c:numCache>
            </c:numRef>
          </c:val>
          <c:extLst>
            <c:ext xmlns:c16="http://schemas.microsoft.com/office/drawing/2014/chart" uri="{C3380CC4-5D6E-409C-BE32-E72D297353CC}">
              <c16:uniqueId val="{00000002-8E02-4596-A265-68F540A48672}"/>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D2ED-4573-BB37-3D384909580A}"/>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D2ED-4573-BB37-3D384909580A}"/>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c:v>
                </c:pt>
                <c:pt idx="4">
                  <c:v>3</c:v>
                </c:pt>
              </c:numCache>
            </c:numRef>
          </c:val>
          <c:extLst>
            <c:ext xmlns:c16="http://schemas.microsoft.com/office/drawing/2014/chart" uri="{C3380CC4-5D6E-409C-BE32-E72D297353CC}">
              <c16:uniqueId val="{00000000-FFD3-4433-A648-7B3B377B5076}"/>
            </c:ext>
          </c:extLst>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c:v>
                </c:pt>
                <c:pt idx="3">
                  <c:v>3.9</c:v>
                </c:pt>
                <c:pt idx="4">
                  <c:v>3.2</c:v>
                </c:pt>
              </c:numCache>
            </c:numRef>
          </c:val>
          <c:extLst>
            <c:ext xmlns:c16="http://schemas.microsoft.com/office/drawing/2014/chart" uri="{C3380CC4-5D6E-409C-BE32-E72D297353CC}">
              <c16:uniqueId val="{00000001-FFD3-4433-A648-7B3B377B5076}"/>
            </c:ext>
          </c:extLst>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4.0999999999999996</c:v>
                </c:pt>
                <c:pt idx="1">
                  <c:v>2.1</c:v>
                </c:pt>
                <c:pt idx="2">
                  <c:v>2.4</c:v>
                </c:pt>
                <c:pt idx="3">
                  <c:v>4.0999999999999996</c:v>
                </c:pt>
                <c:pt idx="4">
                  <c:v>2.6</c:v>
                </c:pt>
              </c:numCache>
            </c:numRef>
          </c:val>
          <c:extLst>
            <c:ext xmlns:c16="http://schemas.microsoft.com/office/drawing/2014/chart" uri="{C3380CC4-5D6E-409C-BE32-E72D297353CC}">
              <c16:uniqueId val="{00000002-FFD3-4433-A648-7B3B377B5076}"/>
            </c:ext>
          </c:extLst>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c:v>
                </c:pt>
                <c:pt idx="4">
                  <c:v>15</c:v>
                </c:pt>
              </c:numCache>
            </c:numRef>
          </c:val>
          <c:extLst>
            <c:ext xmlns:c16="http://schemas.microsoft.com/office/drawing/2014/chart" uri="{C3380CC4-5D6E-409C-BE32-E72D297353CC}">
              <c16:uniqueId val="{00000003-FFD3-4433-A648-7B3B377B5076}"/>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2.2000000000000002</c:v>
                </c:pt>
              </c:numCache>
            </c:numRef>
          </c:yVal>
          <c:smooth val="0"/>
          <c:extLst>
            <c:ext xmlns:c16="http://schemas.microsoft.com/office/drawing/2014/chart" uri="{C3380CC4-5D6E-409C-BE32-E72D297353CC}">
              <c16:uniqueId val="{00000000-82D4-47E2-9BF0-D6A078E4862C}"/>
            </c:ext>
          </c:extLst>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extLst>
            <c:ext xmlns:c16="http://schemas.microsoft.com/office/drawing/2014/chart" uri="{C3380CC4-5D6E-409C-BE32-E72D297353CC}">
              <c16:uniqueId val="{00000001-82D4-47E2-9BF0-D6A078E4862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Sheet1!$B$2:$B$3</c:f>
              <c:numCache>
                <c:formatCode>General</c:formatCode>
                <c:ptCount val="2"/>
                <c:pt idx="0">
                  <c:v>1013.3</c:v>
                </c:pt>
                <c:pt idx="1">
                  <c:v>746.4</c:v>
                </c:pt>
              </c:numCache>
            </c:numRef>
          </c:val>
          <c:extLst>
            <c:ext xmlns:c16="http://schemas.microsoft.com/office/drawing/2014/chart" uri="{C3380CC4-5D6E-409C-BE32-E72D297353CC}">
              <c16:uniqueId val="{00000000-A4BD-4666-BBD5-F24362817FA0}"/>
            </c:ext>
          </c:extLst>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Sheet1!$C$2:$C$3</c:f>
              <c:numCache>
                <c:formatCode>General</c:formatCode>
                <c:ptCount val="2"/>
                <c:pt idx="0">
                  <c:v>577.79999999999995</c:v>
                </c:pt>
                <c:pt idx="1">
                  <c:v>2290.9</c:v>
                </c:pt>
              </c:numCache>
            </c:numRef>
          </c:val>
          <c:extLst>
            <c:ext xmlns:c16="http://schemas.microsoft.com/office/drawing/2014/chart" uri="{C3380CC4-5D6E-409C-BE32-E72D297353CC}">
              <c16:uniqueId val="{00000001-A4BD-4666-BBD5-F24362817FA0}"/>
            </c:ext>
          </c:extLst>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Sheet1!$D$2:$D$3</c:f>
              <c:numCache>
                <c:formatCode>General</c:formatCode>
                <c:ptCount val="2"/>
                <c:pt idx="0">
                  <c:v>1326.1</c:v>
                </c:pt>
                <c:pt idx="1">
                  <c:v>243.9</c:v>
                </c:pt>
              </c:numCache>
            </c:numRef>
          </c:val>
          <c:extLst>
            <c:ext xmlns:c16="http://schemas.microsoft.com/office/drawing/2014/chart" uri="{C3380CC4-5D6E-409C-BE32-E72D297353CC}">
              <c16:uniqueId val="{00000002-A4BD-4666-BBD5-F24362817FA0}"/>
            </c:ext>
          </c:extLst>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Sheet1!$E$2:$E$3</c:f>
              <c:numCache>
                <c:formatCode>General</c:formatCode>
                <c:ptCount val="2"/>
                <c:pt idx="0">
                  <c:v>628.20000000000005</c:v>
                </c:pt>
                <c:pt idx="1">
                  <c:v>642.1</c:v>
                </c:pt>
              </c:numCache>
            </c:numRef>
          </c:val>
          <c:extLst>
            <c:ext xmlns:c16="http://schemas.microsoft.com/office/drawing/2014/chart" uri="{C3380CC4-5D6E-409C-BE32-E72D297353CC}">
              <c16:uniqueId val="{00000003-A4BD-4666-BBD5-F24362817FA0}"/>
            </c:ext>
          </c:extLst>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Sheet1!$F$2:$F$3</c:f>
              <c:numCache>
                <c:formatCode>General</c:formatCode>
                <c:ptCount val="2"/>
                <c:pt idx="0">
                  <c:v>540.20000000000005</c:v>
                </c:pt>
                <c:pt idx="1">
                  <c:v>1386.9</c:v>
                </c:pt>
              </c:numCache>
            </c:numRef>
          </c:val>
          <c:extLst>
            <c:ext xmlns:c16="http://schemas.microsoft.com/office/drawing/2014/chart" uri="{C3380CC4-5D6E-409C-BE32-E72D297353CC}">
              <c16:uniqueId val="{00000004-A4BD-4666-BBD5-F24362817FA0}"/>
            </c:ext>
          </c:extLst>
        </c:ser>
        <c:dLbls>
          <c:showLegendKey val="0"/>
          <c:showVal val="0"/>
          <c:showCatName val="0"/>
          <c:showSerName val="0"/>
          <c:showPercent val="0"/>
          <c:showBubbleSize val="0"/>
        </c:dLbls>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extLst>
            <c:ext xmlns:c16="http://schemas.microsoft.com/office/drawing/2014/chart" uri="{C3380CC4-5D6E-409C-BE32-E72D297353CC}">
              <c16:uniqueId val="{00000000-DDCC-4938-A47E-36841313A2AD}"/>
            </c:ext>
          </c:extLst>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extLst>
            <c:ext xmlns:c16="http://schemas.microsoft.com/office/drawing/2014/chart" uri="{C3380CC4-5D6E-409C-BE32-E72D297353CC}">
              <c16:uniqueId val="{00000001-DDCC-4938-A47E-36841313A2AD}"/>
            </c:ext>
          </c:extLst>
        </c:ser>
        <c:ser>
          <c:idx val="3"/>
          <c:order val="3"/>
          <c:tx>
            <c:strRef>
              <c:f>Sheet1!$H$1</c:f>
              <c:strCache>
                <c:ptCount val="1"/>
                <c:pt idx="0">
                  <c:v>“Aloqabank”</c:v>
                </c:pt>
              </c:strCache>
            </c:strRef>
          </c:tx>
          <c:spPr>
            <a:ln w="28575">
              <a:solidFill>
                <a:srgbClr val="70AD47"/>
              </a:solidFill>
            </a:ln>
          </c:spPr>
          <c:marker>
            <c:symbol val="square"/>
            <c:size val="7"/>
            <c:spPr>
              <a:solidFill>
                <a:srgbClr val="70AD47"/>
              </a:solidFill>
              <a:ln>
                <a:noFill/>
              </a:ln>
            </c:spPr>
          </c:marker>
          <c:dLbls>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Sheet1!$G$2:$G$6</c:f>
              <c:numCache>
                <c:formatCode>General</c:formatCode>
                <c:ptCount val="5"/>
                <c:pt idx="0">
                  <c:v>2.46</c:v>
                </c:pt>
                <c:pt idx="1">
                  <c:v>4.9000000000000004</c:v>
                </c:pt>
                <c:pt idx="2">
                  <c:v>4.01</c:v>
                </c:pt>
                <c:pt idx="3">
                  <c:v>4.01</c:v>
                </c:pt>
                <c:pt idx="4">
                  <c:v>2.83</c:v>
                </c:pt>
              </c:numCache>
            </c:numRef>
          </c:yVal>
          <c:smooth val="0"/>
          <c:extLst>
            <c:ext xmlns:c16="http://schemas.microsoft.com/office/drawing/2014/chart" uri="{C3380CC4-5D6E-409C-BE32-E72D297353CC}">
              <c16:uniqueId val="{00000003-A10A-4ABA-8000-000000000000}"/>
            </c:ext>
          </c:extLst>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extLst>
            <c:ext xmlns:c16="http://schemas.microsoft.com/office/drawing/2014/chart" uri="{C3380CC4-5D6E-409C-BE32-E72D297353CC}">
              <c16:uniqueId val="{00000002-DDCC-4938-A47E-36841313A2AD}"/>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2.4700000000000002</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