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i/>
        </w:rPr>
        <w:t>1.2.5-jadval</w:t>
      </w:r>
    </w:p>
    <w:p>
      <w:pPr>
        <w:jc w:val="center"/>
      </w:pPr>
      <w:r>
        <w:rPr>
          <w:b/>
        </w:rPr>
        <w:t>Xalqaro standartlarning moliyaviy barqarorlikni integral baholash bloklari bilan bog‘liqligi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531"/>
        <w:gridCol w:w="1531"/>
        <w:gridCol w:w="1531"/>
        <w:gridCol w:w="1531"/>
        <w:gridCol w:w="1531"/>
      </w:tblGrid>
      <w:tr>
        <w:tc>
          <w:tcPr>
            <w:tcW w:type="dxa" w:w="1701"/>
            <w:vAlign w:val="center"/>
            <w:shd w:val="clear" w:color="auto" w:fill="D9E2F3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Standart / blok</w:t>
            </w:r>
          </w:p>
        </w:tc>
        <w:tc>
          <w:tcPr>
            <w:tcW w:type="dxa" w:w="1531"/>
            <w:vAlign w:val="center"/>
            <w:shd w:val="clear" w:color="auto" w:fill="D9E2F3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Kapital yetarliligi</w:t>
            </w:r>
          </w:p>
        </w:tc>
        <w:tc>
          <w:tcPr>
            <w:tcW w:type="dxa" w:w="1531"/>
            <w:vAlign w:val="center"/>
            <w:shd w:val="clear" w:color="auto" w:fill="D9E2F3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Aktivlar sifati</w:t>
            </w:r>
          </w:p>
        </w:tc>
        <w:tc>
          <w:tcPr>
            <w:tcW w:type="dxa" w:w="1531"/>
            <w:vAlign w:val="center"/>
            <w:shd w:val="clear" w:color="auto" w:fill="D9E2F3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Daromadlilik</w:t>
            </w:r>
          </w:p>
        </w:tc>
        <w:tc>
          <w:tcPr>
            <w:tcW w:type="dxa" w:w="1531"/>
            <w:vAlign w:val="center"/>
            <w:shd w:val="clear" w:color="auto" w:fill="D9E2F3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Likvidlik</w:t>
            </w:r>
          </w:p>
        </w:tc>
        <w:tc>
          <w:tcPr>
            <w:tcW w:type="dxa" w:w="1531"/>
            <w:vAlign w:val="center"/>
            <w:shd w:val="clear" w:color="auto" w:fill="D9E2F3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Bozor (valyuta) riskiga sezgirlik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Bazel III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19"/>
              </w:rPr>
              <w:t>● CET1 ≥ 4,5%, jami ≥ 8% (+2,5% bufer), leverej ≥ 3%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19"/>
              </w:rPr>
              <w:t>–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19"/>
              </w:rPr>
              <w:t>–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19"/>
              </w:rPr>
              <w:t>● LCR ≥ 100%, NSFR ≥ 100%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19"/>
              </w:rPr>
              <w:t>○ bozor riski uchun kapital talabi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MHXS 9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19"/>
              </w:rPr>
              <w:t>○ kutilgan zarar zaxiralari orqali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19"/>
              </w:rPr>
              <w:t>● kutilgan kredit zararlari, 3 bosqichli tasnif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19"/>
              </w:rPr>
              <w:t>○ zaxira xarajatlari orqali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19"/>
              </w:rPr>
              <w:t>–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19"/>
              </w:rPr>
              <w:t>–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XVJ moliyaviy barqarorlik ko‘rsatkichlari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19"/>
              </w:rPr>
              <w:t>● regulyativ kapital / RWA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19"/>
              </w:rPr>
              <w:t>● muammoli kreditlar / jami kreditlar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19"/>
              </w:rPr>
              <w:t>● ROA, ROE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19"/>
              </w:rPr>
              <w:t>● likvid aktivlar / jami aktivlar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19"/>
              </w:rPr>
              <w:t>● sof ochiq valyuta pozitsiyasi / kapital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CAMELS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19"/>
              </w:rPr>
              <w:t>● C – kapital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19"/>
              </w:rPr>
              <w:t>● A – aktivlar sifati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19"/>
              </w:rPr>
              <w:t>● E – daromadlilik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19"/>
              </w:rPr>
              <w:t>● L – likvidlik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19"/>
              </w:rPr>
              <w:t>● S – bozor riskiga sezgirlik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Reyting agentliklari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19"/>
              </w:rPr>
              <w:t>● kapitallashuv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19"/>
              </w:rPr>
              <w:t>● aktivlar sifati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19"/>
              </w:rPr>
              <w:t>● daromadlilik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19"/>
              </w:rPr>
              <w:t>● moliyalashtirish va likvidlik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sz w:val="19"/>
              </w:rPr>
              <w:t>● xorijiy valyutadagi likvidlik</w:t>
            </w:r>
          </w:p>
        </w:tc>
      </w:tr>
      <w:tr>
        <w:tc>
          <w:tcPr>
            <w:tcW w:type="dxa" w:w="1701"/>
            <w:vAlign w:val="center"/>
            <w:shd w:val="clear" w:color="auto" w:fill="D9E2F3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Integral bahoga hissasi</w:t>
            </w:r>
          </w:p>
        </w:tc>
        <w:tc>
          <w:tcPr>
            <w:tcW w:type="dxa" w:w="1531"/>
            <w:vAlign w:val="center"/>
            <w:shd w:val="clear" w:color="auto" w:fill="D9E2F3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19"/>
              </w:rPr>
              <w:t>Bazel III mezonlari</w:t>
            </w:r>
          </w:p>
        </w:tc>
        <w:tc>
          <w:tcPr>
            <w:tcW w:type="dxa" w:w="1531"/>
            <w:vAlign w:val="center"/>
            <w:shd w:val="clear" w:color="auto" w:fill="D9E2F3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19"/>
              </w:rPr>
              <w:t>MHXS 9 bo‘yicha baholash</w:t>
            </w:r>
          </w:p>
        </w:tc>
        <w:tc>
          <w:tcPr>
            <w:tcW w:type="dxa" w:w="1531"/>
            <w:vAlign w:val="center"/>
            <w:shd w:val="clear" w:color="auto" w:fill="D9E2F3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19"/>
              </w:rPr>
              <w:t>XVJ va CAMELS ko‘rsatkichlari</w:t>
            </w:r>
          </w:p>
        </w:tc>
        <w:tc>
          <w:tcPr>
            <w:tcW w:type="dxa" w:w="1531"/>
            <w:vAlign w:val="center"/>
            <w:shd w:val="clear" w:color="auto" w:fill="D9E2F3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19"/>
              </w:rPr>
              <w:t>Bazel III mezonlari</w:t>
            </w:r>
          </w:p>
        </w:tc>
        <w:tc>
          <w:tcPr>
            <w:tcW w:type="dxa" w:w="1531"/>
            <w:vAlign w:val="center"/>
            <w:shd w:val="clear" w:color="auto" w:fill="D9E2F3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19"/>
              </w:rPr>
              <w:t>XVJ ko‘rsatkichi, dollarlashuvni hisobga olish</w:t>
            </w:r>
          </w:p>
        </w:tc>
      </w:tr>
    </w:tbl>
    <w:p>
      <w:pPr>
        <w:spacing w:line="240" w:lineRule="auto"/>
      </w:pPr>
      <w:r>
        <w:rPr>
          <w:i/>
          <w:sz w:val="22"/>
        </w:rPr>
        <w:t>Izoh: ● – blok uchun asosiy mezon yoki ko‘rsatkich manbai; ○ – bilvosita ta’sir; – – blokni qamramaydi.</w:t>
      </w:r>
    </w:p>
    <w:p>
      <w:pPr>
        <w:spacing w:line="240" w:lineRule="auto"/>
      </w:pPr>
      <w:r>
        <w:rPr>
          <w:sz w:val="22"/>
        </w:rPr>
        <w:t>Manba: Tadqiqot natijasida muallif tomonidan ishlab chiqildi.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