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i w:val="0"/>
          <w:sz w:val="28"/>
        </w:rPr>
        <w:t>1.3.7-rasmning yangi varianti (namuna)</w:t>
      </w:r>
    </w:p>
    <w:p>
      <w:pPr>
        <w:ind w:firstLine="0"/>
        <w:jc w:val="both"/>
      </w:pPr>
      <w:r>
        <w:rPr>
          <w:b w:val="0"/>
          <w:i/>
          <w:color w:val="595959"/>
          <w:sz w:val="24"/>
        </w:rPr>
        <w:t>Ma’qul bo‘lsa: 1.3-§ dagi “So‘nggi yillar ma’lumotlari ham …” xatboshining birinchi qismi (“… 3,7 foizga yetadi.” gacha) quyidagi matn bilan almashtiriladi; xatboshining davomi (Charoenwong va boshq., XVJ) o‘zgarmaydi. 1.3.7-rasm yangilanadi, rasmdan keyingi xatboshining birinchi ikki jumlasi quyidagi jumlalar bilan almashtiriladi. XVJ 2016-yilgi “risk ostidagi kreditlar” (15,5 foiz) ustuni tahlil davridan tashqari bo‘lgani uchun olib tashlanadi.</w:t>
      </w:r>
    </w:p>
    <w:p>
      <w:pPr>
        <w:ind w:firstLine="709"/>
        <w:jc w:val="both"/>
      </w:pPr>
      <w:r>
        <w:rPr>
          <w:b w:val="0"/>
          <w:i w:val="0"/>
          <w:sz w:val="28"/>
        </w:rPr>
        <w:t>So‘nggi yillar ma’lumotlari ham vaziyat tubdan o‘zgarmaganini ko‘rsatadi. Milliy moliyaviy nazorat boshqarmasi ma’lumotlariga ko‘ra, tijorat banklarida muammoli kreditlar ulushi 2021-yil oxirida 1,73 foiz, 2022-yil oxirida 1,63 foiz, 2023-yil oxirida 1,59 foiz, 2024-yil va 2025-yil oxirida esa 1,50 foizni tashkil etgan[1]. Biroq ularning yonida “alohida e’tibor talab qiluvchi” kreditlar ham bor bo‘lib, ularning ulushi shu yillarda 2,2–2,3 foiz atrofida saqlanib kelmoqda; ikkalasi qo‘shilganda 2025-yil oxirida muammoli aktivlar ulushi 3,7 foizga yetadi.</w:t>
      </w:r>
    </w:p>
    <w:p>
      <w:pPr>
        <w:jc w:val="center"/>
      </w:pPr>
      <w:r xmlns:a="http://schemas.openxmlformats.org/drawingml/2006/main" xmlns:c="http://schemas.openxmlformats.org/drawingml/2006/chart">
        <w:rPr>
          <w:noProof/>
        </w:rPr>
        <w:drawing>
          <wp:inline distT="0" distB="0" distL="0" distR="0">
            <wp:extent cx="5760000" cy="3060000"/>
            <wp:effectExtent l="0" t="0" r="0" b="0"/>
            <wp:docPr id="1001" name="1.3.7-rasm"/>
            <wp:cNvGraphicFramePr/>
            <a:graphic>
              <a:graphicData uri="http://schemas.openxmlformats.org/drawingml/2006/chart">
                <c:chart r:id="rId9"/>
              </a:graphicData>
            </a:graphic>
          </wp:inline>
        </w:drawing>
      </w:r>
    </w:p>
    <w:p>
      <w:pPr>
        <w:ind w:firstLine="0"/>
        <w:jc w:val="center"/>
      </w:pPr>
      <w:r>
        <w:rPr>
          <w:b/>
          <w:i w:val="0"/>
          <w:sz w:val="28"/>
        </w:rPr>
        <w:t>1.3.7-rasm. Xitoy tijorat banklarida muammoli kreditlar ulushi: rasmiy ma’lumotlar va muqobil baholar, 2021–2025-yillar, %[2]</w:t>
      </w:r>
    </w:p>
    <w:p>
      <w:pPr>
        <w:ind w:firstLine="709"/>
        <w:jc w:val="both"/>
      </w:pPr>
      <w:r>
        <w:rPr>
          <w:b w:val="0"/>
          <w:i w:val="0"/>
          <w:sz w:val="28"/>
        </w:rPr>
        <w:t>Rasmdan ko‘rinadiki, rasmiy muammoli kreditlar ulushi besh yil davomida 1,73 foizdan 1,50 foizgacha sekin pasaygan, alohida e’tibor talab qiluvchi kreditlar ulushi esa deyarli o‘zgarmagan. Ular qo‘shilsa, bu ko‘rsatkich ikki yarim barobar, ilmiy baholarga ko‘ra esa uch barobargacha ortadi. …</w:t>
      </w:r>
    </w:p>
    <w:p>
      <w:pPr>
        <w:ind w:firstLine="0"/>
        <w:jc w:val="center"/>
      </w:pPr>
      <w:r>
        <w:rPr>
          <w:b/>
          <w:i w:val="0"/>
          <w:sz w:val="28"/>
        </w:rPr>
        <w:t>Sahifa osti snoskalari</w:t>
      </w:r>
    </w:p>
    <w:p>
      <w:pPr>
        <w:ind w:firstLine="0"/>
        <w:jc w:val="both"/>
      </w:pPr>
      <w:r>
        <w:rPr>
          <w:b w:val="0"/>
          <w:i w:val="0"/>
          <w:sz w:val="22"/>
        </w:rPr>
        <w:t>[1] China Banking and Insurance Regulatory Commission, National Financial Regulatory Administration. Supervisory Statistics of the Banking and Insurance Sectors (Major regulatory indicators of the banking and insurance sectors): 2021–2025-yillar IV choraklari. – https://www.nfra.gov.cn</w:t>
      </w:r>
    </w:p>
    <w:p>
      <w:pPr>
        <w:ind w:firstLine="0"/>
        <w:jc w:val="both"/>
      </w:pPr>
      <w:r>
        <w:rPr>
          <w:b w:val="0"/>
          <w:i w:val="0"/>
          <w:sz w:val="22"/>
        </w:rPr>
        <w:t>[2] Tadqiqot natijasida muallif tomonidan quyidagi manbalar ma’lumotlari asosida ishlab chiqildi: China Banking and Insurance Regulatory Commission, National Financial Regulatory Administration. Supervisory Statistics of the Banking and Insurance Sectors (Major regulatory indicators of the banking and insurance sectors): 2021–2025-yillar IV choraklari. – https://www.nfra.gov.cn; Charoenwong B., Miao M., Ruan T. Nonperforming Loan Disposals Without Resolution // Management Science. – 2025. – Vol. 71, No. 1. – P. 898–916. Izoh: alohida e’tibor talab qiluvchi kreditlar ulushi muallif tomonidan ushbu kreditlar qoldig‘ining jami kreditlarga (ishlaydigan va muammoli kreditlar yig‘indisiga) nisbati sifatida hisoblangan; muqobil baholar – 2025-yil oxiridagi rasmiy ko‘rsatkichning ikki va uch barobari.</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stacked"/>
        <c:varyColors val="0"/>
        <c:ser>
          <c:idx val="0"/>
          <c:order val="0"/>
          <c:tx>
            <c:strRef>
              <c:f>Sheet1!$B$1</c:f>
              <c:strCache>
                <c:ptCount val="1"/>
                <c:pt idx="0">
                  <c:v>Muammoli kreditlar (rasmiy)</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dLbls>
          <c:cat>
            <c:strRef>
              <c:f>Sheet1!$A$2:$A$8</c:f>
              <c:strCache>
                <c:ptCount val="7"/>
                <c:pt idx="0">
                  <c:v>2021</c:v>
                </c:pt>
                <c:pt idx="1">
                  <c:v>2022</c:v>
                </c:pt>
                <c:pt idx="2">
                  <c:v>2023</c:v>
                </c:pt>
                <c:pt idx="3">
                  <c:v>2024</c:v>
                </c:pt>
                <c:pt idx="4">
                  <c:v>2025</c:v>
                </c:pt>
                <c:pt idx="5">
                  <c:v>Ilmiy baho:
quyi chegara</c:v>
                </c:pt>
                <c:pt idx="6">
                  <c:v>Ilmiy baho:
yuqori chegara</c:v>
                </c:pt>
              </c:strCache>
            </c:strRef>
          </c:cat>
          <c:val>
            <c:numRef>
              <c:f>Sheet1!$B$2:$B$8</c:f>
              <c:numCache>
                <c:formatCode>General</c:formatCode>
                <c:ptCount val="7"/>
                <c:pt idx="0">
                  <c:v>1.73</c:v>
                </c:pt>
                <c:pt idx="1">
                  <c:v>1.63</c:v>
                </c:pt>
                <c:pt idx="2">
                  <c:v>1.59</c:v>
                </c:pt>
                <c:pt idx="3">
                  <c:v>1.5</c:v>
                </c:pt>
                <c:pt idx="4">
                  <c:v>1.5</c:v>
                </c:pt>
              </c:numCache>
            </c:numRef>
          </c:val>
        </c:ser>
        <c:ser>
          <c:idx val="1"/>
          <c:order val="1"/>
          <c:tx>
            <c:strRef>
              <c:f>Sheet1!$C$1</c:f>
              <c:strCache>
                <c:ptCount val="1"/>
                <c:pt idx="0">
                  <c:v>Alohida e’tibor talab qiluvchi kreditlar</c:v>
                </c:pt>
              </c:strCache>
            </c:strRef>
          </c:tx>
          <c:spPr>
            <a:solidFill>
              <a:srgbClr val="FFC000"/>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Sheet1!$A$2:$A$8</c:f>
              <c:strCache>
                <c:ptCount val="7"/>
                <c:pt idx="0">
                  <c:v>2021</c:v>
                </c:pt>
                <c:pt idx="1">
                  <c:v>2022</c:v>
                </c:pt>
                <c:pt idx="2">
                  <c:v>2023</c:v>
                </c:pt>
                <c:pt idx="3">
                  <c:v>2024</c:v>
                </c:pt>
                <c:pt idx="4">
                  <c:v>2025</c:v>
                </c:pt>
                <c:pt idx="5">
                  <c:v>Ilmiy baho:
quyi chegara</c:v>
                </c:pt>
                <c:pt idx="6">
                  <c:v>Ilmiy baho:
yuqori chegara</c:v>
                </c:pt>
              </c:strCache>
            </c:strRef>
          </c:cat>
          <c:val>
            <c:numRef>
              <c:f>Sheet1!$C$2:$C$8</c:f>
              <c:numCache>
                <c:formatCode>General</c:formatCode>
                <c:ptCount val="7"/>
                <c:pt idx="0">
                  <c:v>2.31</c:v>
                </c:pt>
                <c:pt idx="1">
                  <c:v>2.24</c:v>
                </c:pt>
                <c:pt idx="2">
                  <c:v>2.22</c:v>
                </c:pt>
                <c:pt idx="3">
                  <c:v>2.2</c:v>
                </c:pt>
                <c:pt idx="4">
                  <c:v>2.18</c:v>
                </c:pt>
              </c:numCache>
            </c:numRef>
          </c:val>
        </c:ser>
        <c:ser>
          <c:idx val="2"/>
          <c:order val="2"/>
          <c:tx>
            <c:strRef>
              <c:f>Sheet1!$D$1</c:f>
              <c:strCache>
                <c:ptCount val="1"/>
                <c:pt idx="0">
                  <c:v>Muqobil baholar (2025-yil)</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dLbls>
          <c:cat>
            <c:strRef>
              <c:f>Sheet1!$A$2:$A$8</c:f>
              <c:strCache>
                <c:ptCount val="7"/>
                <c:pt idx="0">
                  <c:v>2021</c:v>
                </c:pt>
                <c:pt idx="1">
                  <c:v>2022</c:v>
                </c:pt>
                <c:pt idx="2">
                  <c:v>2023</c:v>
                </c:pt>
                <c:pt idx="3">
                  <c:v>2024</c:v>
                </c:pt>
                <c:pt idx="4">
                  <c:v>2025</c:v>
                </c:pt>
                <c:pt idx="5">
                  <c:v>Ilmiy baho:
quyi chegara</c:v>
                </c:pt>
                <c:pt idx="6">
                  <c:v>Ilmiy baho:
yuqori chegara</c:v>
                </c:pt>
              </c:strCache>
            </c:strRef>
          </c:cat>
          <c:val>
            <c:numRef>
              <c:f>Sheet1!$D$2:$D$8</c:f>
              <c:numCache>
                <c:formatCode>General</c:formatCode>
                <c:ptCount val="7"/>
                <c:pt idx="5">
                  <c:v>3.0</c:v>
                </c:pt>
                <c:pt idx="6">
                  <c:v>4.5</c:v>
                </c:pt>
              </c:numCache>
            </c:numRef>
          </c:val>
        </c:ser>
        <c:gapWidth val="6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Kreditlardagi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