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v-bob-boyicha-xulosalar"/>
    <w:p>
      <w:pPr>
        <w:pStyle w:val="Heading2"/>
        <w:keepNext/>
        <w:spacing w:line="360" w:lineRule="auto" w:before="240" w:after="120"/>
        <w:ind w:firstLine="0"/>
        <w:jc w:val="center"/>
      </w:pPr>
      <w:r>
        <w:rPr>
          <w:rFonts w:ascii="Times New Roman" w:hAnsi="Times New Roman" w:cs="Times New Roman" w:eastAsia="Times New Roman"/>
          <w:b/>
          <w:i w:val="0"/>
          <w:sz w:val="28"/>
        </w:rPr>
        <w:t xml:space="preserve">IV bob bo‘yicha xulosalar</w:t>
      </w:r>
    </w:p>
    <w:p>
      <w:pPr>
        <w:pStyle w:val="FirstParagraph"/>
        <w:spacing w:line="360" w:lineRule="auto" w:before="0" w:after="0"/>
        <w:ind w:firstLine="709"/>
        <w:jc w:val="both"/>
      </w:pPr>
      <w:r>
        <w:rPr>
          <w:rFonts w:ascii="Times New Roman" w:hAnsi="Times New Roman" w:cs="Times New Roman" w:eastAsia="Times New Roman"/>
          <w:sz w:val="28"/>
        </w:rPr>
        <w:t xml:space="preserve">Dissertatsiyaning to‘rtinchi bobida tijorat banklari moliyaviy barqarorligini baholash metodologiyasini takomillashtirish yo‘nalishlari ishlab chiqildi va quyidagi xulosalar shakllantirildi.</w:t>
      </w:r>
    </w:p>
    <w:p>
      <w:pPr>
        <w:numPr>
          <w:ilvl w:val="0"/>
          <w:numId w:val="1001"/>
        </w:numPr>
        <w:spacing w:line="360" w:lineRule="auto" w:before="0" w:after="0"/>
        <w:ind w:firstLine="709"/>
        <w:jc w:val="both"/>
      </w:pPr>
      <w:r>
        <w:rPr>
          <w:rFonts w:ascii="Times New Roman" w:hAnsi="Times New Roman" w:cs="Times New Roman" w:eastAsia="Times New Roman"/>
          <w:sz w:val="28"/>
        </w:rPr>
        <w:t xml:space="preserve">O‘zbekistonda 2021–2025-yillarda tijorat banklarining bankrotligi kuzatilmaganligi sababli erta ogohlantirish tizimi uchun muammo hodisasi sifatida bankning bir chorakda kapitalining kamida 5 foizini zarar sifatida yo‘qotishi olindi. Tahlil davrida 25 ta bankdan sakkiztasida 10 ta shunday hodisa aniqlangan bo‘lib, ularning eng yiriklari 2024-yilda «Mikrokreditbank» ATB (kapitalning 43 foizi) va «Biznesni rivojlantirish banki» ATB (48 foiz) da yuz bergan.</w:t>
      </w:r>
    </w:p>
    <w:p>
      <w:pPr>
        <w:numPr>
          <w:ilvl w:val="0"/>
          <w:numId w:val="1001"/>
        </w:numPr>
        <w:spacing w:line="360" w:lineRule="auto" w:before="0" w:after="0"/>
        <w:ind w:firstLine="709"/>
        <w:jc w:val="both"/>
      </w:pPr>
      <w:r>
        <w:rPr>
          <w:rFonts w:ascii="Times New Roman" w:hAnsi="Times New Roman" w:cs="Times New Roman" w:eastAsia="Times New Roman"/>
          <w:sz w:val="28"/>
        </w:rPr>
        <w:t xml:space="preserve">Taklif etilgan integral indeks muammo hodisalarini to‘rt chorak oldin yuqori aniqlik bilan bashorat qiladi: uning ROC egri chizig‘i ostidagi maydoni (AUC) 0,86 ni, vaqtdan tashqari sinovda esa 0,95 ni tashkil etdi. An’anaviy Z-score ning bashorat kuchi esa tasodifiy darajadan ham past (AUC = 0,42), chunki davlat ko‘magi muammoli davlat banklarining daromadliligini sun’iy ravishda barqarorlashtiradi. Indeksning bashorat kuchi asosan aktivlar sifati bloki bilan ta’minlanadi, kapitalning aktivlarga nisbati esa O‘zbekiston banklarida muammolarni bashorat qilmaydi.</w:t>
      </w:r>
    </w:p>
    <w:p>
      <w:pPr>
        <w:numPr>
          <w:ilvl w:val="0"/>
          <w:numId w:val="1001"/>
        </w:numPr>
        <w:spacing w:line="360" w:lineRule="auto" w:before="0" w:after="0"/>
        <w:ind w:firstLine="709"/>
        <w:jc w:val="both"/>
      </w:pPr>
      <w:r>
        <w:rPr>
          <w:rFonts w:ascii="Times New Roman" w:hAnsi="Times New Roman" w:cs="Times New Roman" w:eastAsia="Times New Roman"/>
          <w:sz w:val="28"/>
        </w:rPr>
        <w:t xml:space="preserve">Integral indeks asosida uch zonali erta ogohlantirish tizimi taklif etildi: yashil zona (3,25 ball va undan yuqori), sariq zona (2,75–3,25 ball) va qizil zona (2,75 balldan past). Tahlil davrida qizil zonadagi kuzatuvlarning 50 foizidan keyin bir yil ichida muammo hodisasi yuz bergan, sariq zonada bu ko‘rsatkich 6,8 foizni, yashil zonada 2,0 foizni tashkil etgan. «Mikrokreditbank» ATB ning indeksi 2024-yil IV choragidagi yirik zarardan oldin uzoq vaqt qizil zonada bo‘lib, zarardan ikki chorak oldin qo‘shimcha keskin pasaygan. «O‘zsanoatqurilishbank» ATB esa milliy hisobot bo‘yicha yashil zonada, MHXS hisoboti bo‘yicha sariq zonada joylashgan.</w:t>
      </w:r>
    </w:p>
    <w:p>
      <w:pPr>
        <w:numPr>
          <w:ilvl w:val="0"/>
          <w:numId w:val="1001"/>
        </w:numPr>
        <w:spacing w:line="360" w:lineRule="auto" w:before="0" w:after="0"/>
        <w:ind w:firstLine="709"/>
        <w:jc w:val="both"/>
      </w:pPr>
      <w:r>
        <w:rPr>
          <w:rFonts w:ascii="Times New Roman" w:hAnsi="Times New Roman" w:cs="Times New Roman" w:eastAsia="Times New Roman"/>
          <w:sz w:val="28"/>
        </w:rPr>
        <w:t xml:space="preserve">Moliyaviy barqarorlikning 2026–2028-yillarga shartli ssenariy prognozi faqat milliy iqtisodiyotda haqiqatda kuzatilgan shoklar – 2020 va 2022-yillardagi iqtisodiy o‘sish pasayishi asosida tuzildi. YaIM o‘sishining kredit riskiga ta’siri taxminan to‘rt chorakdan keyin namoyon bo‘lishi aniqlandi, ikki mustaqil model esa deyarli bir xil sezgirlik koeffitsiyentini berdi: YaIM o‘sish sur’atining 1 foiz punktga pasayishi muammoli kreditlar ulushini 0,15 foiz punktga oshiradi. Orqaga tekshiruv shuni ko‘rsatdiki, model muammoli kreditlarning aniq darajasini bashorat qilish uchun emas, balki makroiqtisodiy shok ta’sirini baholash, ya’ni stress-test uchun yaroqli.</w:t>
      </w:r>
    </w:p>
    <w:p>
      <w:pPr>
        <w:numPr>
          <w:ilvl w:val="0"/>
          <w:numId w:val="1001"/>
        </w:numPr>
        <w:spacing w:line="360" w:lineRule="auto" w:before="0" w:after="0"/>
        <w:ind w:firstLine="709"/>
        <w:jc w:val="both"/>
      </w:pPr>
      <w:r>
        <w:rPr>
          <w:rFonts w:ascii="Times New Roman" w:hAnsi="Times New Roman" w:cs="Times New Roman" w:eastAsia="Times New Roman"/>
          <w:sz w:val="28"/>
        </w:rPr>
        <w:t xml:space="preserve">Asosiy va ijobiy ssenariylarda bank tizimi barqaror qoladi, keskin salbiy ssenariyda esa 2027-yilda muammoli kreditlar ulushi 2,9 foizdan 4,6 foizgacha oshadi, to‘rtta bank qizil zonaga tushib, ularning tizim aktivlaridagi ulushi 24,3 foizni tashkil etadi. Qizil zonaga tushadigan banklarning barchasi davlat banklari hisoblanadi. Milliy hisobot ma’lumotlari asosidagi stress-test bankning shokka bardoshliligini oshirib ko‘rsatadi: «O‘zsanoatqurilishbank» ATB keskin salbiy ssenariyda milliy hisobot bo‘yicha yashil zonada qolsa, MHXS bo‘yicha qizil zonaga tushadi.</w:t>
      </w:r>
    </w:p>
    <w:p>
      <w:pPr>
        <w:numPr>
          <w:ilvl w:val="0"/>
          <w:numId w:val="1001"/>
        </w:numPr>
        <w:spacing w:line="360" w:lineRule="auto" w:before="0" w:after="0"/>
        <w:ind w:firstLine="709"/>
        <w:jc w:val="both"/>
      </w:pPr>
      <w:r>
        <w:rPr>
          <w:rFonts w:ascii="Times New Roman" w:hAnsi="Times New Roman" w:cs="Times New Roman" w:eastAsia="Times New Roman"/>
          <w:sz w:val="28"/>
        </w:rPr>
        <w:t xml:space="preserve">Xalqaro valyuta jamg‘armasi va Jahon bankining moliya sektorini baholash dasturi (FSAP) natijalari dissertatsiyada aniqlangan muammolarni tasdiqladi: tizim darajasida MHXS bo‘yicha 3-bosqich kreditlari rasmiy muammoli kreditlardan ikki barobar yuqori, salbiy ssenariyda esa davlat banklarining aksariyati kapital monandligi talabini bajara olmaydi. Markaziy bankning 2025–2028-yillarga mo‘ljallangan «yo‘l xaritasi» bu muammolarni hal qilish yo‘nalishlarini belgilaydi, biroq baholashning aniq metodikasi, ko‘rsatkichlari va chegaralarini belgilamaydi. Dissertatsiyada ishlab chiqilgan metodika aynan shu bo‘shliqni to‘ldiradi.</w:t>
      </w:r>
    </w:p>
    <w:p>
      <w:pPr>
        <w:numPr>
          <w:ilvl w:val="0"/>
          <w:numId w:val="1001"/>
        </w:numPr>
        <w:spacing w:line="360" w:lineRule="auto" w:before="0" w:after="0"/>
        <w:ind w:firstLine="709"/>
        <w:jc w:val="both"/>
      </w:pPr>
      <w:r>
        <w:rPr>
          <w:rFonts w:ascii="Times New Roman" w:hAnsi="Times New Roman" w:cs="Times New Roman" w:eastAsia="Times New Roman"/>
          <w:sz w:val="28"/>
        </w:rPr>
        <w:t xml:space="preserve">Baholash tizimini xalqaro standartlarga muvofiqlashtirishning asosiy yo‘nalishlari sifatida quyidagilar taklif etildi: integral indeksni Markaziy bankning masofaviy monitoringiga choraklik asosda joriy etish va uning asosida erta ogohlantirish hamda tezkor tuzatish choralari tizimini shakllantirish; aktivlarni tasniflashning yangi qoidalari to‘liq joriy etilgunga qadar milliy muammoli kreditlar ko‘rsatkichini yashirin kredit riski koeffitsiyenti bilan tuzatib indeksga kiritish; milliy tasnif va MHXS 9 bosqichlari kesishma jadvalini majburiy oshkor qilish; stress-testlarni MHXS ma’lumotlari asosida o‘tkazish va natijalarini erta ogohlantirish zonalari bilan bog‘lash; davlat banklari uchun davlat ko‘magisiz bahoni joriy etish va ularning resurs bazasini depozitlar hisobiga diversifikatsiya qilish; banklarning kapital yetarliligini ichki baholash jarayonida indeks bloklaridan foydalanish. MHXS hisobotlari mavjud bo‘lgan beshta bank misolida milliy ko‘rsatkichlardan MHXS ko‘rsatkichlariga o‘tish uchta bankning erta ogohlantirish zonasini yomon tomonga o‘zgartirishi ko‘rsatildi, bu esa taklif etilayotgan tuzatishning amaliy ahamiyatini tasdiqlaydi.</w:t>
      </w:r>
    </w:p>
    <w:p>
      <w:pPr>
        <w:pStyle w:val="FirstParagraph"/>
        <w:spacing w:line="360" w:lineRule="auto" w:before="0" w:after="0"/>
        <w:ind w:firstLine="709"/>
        <w:jc w:val="both"/>
      </w:pPr>
      <w:r>
        <w:rPr>
          <w:rFonts w:ascii="Times New Roman" w:hAnsi="Times New Roman" w:cs="Times New Roman" w:eastAsia="Times New Roman"/>
          <w:sz w:val="28"/>
        </w:rPr>
        <w:t xml:space="preserve">Umuman olganda, to‘rtinchi bob natijalari taklif etilgan integral indeksning nafaqat joriy holatni baholash, balki bank muammolarini oldindan aniqlash va makroiqtisodiy shoklar ta’sirini baholash vositasi sifatida ham samarali ekanini ko‘rsatdi. Indeksga asoslangan erta ogohlantirish tizimi va uni joriy etish bo‘yicha takliflar Markaziy bankning «yo‘l xaritasi» bilan muvofiq bo‘lib, ularni bosqichma-bosqich amalga oshirish O‘zbekistonda tijorat banklari moliyaviy barqarorligini baholash amaliyotini xalqaro standartlarga muvofiqlashtirish imkonini beradi.</w:t>
      </w:r>
    </w:p>
    <w:bookmarkEnd w:id="20"/>
    <w:sectPr>
      <w:pgMar w:left="1701" w:right="850"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rPr>
  </w:style>
  <w:style w:styleId="BodyText" w:type="paragraph">
    <w:name w:val="Body Text"/>
    <w:basedOn w:val="Normal"/>
    <w:link w:val="BodyTextChar"/>
    <w:pPr>
      <w:spacing w:after="180" w:before="180"/>
    </w:pPr>
    <w:qFormat/>
    <w:rPr>
      <w:rFonts w:ascii="Times New Roman" w:hAnsi="Times New Roman"/>
    </w:rPr>
  </w:style>
  <w:style w:customStyle="1" w:styleId="FirstParagraph" w:type="paragraph">
    <w:name w:val="First Paragraph"/>
    <w:basedOn w:val="BodyText"/>
    <w:next w:val="BodyText"/>
    <w:qFormat/>
    <w:rPr>
      <w:rFonts w:ascii="Times New Roman" w:hAnsi="Times New Roman"/>
    </w:rPr>
  </w:style>
  <w:style w:customStyle="1" w:styleId="Compact" w:type="paragraph">
    <w:name w:val="Compact"/>
    <w:basedOn w:val="BodyText"/>
    <w:qFormat/>
    <w:pPr>
      <w:spacing w:after="36" w:before="36"/>
    </w:pPr>
    <w:rPr>
      <w:rFonts w:ascii="Times New Roman" w:hAnsi="Times New Roman"/>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sz w:val="36"/>
      <w:szCs w:val="36"/>
    </w:rPr>
  </w:style>
  <w:style w:styleId="Subtitle" w:type="paragraph">
    <w:name w:val="Subtitle"/>
    <w:basedOn w:val="Title"/>
    <w:next w:val="BodyText"/>
    <w:qFormat/>
    <w:pPr>
      <w:keepNext/>
      <w:keepLines/>
      <w:spacing w:after="240" w:before="240"/>
      <w:jc w:val="center"/>
    </w:pPr>
    <w:rPr>
      <w:rFonts w:ascii="Times New Roman" w:hAnsi="Times New Roman"/>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b/>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pPr>
      <w:spacing w:line="240" w:lineRule="auto" w:after="0"/>
      <w:ind w:firstLine="0"/>
      <w:jc w:val="both"/>
    </w:pPr>
    <w:rPr>
      <w:rFonts w:ascii="Times New Roman" w:hAnsi="Times New Roman"/>
      <w:sz w:val="20"/>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rPr>
  </w:style>
  <w:style w:type="paragraph" w:customStyle="1" w:styleId="SourceCode">
    <w:name w:val="Source Code"/>
    <w:basedOn w:val="Normal"/>
    <w:link w:val="VerbatimChar"/>
    <w:pPr>
      <w:wordWrap w:val="off"/>
    </w:pPr>
    <w:rPr>
      <w:rFonts w:ascii="Times New Roman" w:hAnsi="Times New Roman"/>
    </w:rPr>
  </w:style>
  <w:style w:type="character" w:customStyle="1" w:styleId="KeywordTok">
    <w:name w:val="KeywordTok"/>
    <w:basedOn w:val="VerbatimChar"/>
    <w:rPr>
      <w:rFonts w:ascii="Times New Roman" w:hAnsi="Times New Roman"/>
      <w:b/>
    </w:rPr>
  </w:style>
  <w:style w:type="character" w:customStyle="1" w:styleId="DataTypeTok">
    <w:name w:val="DataTypeTok"/>
    <w:basedOn w:val="VerbatimChar"/>
    <w:rPr>
      <w:rFonts w:ascii="Times New Roman" w:hAnsi="Times New Roman"/>
    </w:rPr>
  </w:style>
  <w:style w:type="character" w:customStyle="1" w:styleId="DecValTok">
    <w:name w:val="DecValTok"/>
    <w:basedOn w:val="VerbatimChar"/>
    <w:rPr>
      <w:rFonts w:ascii="Times New Roman" w:hAnsi="Times New Roman"/>
    </w:rPr>
  </w:style>
  <w:style w:type="character" w:customStyle="1" w:styleId="BaseNTok">
    <w:name w:val="BaseNTok"/>
    <w:basedOn w:val="VerbatimChar"/>
    <w:rPr>
      <w:rFonts w:ascii="Times New Roman" w:hAnsi="Times New Roman"/>
    </w:rPr>
  </w:style>
  <w:style w:type="character" w:customStyle="1" w:styleId="FloatTok">
    <w:name w:val="FloatTok"/>
    <w:basedOn w:val="VerbatimChar"/>
    <w:rPr>
      <w:rFonts w:ascii="Times New Roman" w:hAnsi="Times New Roman"/>
    </w:rPr>
  </w:style>
  <w:style w:type="character" w:customStyle="1" w:styleId="ConstantTok">
    <w:name w:val="ConstantTok"/>
    <w:basedOn w:val="VerbatimChar"/>
    <w:rPr>
      <w:rFonts w:ascii="Times New Roman" w:hAnsi="Times New Roman"/>
    </w:rPr>
  </w:style>
  <w:style w:type="character" w:customStyle="1" w:styleId="CharTok">
    <w:name w:val="CharTok"/>
    <w:basedOn w:val="VerbatimChar"/>
    <w:rPr>
      <w:rFonts w:ascii="Times New Roman" w:hAnsi="Times New Roman"/>
    </w:rPr>
  </w:style>
  <w:style w:type="character" w:customStyle="1" w:styleId="SpecialCharTok">
    <w:name w:val="SpecialCharTok"/>
    <w:basedOn w:val="VerbatimChar"/>
    <w:rPr>
      <w:rFonts w:ascii="Times New Roman" w:hAnsi="Times New Roman"/>
    </w:rPr>
  </w:style>
  <w:style w:type="character" w:customStyle="1" w:styleId="StringTok">
    <w:name w:val="StringTok"/>
    <w:basedOn w:val="VerbatimChar"/>
    <w:rPr>
      <w:rFonts w:ascii="Times New Roman" w:hAnsi="Times New Roman"/>
    </w:rPr>
  </w:style>
  <w:style w:type="character" w:customStyle="1" w:styleId="VerbatimStringTok">
    <w:name w:val="VerbatimStringTok"/>
    <w:basedOn w:val="VerbatimChar"/>
    <w:rPr>
      <w:rFonts w:ascii="Times New Roman" w:hAnsi="Times New Roman"/>
    </w:rPr>
  </w:style>
  <w:style w:type="character" w:customStyle="1" w:styleId="SpecialStringTok">
    <w:name w:val="SpecialStringTok"/>
    <w:basedOn w:val="VerbatimChar"/>
    <w:rPr>
      <w:rFonts w:ascii="Times New Roman" w:hAnsi="Times New Roman"/>
    </w:rPr>
  </w:style>
  <w:style w:type="character" w:customStyle="1" w:styleId="ImportTok">
    <w:name w:val="ImportTok"/>
    <w:basedOn w:val="VerbatimChar"/>
    <w:rPr>
      <w:rFonts w:ascii="Times New Roman" w:hAnsi="Times New Roman"/>
      <w:b/>
    </w:rPr>
  </w:style>
  <w:style w:type="character" w:customStyle="1" w:styleId="CommentTok">
    <w:name w:val="CommentTok"/>
    <w:basedOn w:val="VerbatimChar"/>
    <w:rPr>
      <w:rFonts w:ascii="Times New Roman" w:hAnsi="Times New Roman"/>
      <w:i/>
    </w:rPr>
  </w:style>
  <w:style w:type="character" w:customStyle="1" w:styleId="DocumentationTok">
    <w:name w:val="DocumentationTok"/>
    <w:basedOn w:val="VerbatimChar"/>
    <w:rPr>
      <w:rFonts w:ascii="Times New Roman" w:hAnsi="Times New Roman"/>
      <w:i/>
    </w:rPr>
  </w:style>
  <w:style w:type="character" w:customStyle="1" w:styleId="AnnotationTok">
    <w:name w:val="AnnotationTok"/>
    <w:basedOn w:val="VerbatimChar"/>
    <w:rPr>
      <w:rFonts w:ascii="Times New Roman" w:hAnsi="Times New Roman"/>
      <w:b/>
      <w:i/>
    </w:rPr>
  </w:style>
  <w:style w:type="character" w:customStyle="1" w:styleId="CommentVarTok">
    <w:name w:val="CommentVarTok"/>
    <w:basedOn w:val="VerbatimChar"/>
    <w:rPr>
      <w:rFonts w:ascii="Times New Roman" w:hAnsi="Times New Roman"/>
      <w:b/>
      <w:i/>
    </w:rPr>
  </w:style>
  <w:style w:type="character" w:customStyle="1" w:styleId="OtherTok">
    <w:name w:val="OtherTok"/>
    <w:basedOn w:val="VerbatimChar"/>
    <w:rPr>
      <w:rFonts w:ascii="Times New Roman" w:hAnsi="Times New Roman"/>
    </w:rPr>
  </w:style>
  <w:style w:type="character" w:customStyle="1" w:styleId="FunctionTok">
    <w:name w:val="FunctionTok"/>
    <w:basedOn w:val="VerbatimChar"/>
    <w:rPr>
      <w:rFonts w:ascii="Times New Roman" w:hAnsi="Times New Roman"/>
    </w:rPr>
  </w:style>
  <w:style w:type="character" w:customStyle="1" w:styleId="VariableTok">
    <w:name w:val="VariableTok"/>
    <w:basedOn w:val="VerbatimChar"/>
    <w:rPr>
      <w:rFonts w:ascii="Times New Roman" w:hAnsi="Times New Roman"/>
    </w:rPr>
  </w:style>
  <w:style w:type="character" w:customStyle="1" w:styleId="ControlFlowTok">
    <w:name w:val="ControlFlowTok"/>
    <w:basedOn w:val="VerbatimChar"/>
    <w:rPr>
      <w:rFonts w:ascii="Times New Roman" w:hAnsi="Times New Roman"/>
      <w:b/>
    </w:rPr>
  </w:style>
  <w:style w:type="character" w:customStyle="1" w:styleId="OperatorTok">
    <w:name w:val="OperatorTok"/>
    <w:basedOn w:val="VerbatimChar"/>
    <w:rPr>
      <w:rFonts w:ascii="Times New Roman" w:hAnsi="Times New Roman"/>
    </w:rPr>
  </w:style>
  <w:style w:type="character" w:customStyle="1" w:styleId="BuiltInTok">
    <w:name w:val="BuiltInTok"/>
    <w:basedOn w:val="VerbatimChar"/>
    <w:rPr>
      <w:rFonts w:ascii="Times New Roman" w:hAnsi="Times New Roman"/>
    </w:rPr>
  </w:style>
  <w:style w:type="character" w:customStyle="1" w:styleId="ExtensionTok">
    <w:name w:val="ExtensionTok"/>
    <w:basedOn w:val="VerbatimChar"/>
    <w:rPr>
      <w:rFonts w:ascii="Times New Roman" w:hAnsi="Times New Roman"/>
    </w:rPr>
  </w:style>
  <w:style w:type="character" w:customStyle="1" w:styleId="PreprocessorTok">
    <w:name w:val="PreprocessorTok"/>
    <w:basedOn w:val="VerbatimChar"/>
    <w:rPr>
      <w:rFonts w:ascii="Times New Roman" w:hAnsi="Times New Roman"/>
    </w:rPr>
  </w:style>
  <w:style w:type="character" w:customStyle="1" w:styleId="AttributeTok">
    <w:name w:val="AttributeTok"/>
    <w:basedOn w:val="VerbatimChar"/>
    <w:rPr>
      <w:rFonts w:ascii="Times New Roman" w:hAnsi="Times New Roman"/>
    </w:rPr>
  </w:style>
  <w:style w:type="character" w:customStyle="1" w:styleId="RegionMarkerTok">
    <w:name w:val="RegionMarkerTok"/>
    <w:basedOn w:val="VerbatimChar"/>
    <w:rPr>
      <w:rFonts w:ascii="Times New Roman" w:hAnsi="Times New Roman"/>
    </w:rPr>
  </w:style>
  <w:style w:type="character" w:customStyle="1" w:styleId="InformationTok">
    <w:name w:val="InformationTok"/>
    <w:basedOn w:val="VerbatimChar"/>
    <w:rPr>
      <w:rFonts w:ascii="Times New Roman" w:hAnsi="Times New Roman"/>
      <w:b/>
      <w:i/>
    </w:rPr>
  </w:style>
  <w:style w:type="character" w:customStyle="1" w:styleId="WarningTok">
    <w:name w:val="WarningTok"/>
    <w:basedOn w:val="VerbatimChar"/>
    <w:rPr>
      <w:rFonts w:ascii="Times New Roman" w:hAnsi="Times New Roman"/>
      <w:b/>
      <w:i/>
    </w:rPr>
  </w:style>
  <w:style w:type="character" w:customStyle="1" w:styleId="AlertTok">
    <w:name w:val="AlertTok"/>
    <w:basedOn w:val="VerbatimChar"/>
    <w:rPr>
      <w:rFonts w:ascii="Times New Roman" w:hAnsi="Times New Roman"/>
      <w:b/>
    </w:rPr>
  </w:style>
  <w:style w:type="character" w:customStyle="1" w:styleId="ErrorTok">
    <w:name w:val="ErrorTok"/>
    <w:basedOn w:val="VerbatimChar"/>
    <w:rPr>
      <w:rFonts w:ascii="Times New Roman" w:hAnsi="Times New Roman"/>
      <w:b/>
    </w:rPr>
  </w:style>
  <w:style w:type="character" w:customStyle="1" w:styleId="NormalTok">
    <w:name w:val="NormalTok"/>
    <w:basedOn w:val="VerbatimChar"/>
    <w:rPr>
      <w:rFonts w:ascii="Times New Roman" w:hAnsi="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2026-10-11T21:36:40Z</dcterms:created>
  <dcterms:modified xsi:type="dcterms:W3CDTF">2026-10-11T21:36:40Z</dcterms:modified>
</cp:coreProperties>
</file>

<file path=docProps/custom.xml><?xml version="1.0" encoding="utf-8"?>
<Properties xmlns="http://schemas.openxmlformats.org/officeDocument/2006/custom-properties" xmlns:vt="http://schemas.openxmlformats.org/officeDocument/2006/docPropsVTypes"/>
</file>