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jc w:val="center"/>
      </w:pPr>
      <w:r>
        <w:rPr>
          <w:rFonts w:ascii="Times New Roman" w:hAnsi="Times New Roman"/>
          <w:b/>
          <w:i w:val="0"/>
          <w:sz w:val="28"/>
        </w:rPr>
        <w:t>TASHKENT INTERNATIONAL UNIVERSITY HUZURIDAGI ILMIY DARAJALAR BERUVCHI DSc.03/2025.27.12.I.30.01 RAQAMLI ILMIY KENGASH</w:t>
      </w:r>
    </w:p>
    <w:p>
      <w:pPr>
        <w:spacing w:after="360" w:before="0" w:line="276" w:lineRule="auto"/>
        <w:jc w:val="center"/>
      </w:pPr>
      <w:r>
        <w:rPr>
          <w:rFonts w:ascii="Times New Roman" w:hAnsi="Times New Roman"/>
          <w:b/>
          <w:i w:val="0"/>
          <w:sz w:val="28"/>
        </w:rPr>
        <w:t>DENOV TADBIRKORLIK VA PEDAGOGIKA UNIVERSITETI</w:t>
      </w:r>
    </w:p>
    <w:p>
      <w:pPr>
        <w:spacing w:after="0" w:before="0" w:line="276" w:lineRule="auto"/>
        <w:jc w:val="right"/>
      </w:pPr>
      <w:r>
        <w:rPr>
          <w:rFonts w:ascii="Times New Roman" w:hAnsi="Times New Roman"/>
          <w:b w:val="0"/>
          <w:i/>
          <w:sz w:val="28"/>
        </w:rPr>
        <w:t>Qo‘lyozma huquqida</w:t>
      </w:r>
    </w:p>
    <w:p>
      <w:pPr>
        <w:spacing w:after="600" w:before="0" w:line="276" w:lineRule="auto"/>
        <w:jc w:val="right"/>
      </w:pPr>
      <w:r>
        <w:rPr>
          <w:rFonts w:ascii="Times New Roman" w:hAnsi="Times New Roman"/>
          <w:b w:val="0"/>
          <w:i/>
          <w:sz w:val="28"/>
        </w:rPr>
        <w:t>UO‘K: 336.71</w:t>
      </w:r>
    </w:p>
    <w:p>
      <w:pPr>
        <w:spacing w:after="480" w:before="0" w:line="276" w:lineRule="auto"/>
        <w:jc w:val="center"/>
      </w:pPr>
      <w:r>
        <w:rPr>
          <w:rFonts w:ascii="Times New Roman" w:hAnsi="Times New Roman"/>
          <w:b/>
          <w:i w:val="0"/>
          <w:sz w:val="28"/>
        </w:rPr>
        <w:t>MAXMUDOV OMON TO‘XTAYEVICH</w:t>
      </w:r>
    </w:p>
    <w:p>
      <w:pPr>
        <w:spacing w:after="480" w:before="0" w:line="276" w:lineRule="auto"/>
        <w:jc w:val="center"/>
      </w:pPr>
      <w:r>
        <w:rPr>
          <w:rFonts w:ascii="Times New Roman" w:hAnsi="Times New Roman"/>
          <w:b/>
          <w:i w:val="0"/>
          <w:sz w:val="32"/>
        </w:rPr>
        <w:t>TIJORAT BANKLARI MOLIYAVIY BARQARORLIGINI XALQARO STANDARTLAR ASOSIDA BAHOLASH METODOLOGIYASINI TAKOMILLASHTIRISH</w:t>
      </w:r>
    </w:p>
    <w:p>
      <w:pPr>
        <w:spacing w:after="480" w:before="0" w:line="276" w:lineRule="auto"/>
        <w:jc w:val="center"/>
      </w:pPr>
      <w:r>
        <w:rPr>
          <w:rFonts w:ascii="Times New Roman" w:hAnsi="Times New Roman"/>
          <w:b w:val="0"/>
          <w:i w:val="0"/>
          <w:sz w:val="28"/>
        </w:rPr>
        <w:t>08.00.07 – Moliya, pul muomalasi va kredit</w:t>
      </w:r>
    </w:p>
    <w:p>
      <w:pPr>
        <w:spacing w:after="0" w:before="0" w:line="276" w:lineRule="auto"/>
        <w:jc w:val="center"/>
      </w:pPr>
      <w:r>
        <w:rPr>
          <w:rFonts w:ascii="Times New Roman" w:hAnsi="Times New Roman"/>
          <w:b/>
          <w:i w:val="0"/>
          <w:sz w:val="28"/>
        </w:rPr>
        <w:t>Iqtisodiyot fanlari doktori (DSc)</w:t>
      </w:r>
    </w:p>
    <w:p>
      <w:pPr>
        <w:spacing w:after="0" w:before="0" w:line="276" w:lineRule="auto"/>
        <w:jc w:val="center"/>
      </w:pPr>
      <w:r>
        <w:rPr>
          <w:rFonts w:ascii="Times New Roman" w:hAnsi="Times New Roman"/>
          <w:b w:val="0"/>
          <w:i w:val="0"/>
          <w:sz w:val="28"/>
        </w:rPr>
        <w:t>ilmiy darajasini olish uchun yozilgan</w:t>
      </w:r>
    </w:p>
    <w:p>
      <w:pPr>
        <w:spacing w:after="720" w:before="160" w:line="276" w:lineRule="auto"/>
        <w:jc w:val="center"/>
      </w:pPr>
      <w:r>
        <w:rPr>
          <w:rFonts w:ascii="Times New Roman" w:hAnsi="Times New Roman"/>
          <w:b/>
          <w:i w:val="0"/>
          <w:sz w:val="32"/>
        </w:rPr>
        <w:t>DISSERTATSIYA</w:t>
      </w:r>
    </w:p>
    <w:p>
      <w:pPr>
        <w:spacing w:after="0" w:before="0" w:line="276" w:lineRule="auto"/>
        <w:jc w:val="right"/>
      </w:pPr>
      <w:r>
        <w:rPr>
          <w:b/>
          <w:sz w:val="28"/>
        </w:rPr>
        <w:t xml:space="preserve">Ilmiy rahbar: </w:t>
      </w:r>
      <w:r>
        <w:rPr>
          <w:sz w:val="28"/>
        </w:rPr>
        <w:t>Tulakov Ulug‘bek Toshmamatovich</w:t>
      </w:r>
    </w:p>
    <w:p>
      <w:pPr>
        <w:spacing w:after="960" w:before="0" w:line="276" w:lineRule="auto"/>
        <w:jc w:val="right"/>
      </w:pPr>
      <w:r>
        <w:rPr>
          <w:rFonts w:ascii="Times New Roman" w:hAnsi="Times New Roman"/>
          <w:b w:val="0"/>
          <w:i w:val="0"/>
          <w:sz w:val="28"/>
        </w:rPr>
        <w:t>iqtisodiyot fanlari doktori, professor</w:t>
      </w:r>
    </w:p>
    <w:p>
      <w:pPr>
        <w:spacing w:after="0" w:before="0" w:line="276" w:lineRule="auto"/>
        <w:jc w:val="center"/>
      </w:pPr>
      <w:r>
        <w:rPr>
          <w:rFonts w:ascii="Times New Roman" w:hAnsi="Times New Roman"/>
          <w:b w:val="0"/>
          <w:i w:val="0"/>
          <w:sz w:val="28"/>
        </w:rPr>
        <w:t>Toshkent – 2026</w:t>
      </w:r>
    </w:p>
    <w:p>
      <w:r>
        <w:br w:type="page"/>
      </w:r>
    </w:p>
    <w:p>
      <w:pPr>
        <w:spacing w:after="240" w:before="0" w:line="276" w:lineRule="auto"/>
        <w:jc w:val="center"/>
      </w:pPr>
      <w:r>
        <w:rPr>
          <w:rFonts w:ascii="Times New Roman" w:hAnsi="Times New Roman"/>
          <w:b/>
          <w:i w:val="0"/>
          <w:sz w:val="28"/>
        </w:rPr>
        <w:t>MUNDARIJA</w:t>
      </w:r>
    </w:p>
    <w:p>
      <w:pPr>
        <w:tabs>
          <w:tab w:pos="9354" w:val="right" w:leader="dot"/>
        </w:tabs>
        <w:spacing w:line="240" w:lineRule="auto" w:after="80"/>
        <w:ind w:left="0"/>
      </w:pPr>
      <w:r>
        <w:rPr>
          <w:rFonts w:ascii="Times New Roman" w:hAnsi="Times New Roman"/>
          <w:b/>
          <w:sz w:val="26"/>
        </w:rPr>
        <w:t>KIRISH</w:t>
        <w:tab/>
        <w:t>3</w:t>
      </w:r>
    </w:p>
    <w:p>
      <w:pPr>
        <w:tabs>
          <w:tab w:pos="9354" w:val="right" w:leader="dot"/>
        </w:tabs>
        <w:spacing w:line="240" w:lineRule="auto" w:after="80"/>
        <w:ind w:left="0"/>
      </w:pPr>
      <w:r>
        <w:rPr>
          <w:rFonts w:ascii="Times New Roman" w:hAnsi="Times New Roman"/>
          <w:b/>
          <w:sz w:val="26"/>
        </w:rPr>
        <w:t>I BOB. TIJORAT BANKLARI MOLIYAVIY BARQARORLIGINI BAHOLASHNING NAZARIY ASOSLARI VA XALQARO STANDARTLARI</w:t>
        <w:tab/>
        <w:t>17</w:t>
      </w:r>
    </w:p>
    <w:p>
      <w:pPr>
        <w:tabs>
          <w:tab w:pos="9354" w:val="right" w:leader="dot"/>
        </w:tabs>
        <w:spacing w:line="240" w:lineRule="auto" w:after="80"/>
        <w:ind w:left="454"/>
      </w:pPr>
      <w:r>
        <w:rPr>
          <w:rFonts w:ascii="Times New Roman" w:hAnsi="Times New Roman"/>
          <w:b w:val="0"/>
          <w:sz w:val="26"/>
        </w:rPr>
        <w:t>1.1-§. Tijorat banklari moliyaviy barqarorligining iqtisodiy mazmuni va konseptual modellari</w:t>
        <w:tab/>
        <w:t>17</w:t>
      </w:r>
    </w:p>
    <w:p>
      <w:pPr>
        <w:tabs>
          <w:tab w:pos="9354" w:val="right" w:leader="dot"/>
        </w:tabs>
        <w:spacing w:line="240" w:lineRule="auto" w:after="80"/>
        <w:ind w:left="454"/>
      </w:pPr>
      <w:r>
        <w:rPr>
          <w:rFonts w:ascii="Times New Roman" w:hAnsi="Times New Roman"/>
          <w:b w:val="0"/>
          <w:sz w:val="26"/>
        </w:rPr>
        <w:t>1.2-§. Banklar moliyaviy barqarorligini baholashning xalqaro standartlari va metodologik yondashuvlari</w:t>
        <w:tab/>
        <w:t>40</w:t>
      </w:r>
    </w:p>
    <w:p>
      <w:pPr>
        <w:tabs>
          <w:tab w:pos="9354" w:val="right" w:leader="dot"/>
        </w:tabs>
        <w:spacing w:line="240" w:lineRule="auto" w:after="80"/>
        <w:ind w:left="454"/>
      </w:pPr>
      <w:r>
        <w:rPr>
          <w:rFonts w:ascii="Times New Roman" w:hAnsi="Times New Roman"/>
          <w:b w:val="0"/>
          <w:sz w:val="26"/>
        </w:rPr>
        <w:t>1.3-§. Xorijiy mamlakatlarda banklar moliyaviy barqarorligini tartibga solish va baholash tajribasi</w:t>
        <w:tab/>
        <w:t>59</w:t>
      </w:r>
    </w:p>
    <w:p>
      <w:pPr>
        <w:tabs>
          <w:tab w:pos="9354" w:val="right" w:leader="dot"/>
        </w:tabs>
        <w:spacing w:line="240" w:lineRule="auto" w:after="80"/>
        <w:ind w:left="454"/>
      </w:pPr>
      <w:r>
        <w:rPr>
          <w:rFonts w:ascii="Times New Roman" w:hAnsi="Times New Roman"/>
          <w:b w:val="0"/>
          <w:sz w:val="26"/>
        </w:rPr>
        <w:t>I bob bo‘yicha xulosalar</w:t>
        <w:tab/>
        <w:t>83</w:t>
      </w:r>
    </w:p>
    <w:p>
      <w:pPr>
        <w:tabs>
          <w:tab w:pos="9354" w:val="right" w:leader="dot"/>
        </w:tabs>
        <w:spacing w:line="240" w:lineRule="auto" w:after="80"/>
        <w:ind w:left="0"/>
      </w:pPr>
      <w:r>
        <w:rPr>
          <w:rFonts w:ascii="Times New Roman" w:hAnsi="Times New Roman"/>
          <w:b/>
          <w:sz w:val="26"/>
        </w:rPr>
        <w:t>II BOB. O‘ZBEKISTON BANK TIZIMIDA MOLIYAVIY BARQARORLIKNI BAHOLASH AMALIYOTINING XALQARO STANDARTLARGA MUVOFIQLIGI TAHLILI</w:t>
        <w:tab/>
        <w:t>86</w:t>
      </w:r>
    </w:p>
    <w:p>
      <w:pPr>
        <w:tabs>
          <w:tab w:pos="9354" w:val="right" w:leader="dot"/>
        </w:tabs>
        <w:spacing w:line="240" w:lineRule="auto" w:after="80"/>
        <w:ind w:left="454"/>
      </w:pPr>
      <w:r>
        <w:rPr>
          <w:rFonts w:ascii="Times New Roman" w:hAnsi="Times New Roman"/>
          <w:b w:val="0"/>
          <w:sz w:val="26"/>
        </w:rPr>
        <w:t>2.1-§. Oʻzbekistonda banklar moliyaviy barqarorligini baholashning amaldagi holati va xalqaro standartlarga moslashtirish muammolari</w:t>
        <w:tab/>
        <w:t>86</w:t>
      </w:r>
    </w:p>
    <w:p>
      <w:pPr>
        <w:tabs>
          <w:tab w:pos="9354" w:val="right" w:leader="dot"/>
        </w:tabs>
        <w:spacing w:line="240" w:lineRule="auto" w:after="80"/>
        <w:ind w:left="454"/>
      </w:pPr>
      <w:r>
        <w:rPr>
          <w:rFonts w:ascii="Times New Roman" w:hAnsi="Times New Roman"/>
          <w:b w:val="0"/>
          <w:sz w:val="26"/>
        </w:rPr>
        <w:t>2.2-§. Oʻzbekiston bank tizimida moliyaviy barqarorlik koʻrsatkichlari dinamikasining xalqaro standartlar mezonlari boʻyicha tahlili</w:t>
        <w:tab/>
        <w:t>99</w:t>
      </w:r>
    </w:p>
    <w:p>
      <w:pPr>
        <w:tabs>
          <w:tab w:pos="9354" w:val="right" w:leader="dot"/>
        </w:tabs>
        <w:spacing w:line="240" w:lineRule="auto" w:after="80"/>
        <w:ind w:left="454"/>
      </w:pPr>
      <w:r>
        <w:rPr>
          <w:rFonts w:ascii="Times New Roman" w:hAnsi="Times New Roman"/>
          <w:b w:val="0"/>
          <w:sz w:val="26"/>
        </w:rPr>
        <w:t>2.3-§. Tijorat banklari moliyaviy ko‘rsatkichlarining milliy va MHXS hisobotlari bo‘yicha qiyosiy tahlili</w:t>
        <w:tab/>
        <w:t>117</w:t>
      </w:r>
    </w:p>
    <w:p>
      <w:pPr>
        <w:tabs>
          <w:tab w:pos="9354" w:val="right" w:leader="dot"/>
        </w:tabs>
        <w:spacing w:line="240" w:lineRule="auto" w:after="80"/>
        <w:ind w:left="454"/>
      </w:pPr>
      <w:r>
        <w:rPr>
          <w:rFonts w:ascii="Times New Roman" w:hAnsi="Times New Roman"/>
          <w:b w:val="0"/>
          <w:sz w:val="26"/>
        </w:rPr>
        <w:t>II bob bo‘yicha xulosalar</w:t>
        <w:tab/>
        <w:t>137</w:t>
      </w:r>
    </w:p>
    <w:p>
      <w:pPr>
        <w:tabs>
          <w:tab w:pos="9354" w:val="right" w:leader="dot"/>
        </w:tabs>
        <w:spacing w:line="240" w:lineRule="auto" w:after="80"/>
        <w:ind w:left="0"/>
      </w:pPr>
      <w:r>
        <w:rPr>
          <w:rFonts w:ascii="Times New Roman" w:hAnsi="Times New Roman"/>
          <w:b/>
          <w:sz w:val="26"/>
        </w:rPr>
        <w:t>III BOB. XALQARO STANDARTLARGA ASOSLANGAN INTEGRAL BAHOLASH METODIKASI VA UNING EKONOMETRIK ASOSLANISHI</w:t>
        <w:tab/>
        <w:t>140</w:t>
      </w:r>
    </w:p>
    <w:p>
      <w:pPr>
        <w:tabs>
          <w:tab w:pos="9354" w:val="right" w:leader="dot"/>
        </w:tabs>
        <w:spacing w:line="240" w:lineRule="auto" w:after="80"/>
        <w:ind w:left="454"/>
      </w:pPr>
      <w:r>
        <w:rPr>
          <w:rFonts w:ascii="Times New Roman" w:hAnsi="Times New Roman"/>
          <w:b w:val="0"/>
          <w:sz w:val="26"/>
        </w:rPr>
        <w:t>3.1-§. Moliyaviy barqarorlikni integral indeks asosida baholashning takomillashtirilgan metodikasi</w:t>
        <w:tab/>
        <w:t>140</w:t>
      </w:r>
    </w:p>
    <w:p>
      <w:pPr>
        <w:tabs>
          <w:tab w:pos="9354" w:val="right" w:leader="dot"/>
        </w:tabs>
        <w:spacing w:line="240" w:lineRule="auto" w:after="80"/>
        <w:ind w:left="454"/>
      </w:pPr>
      <w:r>
        <w:rPr>
          <w:rFonts w:ascii="Times New Roman" w:hAnsi="Times New Roman"/>
          <w:b w:val="0"/>
          <w:sz w:val="26"/>
        </w:rPr>
        <w:t>3.2-§. Tijorat banklari moliyaviy barqarorligini integral indeks asosida reyting baholash</w:t>
        <w:tab/>
        <w:t>156</w:t>
      </w:r>
    </w:p>
    <w:p>
      <w:pPr>
        <w:tabs>
          <w:tab w:pos="9354" w:val="right" w:leader="dot"/>
        </w:tabs>
        <w:spacing w:line="240" w:lineRule="auto" w:after="80"/>
        <w:ind w:left="454"/>
      </w:pPr>
      <w:r>
        <w:rPr>
          <w:rFonts w:ascii="Times New Roman" w:hAnsi="Times New Roman"/>
          <w:b w:val="0"/>
          <w:sz w:val="26"/>
        </w:rPr>
        <w:t>3.3-§. Tijorat banklari moliyaviy barqarorligiga ta’sir etuvchi omillarning ekonometrik tahlili</w:t>
        <w:tab/>
        <w:t>170</w:t>
      </w:r>
    </w:p>
    <w:p>
      <w:pPr>
        <w:tabs>
          <w:tab w:pos="9354" w:val="right" w:leader="dot"/>
        </w:tabs>
        <w:spacing w:line="240" w:lineRule="auto" w:after="80"/>
        <w:ind w:left="0"/>
      </w:pPr>
      <w:r>
        <w:rPr>
          <w:rFonts w:ascii="Times New Roman" w:hAnsi="Times New Roman"/>
          <w:b/>
          <w:sz w:val="26"/>
        </w:rPr>
        <w:t>IV BOB. TIJORAT BANKLARI MOLIYAVIY BARQARORLIGINI BAHOLASH METODOLOGIYASINI TAKOMILLASHTIRISH YO‘NALISHLARI</w:t>
        <w:tab/>
        <w:t>188</w:t>
      </w:r>
    </w:p>
    <w:p>
      <w:pPr>
        <w:tabs>
          <w:tab w:pos="9354" w:val="right" w:leader="dot"/>
        </w:tabs>
        <w:spacing w:line="240" w:lineRule="auto" w:after="80"/>
        <w:ind w:left="454"/>
      </w:pPr>
      <w:r>
        <w:rPr>
          <w:rFonts w:ascii="Times New Roman" w:hAnsi="Times New Roman"/>
          <w:b w:val="0"/>
          <w:sz w:val="26"/>
        </w:rPr>
        <w:t>4.1-§. Banklar moliyaviy barqarorligini erta ogohlantirish tizimini shakllantirish</w:t>
        <w:tab/>
        <w:t>188</w:t>
      </w:r>
    </w:p>
    <w:bookmarkStart w:id="0" w:name="kirish"/>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1"/>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3"/>
      </w:r>
      <w:r>
        <w:rPr>
          <w:rFonts w:ascii="Times New Roman" w:hAnsi="Times New Roman" w:cs="Times New Roman" w:eastAsia="Times New Roman"/>
          <w:sz w:val="28"/>
        </w:rPr>
        <w:t xml:space="preserve">, Buyuk Britaniyada esa ularni joriy etish 2027-yilga ko‘chirildi</w:t>
      </w:r>
      <w:r>
        <w:rPr>
          <w:rStyle w:val="FootnoteReference"/>
        </w:rPr>
        <w:footnoteReference w:id="4"/>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5"/>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6"/>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7"/>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8"/>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9"/>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10"/>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11"/>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12"/>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13"/>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14"/>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15"/>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16"/>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17"/>
      </w:r>
      <w:r>
        <w:rPr>
          <w:rStyle w:val="FootnoteReference"/>
        </w:rPr>
        <w:footnoteReference w:id="18"/>
      </w:r>
      <w:r>
        <w:rPr>
          <w:rStyle w:val="FootnoteReference"/>
        </w:rPr>
        <w:footnoteReference w:id="19"/>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20"/>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21"/>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22"/>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25"/>
      </w:r>
      <w:r>
        <w:rPr>
          <w:rStyle w:val="FootnoteReference"/>
        </w:rPr>
        <w:footnoteReference w:id="26"/>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27"/>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28"/>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31"/>
      </w:r>
      <w:r>
        <w:rPr>
          <w:rStyle w:val="FootnoteReference"/>
        </w:rPr>
        <w:footnoteReference w:id="32"/>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rPr>
          <w:rStyle w:val="FootnoteReference"/>
        </w:rPr>
        <w:footnoteReference w:id="38"/>
      </w:r>
      <w:r>
        <w:rPr>
          <w:rStyle w:val="FootnoteReference"/>
        </w:rPr>
        <w:footnoteReference w:id="39"/>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50"/>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[oliy ta’lim muassasasi nomi]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erta ogohlantirish tizimini shakllantirish va uni o‘rta muddatli istiqbolda prognozlash;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amaliyotini xalqaro standartlarga muvofiqlashtirish bo‘yicha taklif va tavsiyalar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koeffitsiyenti»ni moliyaviy barqarorlikni baholash tizimiga kiritish va uning [__] dan yuqori qiymatini erta ogohlantirish signali sifatida belgilash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moliyaviy barqarorlik integral indeksi va uning chegaraviy qiymatlari ishlab chiqilgan [3-bob natijalari bo‘yicha aniqlashtiriladi];</w:t>
      </w:r>
    </w:p>
    <w:p>
      <w:pPr>
        <w:pStyle w:val="BodyText"/>
        <w:spacing w:line="360" w:lineRule="auto" w:before="0" w:after="0"/>
        <w:ind w:firstLine="709"/>
        <w:jc w:val="both"/>
      </w:pPr>
      <w:r>
        <w:rPr>
          <w:rFonts w:ascii="Times New Roman" w:hAnsi="Times New Roman" w:cs="Times New Roman" w:eastAsia="Times New Roman"/>
          <w:sz w:val="28"/>
        </w:rPr>
        <w:t xml:space="preserve">[4-bob natijalari bo‘yicha: erta ogohlantirish tizimi yoki prognoz modeli bo‘yicha ilmiy yangilik].</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[__] foiz punktga o‘zgartirishi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[3–4-boblar natijalari bo‘yicha: integral indeks asosida banklar reytingi, erta ogohlantirish tizimi va 2026–2028-yillarga prognoz natijalari].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0"/>
    <w:p>
      <w:pPr>
        <w:pStyle w:val="Heading1"/>
        <w:pageBreakBefore/>
        <w:jc w:val="center"/>
      </w:pPr>
      <w:r>
        <w:t>I BOB. TIJORAT BANKLARI MOLIYAVIY BARQARORLIGINI BAHOLASHNING NAZARIY ASOSLARI VA XALQARO STANDARTLARI</w:t>
      </w:r>
    </w:p>
    <w:bookmarkStart w:id="1"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51"/>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52"/>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53"/>
      </w:r>
      <w:r>
        <w:rPr>
          <w:rFonts w:ascii="Times New Roman" w:hAnsi="Times New Roman" w:cs="Times New Roman" w:eastAsia="Times New Roman"/>
          <w:sz w:val="28"/>
        </w:rPr>
        <w:t xml:space="preserve">. Ushbu tushunchalar o‘rtasidagi bog‘liqlik 1.1.1-rasmda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286000"/>
                <wp:effectExtent l="0" t="0" r="0" b="0"/>
                <wp:docPr id="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55"/>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57"/>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59"/>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60"/>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61"/>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62"/>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63"/>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6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65"/>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66"/>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67"/>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68"/>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70"/>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71"/>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7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73"/>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74"/>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38000"/>
                <wp:effectExtent l="0" t="0" r="0" b="0"/>
                <wp:docPr id="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75"/>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76"/>
      </w:r>
      <w:r>
        <w:rPr>
          <w:rFonts w:ascii="Times New Roman" w:hAnsi="Times New Roman" w:cs="Times New Roman" w:eastAsia="Times New Roman"/>
          <w:sz w:val="28"/>
        </w:rPr>
        <w:t xml:space="preserve">. Ushbu darajalar va ular o‘rtasidagi bog‘liqlik 1.1.3-rasmda ko‘rsatildi.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926000"/>
                <wp:effectExtent l="0" t="0" r="0" b="0"/>
                <wp:docPr id="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77"/>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78"/>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79"/>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8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10000"/>
                <wp:effectExtent l="0" t="0" r="0" b="0"/>
                <wp:docPr id="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81"/>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82"/>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 name="1.1.5-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83"/>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84"/>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85"/>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86"/>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87"/>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88"/>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89"/>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90"/>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91"/>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92"/>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93"/>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94"/>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95"/>
      </w:r>
      <w:r>
        <w:rPr>
          <w:rFonts w:ascii="Times New Roman" w:hAnsi="Times New Roman" w:cs="Times New Roman" w:eastAsia="Times New Roman"/>
          <w:sz w:val="28"/>
        </w:rPr>
        <w:t xml:space="preserve">, bank faoliyatiga J.H. Boyd va S.L. Graham tomonidan tatbiq etilgan</w:t>
      </w:r>
      <w:r>
        <w:rPr>
          <w:rStyle w:val="FootnoteReference"/>
        </w:rPr>
        <w:footnoteReference w:id="96"/>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6" name="1.1.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97"/>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98"/>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99"/>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100"/>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101"/>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102"/>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10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808000"/>
                <wp:effectExtent l="0" t="0" r="0" b="0"/>
                <wp:docPr id="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104"/>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1"/>
    <w:bookmarkStart w:id="2" w:name="X14b3294ce8678c3fd3856a91dee6c3d5b919ca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1.2-§. Banklar moliyaviy barqarorligini baholashning xalqaro standartlari va metodologik yondashuvlari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FootnoteReference"/>
        </w:rPr>
        <w:footnoteReference w:id="105"/>
      </w:r>
      <w:r>
        <w:rPr>
          <w:rFonts w:ascii="Times New Roman" w:hAnsi="Times New Roman" w:cs="Times New Roman" w:eastAsia="Times New Roman"/>
          <w:sz w:val="28"/>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w:t>
      </w:r>
      <w:r>
        <w:rPr>
          <w:rStyle w:val="FootnoteReference"/>
        </w:rPr>
        <w:footnoteReference w:id="106"/>
      </w:r>
      <w:r>
        <w:rPr>
          <w:rFonts w:ascii="Times New Roman" w:hAnsi="Times New Roman" w:cs="Times New Roman" w:eastAsia="Times New Roman"/>
          <w:sz w:val="28"/>
        </w:rPr>
        <w:t xml:space="preserve">. T.F. Cargill esa banklar orqali bilvosita moliyalashni G. Akerlofning «limonlar» muammosiga bozorning o‘zi topgan yechim sifatida baholaydi</w:t>
      </w:r>
      <w:r>
        <w:rPr>
          <w:rStyle w:val="FootnoteReference"/>
        </w:rPr>
        <w:footnoteReference w:id="107"/>
      </w:r>
      <w:r>
        <w:rPr>
          <w:rFonts w:ascii="Times New Roman" w:hAnsi="Times New Roman" w:cs="Times New Roman" w:eastAsia="Times New Roman"/>
          <w:sz w:val="28"/>
        </w:rPr>
        <w:t xml:space="preserve">.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360" w:lineRule="auto" w:before="0" w:after="0"/>
        <w:ind w:firstLine="709"/>
        <w:jc w:val="both"/>
      </w:pPr>
      <w:r>
        <w:rPr>
          <w:rFonts w:ascii="Times New Roman" w:hAnsi="Times New Roman" w:cs="Times New Roman" w:eastAsia="Times New Roman"/>
          <w:sz w:val="28"/>
        </w:rPr>
        <w:t xml:space="preserve">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FootnoteReference"/>
        </w:rPr>
        <w:footnoteReference w:id="108"/>
      </w:r>
      <w:r>
        <w:rPr>
          <w:rFonts w:ascii="Times New Roman" w:hAnsi="Times New Roman" w:cs="Times New Roman" w:eastAsia="Times New Roman"/>
          <w:sz w:val="28"/>
        </w:rPr>
        <w:t xml:space="preserve">.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FootnoteReference"/>
        </w:rPr>
        <w:footnoteReference w:id="109"/>
      </w:r>
      <w:r>
        <w:rPr>
          <w:rFonts w:ascii="Times New Roman" w:hAnsi="Times New Roman" w:cs="Times New Roman" w:eastAsia="Times New Roman"/>
          <w:sz w:val="28"/>
        </w:rP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FootnoteReference"/>
        </w:rPr>
        <w:footnoteReference w:id="110"/>
      </w:r>
      <w:r>
        <w:rPr>
          <w:rFonts w:ascii="Times New Roman" w:hAnsi="Times New Roman" w:cs="Times New Roman" w:eastAsia="Times New Roman"/>
          <w:sz w:val="28"/>
        </w:rPr>
        <w:t xml:space="preserve">. Bu ajratish moliyaviy barqarorlikni alohida bank va bank tizimi darajasida baholash uchun nazariy asos bo‘ladi. Yuqoridagi nazariyalar asosida baholash zaruratining to‘rt asosini ajratish mumkin (1.2.1-jadval).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zaruratining nazariy asoslari</w:t>
      </w:r>
      <w:r>
        <w:rPr>
          <w:rStyle w:val="FootnoteReference"/>
        </w:rPr>
        <w:footnoteReference w:id="1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3175"/>
        <w:gridCol w:w="3912"/>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Nazariy asos</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391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Axborot asimmetriyasi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Bank aktivlari sifatini tashqaridan aniqlash qiyin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Mustaqil tashqi baho zarur; natija hisobot sifati va standartiga bog‘liq</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 shartnomasining zaifligi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Ishonch yo‘qolsa, ommaviy mablag‘ talab qilish yuz berishi mumkin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Likvidlik va moliyalashtirish barqarorligi alohida blok sifatida baholanadi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Kapitalning bufer funksiyasi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 ammo uning narxi bor</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Tizimli risk va tashqi ta’sir</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Bitta bank inqirozi butun tizimga tarqaladi</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Alohida bank va tizim darajasidagi baholash uyg‘unlashtiriladi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FootnoteReference"/>
        </w:rPr>
        <w:footnoteReference w:id="112"/>
      </w:r>
      <w:r>
        <w:rPr>
          <w:rFonts w:ascii="Times New Roman" w:hAnsi="Times New Roman" w:cs="Times New Roman" w:eastAsia="Times New Roman"/>
          <w:sz w:val="28"/>
        </w:rPr>
        <w:t xml:space="preserve">.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FootnoteReference"/>
        </w:rPr>
        <w:footnoteReference w:id="113"/>
      </w:r>
      <w:r>
        <w:rPr>
          <w:rFonts w:ascii="Times New Roman" w:hAnsi="Times New Roman" w:cs="Times New Roman" w:eastAsia="Times New Roman"/>
          <w:sz w:val="28"/>
        </w:rPr>
        <w:t xml:space="preserve">. Bundan kelib chiqadiki, ayrim ko‘rsatkichlarning juda yuqori qiymati ham ijobiy baholanmasligi mumkin: kreditlarning keskin o‘sishi bir qarashda faollik belgisi bo‘lsa-da, u erta ogohlantirish signallari qatoriga kiritiladi</w:t>
      </w:r>
      <w:r>
        <w:rPr>
          <w:rStyle w:val="FootnoteReference"/>
        </w:rPr>
        <w:footnoteReference w:id="114"/>
      </w:r>
      <w:r>
        <w:rPr>
          <w:rFonts w:ascii="Times New Roman" w:hAnsi="Times New Roman" w:cs="Times New Roman" w:eastAsia="Times New Roman"/>
          <w:sz w:val="28"/>
        </w:rPr>
        <w:t xml:space="preserve">, A.M. Karminskiyning ekonometrik modellarida esa kapitalning aktivlarga nisbati va kreditlar ulushi bank barqarorligiga optimal oraliq orqali ta’sir qilishi aniqlangan</w:t>
      </w:r>
      <w:r>
        <w:rPr>
          <w:rStyle w:val="FootnoteReference"/>
        </w:rPr>
        <w:footnoteReference w:id="11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FootnoteReference"/>
        </w:rPr>
        <w:footnoteReference w:id="11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FootnoteReference"/>
        </w:rPr>
        <w:footnoteReference w:id="117"/>
      </w:r>
      <w:r>
        <w:rPr>
          <w:rFonts w:ascii="Times New Roman" w:hAnsi="Times New Roman" w:cs="Times New Roman" w:eastAsia="Times New Roman"/>
          <w:sz w:val="28"/>
        </w:rPr>
        <w:t xml:space="preserve">. T.M. Karaliyev va I.F. Sayfiddinov O‘zbekistonda qo‘llanadigan CAMEL tizimida qiyosiy baholash yo‘qligini va aktivlar hamda likvidlik bloklari o‘rtasidagi ziddiyat hal qilinmaganini qayd etadi</w:t>
      </w:r>
      <w:r>
        <w:rPr>
          <w:rStyle w:val="FootnoteReference"/>
        </w:rPr>
        <w:footnoteReference w:id="118"/>
      </w:r>
      <w:r>
        <w:rPr>
          <w:rFonts w:ascii="Times New Roman" w:hAnsi="Times New Roman" w:cs="Times New Roman" w:eastAsia="Times New Roman"/>
          <w:sz w:val="28"/>
        </w:rPr>
        <w:t xml:space="preserve">. Karminskiy esa reyting sifati kutilgan va haqiqiy natijalarning mos kelishi bilan belgilanishini, ya’ni baholash metodikasining o‘zi ham tarixiy ma’lumotlar asosida tekshirilishi lozimligini ta’kidlaydi</w:t>
      </w:r>
      <w:r>
        <w:rPr>
          <w:rStyle w:val="FootnoteReference"/>
        </w:rPr>
        <w:footnoteReference w:id="119"/>
      </w:r>
      <w:r>
        <w:rPr>
          <w:rFonts w:ascii="Times New Roman" w:hAnsi="Times New Roman" w:cs="Times New Roman" w:eastAsia="Times New Roman"/>
          <w:sz w:val="28"/>
        </w:rPr>
        <w:t xml:space="preserve">.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360" w:lineRule="auto" w:before="0" w:after="0"/>
        <w:ind w:firstLine="709"/>
        <w:jc w:val="both"/>
      </w:pPr>
      <w:r>
        <w:rPr>
          <w:rFonts w:ascii="Times New Roman" w:hAnsi="Times New Roman" w:cs="Times New Roman" w:eastAsia="Times New Roman"/>
          <w:sz w:val="28"/>
        </w:rPr>
        <w:t xml:space="preserve">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FootnoteReference"/>
        </w:rPr>
        <w:footnoteReference w:id="120"/>
      </w:r>
      <w:r>
        <w:rPr>
          <w:rFonts w:ascii="Times New Roman" w:hAnsi="Times New Roman" w:cs="Times New Roman" w:eastAsia="Times New Roman"/>
          <w:sz w:val="28"/>
        </w:rPr>
        <w:t xml:space="preserve">. Lavrushin va Mamonova modellarni maqsadi, yig‘ma bahoni shakllantirish usuli, o‘rganish usuli va shaffofligi bo‘yicha tasniflaydi</w:t>
      </w:r>
      <w:r>
        <w:rPr>
          <w:rStyle w:val="FootnoteReference"/>
        </w:rPr>
        <w:footnoteReference w:id="121"/>
      </w:r>
      <w:r>
        <w:rPr>
          <w:rFonts w:ascii="Times New Roman" w:hAnsi="Times New Roman" w:cs="Times New Roman" w:eastAsia="Times New Roman"/>
          <w:sz w:val="28"/>
        </w:rPr>
        <w:t xml:space="preserve">, M. Modina esa kredit riskini o‘lchash yondashuvlarini bir chekkasida iqtisodiy-statistik, ikkinchi chekkasida ekspert yondashuvi turgan uzluksiz shkala sifatida tasavvur qiladi</w:t>
      </w:r>
      <w:r>
        <w:rPr>
          <w:rStyle w:val="FootnoteReference"/>
        </w:rPr>
        <w:footnoteReference w:id="122"/>
      </w:r>
      <w:r>
        <w:rPr>
          <w:rFonts w:ascii="Times New Roman" w:hAnsi="Times New Roman" w:cs="Times New Roman" w:eastAsia="Times New Roman"/>
          <w:sz w:val="28"/>
        </w:rPr>
        <w:t xml:space="preserve">. Ushbu tasniflarni umumlashtirib, baholash yondashuvlarini besh asosiy guruhga ajratish mumkin (1.2.2-jadval).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baholash yondashuvlarining qiyosiy tavsifi</w:t>
      </w:r>
      <w:r>
        <w:rPr>
          <w:rStyle w:val="FootnoteReference"/>
        </w:rPr>
        <w:footnoteReference w:id="1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2268"/>
        <w:gridCol w:w="2438"/>
        <w:gridCol w:w="272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Namunalar</w:t>
            </w:r>
          </w:p>
        </w:tc>
        <w:tc>
          <w:tcPr>
            <w:tcW w:type="dxa" w:w="243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Afzalliklari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Kamchiliklari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Koeffitsiyentli (normativ)</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normativlari, XVJ moliyaviy barqarorlik ko‘rsatkichlari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Sodda, normativlar bilan bevosita bog‘liq</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Ko‘rsatkichlar tarqoq, yagona xulosa yo‘q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Reyting (komponentli)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CAMELS, Rossiya Bankining 4336-U ko‘rsatmasi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Kompleks, xalqaro e’tirof etilgan</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Sub’ektiv, natijalar yopiq, vaznlar asoslanmagan</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Risklarga yo‘naltirilgan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BAITE, RATE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Nazorat resurslarini riskka qarab taqsimlaydi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Ichki axborot va yuqori malaka talab qiladi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Statistik (ekonometrik)</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FIMS, logit va probit modellar, Z-score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Obyektiv, bashorat kuchi o‘lchanadi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Uzoq tarix va bankrotlik holatlari talab qilinadi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Bozor indikatorlariga asoslangan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Kredit-defolt svoplari spredlari, aksiya narxlari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Kelajakka yo‘naltirilgan, tezkor</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Faqat birjada savdo qilinadigan banklar uchun</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yondashuvlarning birortasi ham universal emas va Lavrushin tahriridagi monografiyada ham bank barqarorligini tahlil qilishning yagona universal metodikasi mavjud emasligi qayd etilgan</w:t>
      </w:r>
      <w:r>
        <w:rPr>
          <w:rStyle w:val="FootnoteReference"/>
        </w:rPr>
        <w:footnoteReference w:id="124"/>
      </w:r>
      <w:r>
        <w:rPr>
          <w:rFonts w:ascii="Times New Roman" w:hAnsi="Times New Roman" w:cs="Times New Roman" w:eastAsia="Times New Roman"/>
          <w:sz w:val="28"/>
        </w:rPr>
        <w:t xml:space="preserve">.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FootnoteReference"/>
        </w:rPr>
        <w:footnoteReference w:id="125"/>
      </w:r>
      <w:r>
        <w:rPr>
          <w:rFonts w:ascii="Times New Roman" w:hAnsi="Times New Roman" w:cs="Times New Roman" w:eastAsia="Times New Roman"/>
          <w:sz w:val="28"/>
        </w:rPr>
        <w:t xml:space="preserve">. Statistik yondashuvning eng sodda va samarali vositasi bo‘lgan Z-score ko‘rsatkichi distressga uchragan banklarning 75 foizini to‘g‘ri aniqlaydi</w:t>
      </w:r>
      <w:r>
        <w:rPr>
          <w:rStyle w:val="FootnoteReference"/>
        </w:rPr>
        <w:footnoteReference w:id="126"/>
      </w:r>
      <w:r>
        <w:rPr>
          <w:rFonts w:ascii="Times New Roman" w:hAnsi="Times New Roman" w:cs="Times New Roman" w:eastAsia="Times New Roman"/>
          <w:sz w:val="28"/>
        </w:rPr>
        <w:t xml:space="preserve">, biroq u uzoq tarixiy ma’lumotlarni talab qiladi, Karminskiy esa defoltlar ulushi taxminan 1 foiz bo‘lganda tanlanmada nomutanosiblik yuzaga kelishini ko‘rsatadi</w:t>
      </w:r>
      <w:r>
        <w:rPr>
          <w:rStyle w:val="FootnoteReference"/>
        </w:rPr>
        <w:footnoteReference w:id="127"/>
      </w:r>
      <w:r>
        <w:rPr>
          <w:rFonts w:ascii="Times New Roman" w:hAnsi="Times New Roman" w:cs="Times New Roman" w:eastAsia="Times New Roman"/>
          <w:sz w:val="28"/>
        </w:rPr>
        <w:t xml:space="preserve">. Bozor indikatorlari faqat aksiyalari birjada savdo qilinadigan banklar uchun qo‘llanishi mumkinligi</w:t>
      </w:r>
      <w:r>
        <w:rPr>
          <w:rStyle w:val="FootnoteReference"/>
        </w:rPr>
        <w:footnoteReference w:id="1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eng munozarali masalasi ko‘rsatkichlarga vazn berishdir. Lavrushin va Mamonova vazn koeffitsiyentlarini belgilash eng sub’ektiv masalalardan biri ekanini, ammo hozircha boshqa usul topilmaganini tan oladi</w:t>
      </w:r>
      <w:r>
        <w:rPr>
          <w:rStyle w:val="FootnoteReference"/>
        </w:rPr>
        <w:footnoteReference w:id="129"/>
      </w:r>
      <w:r>
        <w:rPr>
          <w:rFonts w:ascii="Times New Roman" w:hAnsi="Times New Roman" w:cs="Times New Roman" w:eastAsia="Times New Roman"/>
          <w:sz w:val="28"/>
        </w:rPr>
        <w:t xml:space="preserve">, Lavrushin tahriridagi monografiyada esa Rossiyadagi to‘qqizta reyting metodikasida vaznlar ko‘pincha ekspert yo‘li bilan aniqlanishi yoki umuman tushuntirilmasligi ko‘rsatilgan</w:t>
      </w:r>
      <w:r>
        <w:rPr>
          <w:rStyle w:val="FootnoteReference"/>
        </w:rPr>
        <w:footnoteReference w:id="130"/>
      </w:r>
      <w:r>
        <w:rPr>
          <w:rFonts w:ascii="Times New Roman" w:hAnsi="Times New Roman" w:cs="Times New Roman" w:eastAsia="Times New Roman"/>
          <w:sz w:val="28"/>
        </w:rPr>
        <w:t xml:space="preserve">. Ilmiy adabiyotda vaznlarni aniqlashning uch usuli uchraydi: ekspert usuli, teng vaznlar usuli va statistik usul. Ye.P. Shatalova vaznlar dastlab ekspert yo‘li bilan belgilanib, keyin verifikatsiyadan o‘tkazilishi kerakligini qayd etadi</w:t>
      </w:r>
      <w:r>
        <w:rPr>
          <w:rStyle w:val="FootnoteReference"/>
        </w:rPr>
        <w:footnoteReference w:id="131"/>
      </w:r>
      <w:r>
        <w:rPr>
          <w:rFonts w:ascii="Times New Roman" w:hAnsi="Times New Roman" w:cs="Times New Roman" w:eastAsia="Times New Roman"/>
          <w:sz w:val="28"/>
        </w:rPr>
        <w:t xml:space="preserve">, L. Izzi, G. Oricchio va L. Vitale esa vaznlarni regressiya koeffitsiyentlaridan hisoblab, rivojlanayotgan mamlakatlar banklari uchun miqdoriy modulga 80 foiz, sifat moduliga 20 foiz vazn beradi</w:t>
      </w:r>
      <w:r>
        <w:rPr>
          <w:rStyle w:val="FootnoteReference"/>
        </w:rPr>
        <w:footnoteReference w:id="132"/>
      </w:r>
      <w:r>
        <w:rPr>
          <w:rFonts w:ascii="Times New Roman" w:hAnsi="Times New Roman" w:cs="Times New Roman" w:eastAsia="Times New Roman"/>
          <w:sz w:val="28"/>
        </w:rPr>
        <w:t xml:space="preserve">.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FootnoteReference"/>
        </w:rPr>
        <w:footnoteReference w:id="133"/>
      </w:r>
      <w:r>
        <w:rPr>
          <w:rFonts w:ascii="Times New Roman" w:hAnsi="Times New Roman" w:cs="Times New Roman" w:eastAsia="Times New Roman"/>
          <w:sz w:val="28"/>
        </w:rPr>
        <w:t xml:space="preserve">, shu sababli baholash chegaralarini ehtiyotkorlik tamoyiliga ko‘ra biroz qat’iyroq qo‘yish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76000"/>
                <wp:effectExtent l="0" t="0" r="0" b="0"/>
                <wp:docPr id="8" name="1.2.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1.2.1-rasm. Bazel kelishuvlarining rivojlanish bosqichlari</w:t>
      </w:r>
      <w:r>
        <w:rPr>
          <w:rStyle w:val="FootnoteReference"/>
        </w:rPr>
        <w:footnoteReference w:id="1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FootnoteReference"/>
        </w:rPr>
        <w:footnoteReference w:id="135"/>
      </w:r>
      <w:r>
        <w:rPr>
          <w:rFonts w:ascii="Times New Roman" w:hAnsi="Times New Roman" w:cs="Times New Roman" w:eastAsia="Times New Roman"/>
          <w:sz w:val="28"/>
        </w:rPr>
        <w:t xml:space="preserve">. Tarullo ma’lumotiga ko‘ra, bu kelishuv 100 dan ortiq mamlakatda qabul qilingan, biroq protsiklik xususiyati, regulyativ arbitraj va kapital talabi bilan real risk o‘rtasidagi uzilish uning jiddiy kamchiliklari bo‘lgan</w:t>
      </w:r>
      <w:r>
        <w:rPr>
          <w:rStyle w:val="FootnoteReference"/>
        </w:rPr>
        <w:footnoteReference w:id="136"/>
      </w:r>
      <w:r>
        <w:rPr>
          <w:rFonts w:ascii="Times New Roman" w:hAnsi="Times New Roman" w:cs="Times New Roman" w:eastAsia="Times New Roman"/>
          <w:sz w:val="28"/>
        </w:rPr>
        <w:t xml:space="preserve">. Xususan, Yaponiya banklarida kechiktirilgan soliq aktivlari kapitalning 15–40 foizini tashkil etgan va ular chiqarib tashlansa, tuzatilgan birinchi darajali kapital taxminan 2 foizgacha tushgan</w:t>
      </w:r>
      <w:r>
        <w:rPr>
          <w:rStyle w:val="FootnoteReference"/>
        </w:rPr>
        <w:footnoteReference w:id="137"/>
      </w:r>
      <w:r>
        <w:rPr>
          <w:rFonts w:ascii="Times New Roman" w:hAnsi="Times New Roman" w:cs="Times New Roman" w:eastAsia="Times New Roman"/>
          <w:sz w:val="28"/>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r>
        <w:rPr>
          <w:rStyle w:val="FootnoteReference"/>
        </w:rPr>
        <w:footnoteReference w:id="1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2007–2009-yillardagi global moliyaviy inqiroz Bazel III ning qabul qilinishiga olib keldi. W. Tian uning mohiyatini «riskka sezgirlikdan kapital sig‘imkorlikka» siljish deb tavsiflaydi</w:t>
      </w:r>
      <w:r>
        <w:rPr>
          <w:rStyle w:val="FootnoteReference"/>
        </w:rPr>
        <w:footnoteReference w:id="139"/>
      </w:r>
      <w:r>
        <w:rPr>
          <w:rFonts w:ascii="Times New Roman" w:hAnsi="Times New Roman" w:cs="Times New Roman" w:eastAsia="Times New Roman"/>
          <w:sz w:val="28"/>
        </w:rPr>
        <w:t xml:space="preserve">, Modina esa yangi kelishuvning ikki maqsadini – alohida banklarning stressga chidamliligini oshirish va protsiklikni cheklashni ajratadi</w:t>
      </w:r>
      <w:r>
        <w:rPr>
          <w:rStyle w:val="FootnoteReference"/>
        </w:rPr>
        <w:footnoteReference w:id="140"/>
      </w:r>
      <w:r>
        <w:rPr>
          <w:rFonts w:ascii="Times New Roman" w:hAnsi="Times New Roman" w:cs="Times New Roman" w:eastAsia="Times New Roman"/>
          <w:sz w:val="28"/>
        </w:rPr>
        <w:t xml:space="preserve">.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FootnoteReference"/>
        </w:rPr>
        <w:footnoteReference w:id="1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9" name="1.2.2-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1.2.2-rasm. Bazel II va Bazel III bo‘yicha kapital talablarining tuzilmasi</w:t>
      </w:r>
      <w:r>
        <w:rPr>
          <w:rStyle w:val="FootnoteReference"/>
        </w:rPr>
        <w:footnoteReference w:id="1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FootnoteReference"/>
        </w:rPr>
        <w:footnoteReference w:id="143"/>
      </w:r>
      <w:r>
        <w:rPr>
          <w:rFonts w:ascii="Times New Roman" w:hAnsi="Times New Roman" w:cs="Times New Roman" w:eastAsia="Times New Roman"/>
          <w:sz w:val="28"/>
        </w:rPr>
        <w:t xml:space="preserve">.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FootnoteReference"/>
        </w:rPr>
        <w:footnoteReference w:id="14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 name="1.2.3-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1.2.3-rasm. Konservatsiya buferi bo‘yicha foydani taqsimlash cheklovlari shkalasi</w:t>
      </w:r>
      <w:r>
        <w:rPr>
          <w:rStyle w:val="FootnoteReference"/>
        </w:rPr>
        <w:footnoteReference w:id="14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FootnoteReference"/>
        </w:rPr>
        <w:footnoteReference w:id="146"/>
      </w:r>
      <w:r>
        <w:rPr>
          <w:rFonts w:ascii="Times New Roman" w:hAnsi="Times New Roman" w:cs="Times New Roman" w:eastAsia="Times New Roman"/>
          <w:sz w:val="28"/>
        </w:rPr>
        <w:t xml:space="preserve">. Bunga qo‘shimcha ravishda Bazel III risk vaznlariga bog‘liq bo‘lmagan, kamida 3 foiz bo‘lishi lozim bo‘lgan leverej koeffitsiyentini joriy etdi, Tian uni ichki modellar xatosidan himoya qiluvchi oddiy zaxira chorasi deb ataydi</w:t>
      </w:r>
      <w:r>
        <w:rPr>
          <w:rStyle w:val="FootnoteReference"/>
        </w:rPr>
        <w:footnoteReference w:id="14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FootnoteReference"/>
        </w:rPr>
        <w:footnoteReference w:id="148"/>
      </w:r>
      <w:r>
        <w:rPr>
          <w:rFonts w:ascii="Times New Roman" w:hAnsi="Times New Roman" w:cs="Times New Roman" w:eastAsia="Times New Roman"/>
          <w:sz w:val="28"/>
        </w:rPr>
        <w:t xml:space="preserve">. Sof barqaror moliyalashtirish me’yori esa mavjud barqaror moliyalashtirishning talab qilinadigan barqaror moliyalashtirishga nisbati bo‘lib, bir yillik gorizontda aktivlar va passivlar muddatlari nomutanosibligini cheklaydi</w:t>
      </w:r>
      <w:r>
        <w:rPr>
          <w:rStyle w:val="FootnoteReference"/>
        </w:rPr>
        <w:footnoteReference w:id="149"/>
      </w:r>
      <w:r>
        <w:rPr>
          <w:rFonts w:ascii="Times New Roman" w:hAnsi="Times New Roman" w:cs="Times New Roman" w:eastAsia="Times New Roman"/>
          <w:sz w:val="28"/>
        </w:rPr>
        <w:t xml:space="preserve">. Har ikki me’yorning natijasi asosan koeffitsiyentlarga bog‘liq bo‘lib, ularning asosiy qiymatlari 1.2.3-jadvalda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Bazel III likvidlik me’yorlarida qo‘llanadigan asosiy koeffitsiyentlar</w:t>
      </w:r>
      <w:r>
        <w:rPr>
          <w:rStyle w:val="FootnoteReference"/>
        </w:rPr>
        <w:footnoteReference w:id="1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1474"/>
        <w:gridCol w:w="3345"/>
      </w:tblGrid>
      <w:tr>
        <w:trPr>
          <w:tblHeader w:val="true"/>
          <w:cantSplit/>
          <w:tblHeader/>
        </w:trPr>
        <w:tc>
          <w:tcPr>
            <w:tcW w:type="dxa" w:w="45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 %</w:t>
            </w:r>
          </w:p>
        </w:tc>
        <w:tc>
          <w:tcPr>
            <w:tcW w:type="dxa" w:w="334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yuqori sifatli likvid aktivlar</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naqd pul, markaziy bankdagi zaxiralar, nol risk vaznli davlat qimmatli qog‘ozlari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Cheklovsiz, diskontsiz</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2A-daraja: 20 foiz risk vaznli qimmatli qog‘ozlar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40 foizidan oshmaydi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2B-daraja: korporativ obligatsiyalar, aksiyalar va boshqalar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50–75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15 foizidan oshmaydi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pul chiqimi koeffitsiyentlari</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Sug‘urtalangan, operatsion bog‘liq</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 va undan yuqori</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Sug‘urtalanmagan qismi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Moliya institutlarining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mavjud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Kapital va muddati bir yildan ortiq majburiyatlar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bir yilgacha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talab qilinadigan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likvid aktivlar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Bir yilgacha muddatli chakana va kichik biznes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Risk vazni 35 foizgacha bo‘lgan ipoteka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65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Boshqa ishlaydigan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Muammoli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w:t>
      </w:r>
      <w:r>
        <w:rPr>
          <w:rStyle w:val="FootnoteReference"/>
        </w:rPr>
        <w:footnoteReference w:id="151"/>
      </w:r>
      <w:r>
        <w:rPr>
          <w:rFonts w:ascii="Times New Roman" w:hAnsi="Times New Roman" w:cs="Times New Roman" w:eastAsia="Times New Roman"/>
          <w:sz w:val="28"/>
        </w:rPr>
        <w:t xml:space="preserve">. O‘zbekistonda esa Bazel III talablarini bosqichma-bosqich joriy etish 2015-yilda boshlangan bo‘lib, likvidlikni qoplash me’yorining minimal darajasi 2016-yil 1-yanvardan 80 foiz, 2017-yil 1-yanvardan 90 foiz, 2018-yil 1-yanvardan 100 foiz qilib belgilangan</w:t>
      </w:r>
      <w:r>
        <w:rPr>
          <w:rStyle w:val="FootnoteReference"/>
        </w:rPr>
        <w:footnoteReference w:id="1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FootnoteReference"/>
        </w:rPr>
        <w:footnoteReference w:id="153"/>
      </w:r>
      <w:r>
        <w:rPr>
          <w:rFonts w:ascii="Times New Roman" w:hAnsi="Times New Roman" w:cs="Times New Roman" w:eastAsia="Times New Roman"/>
          <w:sz w:val="28"/>
        </w:rPr>
        <w:t xml:space="preserve">.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FootnoteReference"/>
        </w:rPr>
        <w:footnoteReference w:id="154"/>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155"/>
      </w:r>
      <w:r>
        <w:rPr>
          <w:rFonts w:ascii="Times New Roman" w:hAnsi="Times New Roman" w:cs="Times New Roman" w:eastAsia="Times New Roman"/>
          <w:sz w:val="28"/>
        </w:rPr>
        <w:t xml:space="preserve">. Standartga ko‘ra, moliyaviy aktivlar kredit sifatining o‘zgarishiga qarab uch bosqichga ajratiladi</w:t>
      </w:r>
      <w:r>
        <w:rPr>
          <w:rStyle w:val="FootnoteReference"/>
        </w:rPr>
        <w:footnoteReference w:id="15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1" name="1.2.4-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1.2.4-rasm. MHXS 9 bo‘yicha kutilgan kredit zararlarini baholashning uch bosqichli modeli</w:t>
      </w:r>
      <w:r>
        <w:rPr>
          <w:rStyle w:val="FootnoteReference"/>
        </w:rPr>
        <w:footnoteReference w:id="1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FootnoteReference"/>
        </w:rPr>
        <w:footnoteReference w:id="158"/>
      </w:r>
      <w:r>
        <w:rPr>
          <w:rFonts w:ascii="Times New Roman" w:hAnsi="Times New Roman" w:cs="Times New Roman" w:eastAsia="Times New Roman"/>
          <w:sz w:val="28"/>
        </w:rPr>
        <w:t xml:space="preserve">.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FootnoteReference"/>
        </w:rPr>
        <w:footnoteReference w:id="159"/>
      </w:r>
      <w:r>
        <w:rPr>
          <w:rFonts w:ascii="Times New Roman" w:hAnsi="Times New Roman" w:cs="Times New Roman" w:eastAsia="Times New Roman"/>
          <w:sz w:val="28"/>
        </w:rPr>
        <w:t xml:space="preserve">. Bazel III ga oid monografiyada ham Rossiya bank sektorida zaxiralar va muddati o‘tgan qarzlar ulushi o‘rtasidagi korrelyatsiya atigi 0,24 ni tashkil etgani, ya’ni amaldagi zaxira yaratish amaliyoti kutilgan yo‘qotishlarni qoplash maqsadiga javob bermasligi ko‘rsatilgan</w:t>
      </w:r>
      <w:r>
        <w:rPr>
          <w:rStyle w:val="FootnoteReference"/>
        </w:rPr>
        <w:footnoteReference w:id="160"/>
      </w:r>
      <w:r>
        <w:rPr>
          <w:rFonts w:ascii="Times New Roman" w:hAnsi="Times New Roman" w:cs="Times New Roman" w:eastAsia="Times New Roman"/>
          <w:sz w:val="28"/>
        </w:rPr>
        <w:t xml:space="preserve">. O‘zbekiston banklari misolida bu farq ikkinchi bobda tahlil qilinadi.</w:t>
      </w:r>
    </w:p>
    <w:p>
      <w:pPr>
        <w:pStyle w:val="BodyText"/>
        <w:spacing w:line="360" w:lineRule="auto" w:before="0" w:after="0"/>
        <w:ind w:firstLine="709"/>
        <w:jc w:val="both"/>
      </w:pPr>
      <w:r>
        <w:rPr>
          <w:rFonts w:ascii="Times New Roman" w:hAnsi="Times New Roman" w:cs="Times New Roman" w:eastAsia="Times New Roman"/>
          <w:sz w:val="28"/>
        </w:rPr>
        <w:t xml:space="preserve">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FootnoteReference"/>
        </w:rPr>
        <w:footnoteReference w:id="161"/>
      </w:r>
      <w:r>
        <w:rPr>
          <w:rFonts w:ascii="Times New Roman" w:hAnsi="Times New Roman" w:cs="Times New Roman" w:eastAsia="Times New Roman"/>
          <w:sz w:val="28"/>
        </w:rPr>
        <w:t xml:space="preserve">.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FootnoteReference"/>
        </w:rPr>
        <w:footnoteReference w:id="162"/>
      </w:r>
      <w:r>
        <w:rPr>
          <w:rFonts w:ascii="Times New Roman" w:hAnsi="Times New Roman" w:cs="Times New Roman" w:eastAsia="Times New Roman"/>
          <w:sz w:val="28"/>
        </w:rPr>
        <w:t xml:space="preserve">. Shu bilan birga, qo‘llanmada asosiy ko‘rsatkichlarning o‘zi cheklangan bashorat kuchiga ega ekani, ammo ular monitoring vositasi va kengroq tahliliy yondashuvlar uchun dastlabki ma’lumot sifatida foydali ekani qayd etilgan</w:t>
      </w:r>
      <w:r>
        <w:rPr>
          <w:rStyle w:val="FootnoteReference"/>
        </w:rPr>
        <w:footnoteReference w:id="163"/>
      </w:r>
      <w:r>
        <w:rPr>
          <w:rFonts w:ascii="Times New Roman" w:hAnsi="Times New Roman" w:cs="Times New Roman" w:eastAsia="Times New Roman"/>
          <w:sz w:val="28"/>
        </w:rPr>
        <w:t xml:space="preserve">. Demak, bu ko‘rsatkichlar baholash ko‘rsatkichlari tarkibini xalqaro miqyosda unifikatsiya qiladi, biroq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Ko‘rib chiqilgan standartlar va tizimlarning baholash metodikasi uchun ahamiyatini umumlashtirish ularni qiyosiy tavsiflash imkonini beradi (1.2.4-jadval).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1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530"/>
        <w:gridCol w:w="1474"/>
        <w:gridCol w:w="1644"/>
        <w:gridCol w:w="1587"/>
        <w:gridCol w:w="164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moliyaviy barqarorlik ko‘rsatkichlari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maqsad</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Bank va tizim</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 sektori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Kapital, aktivlar, boshqaruv, daromad, likvidlik, bozor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Bor (minimumlar)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 (tamoyillar)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(ballar)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(1–5)</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Sub’ektiv, 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FootnoteReference"/>
        </w:rPr>
        <w:footnoteReference w:id="165"/>
      </w:r>
      <w:r>
        <w:rPr>
          <w:rFonts w:ascii="Times New Roman" w:hAnsi="Times New Roman" w:cs="Times New Roman" w:eastAsia="Times New Roman"/>
          <w:sz w:val="28"/>
        </w:rPr>
        <w:t xml:space="preserve">, biroq O‘zbekistonda ular faqat bir qism banklarni qamraydi. Shu bilan birga, bu standartlar bir-birini to‘ldiradi va ularning afzalliklarini birlashtirish orqali takomillashtirilgan integral baholash tizimini qurish mumkin (1.2.5-rasm).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3060000"/>
                <wp:effectExtent l="0" t="0" r="0" b="0"/>
                <wp:docPr id="12" name="1.2.5-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barqarorlik</w:t>
                              </w:r>
                            </w:p>
                            <w:p>
                              <w:pPr>
                                <w:spacing w:before="0" w:after="0" w:line="228" w:lineRule="auto"/>
                                <w:jc w:val="center"/>
                                <w:ind w:firstLine="0"/>
                              </w:pPr>
                              <w:r>
                                <w:rPr>
                                  <w:rFonts w:ascii="Times New Roman" w:hAnsi="Times New Roman" w:cs="Times New Roman"/>
                                  <w:b/>
                                  <w:color w:val="000000"/>
                                  <w:sz w:val="22"/>
                                  <w:szCs w:val="22"/>
                                </w:rPr>
                                <w:t xml:space="preserve">ko‘rsatkichlari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1.2.5-rasm. Xalqaro standartlarning moliyaviy barqarorlikni integral baholash bloklari bilan bog‘liqligi</w:t>
      </w:r>
      <w:r>
        <w:rPr>
          <w:rStyle w:val="FootnoteReference"/>
        </w:rPr>
        <w:footnoteReference w:id="1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FootnoteReference"/>
        </w:rPr>
        <w:footnoteReference w:id="16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bookmarkEnd w:id="2"/>
    <w:bookmarkStart w:id="3" w:name="X0a8f05e5cd7bad167a6c1dddfdd9ff0edf10251"/>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168"/>
      </w:r>
      <w:r>
        <w:rPr>
          <w:rFonts w:ascii="Times New Roman" w:hAnsi="Times New Roman" w:cs="Times New Roman" w:eastAsia="Times New Roman"/>
          <w:sz w:val="28"/>
        </w:rPr>
        <w:t xml:space="preserve">. Ushbu toifalar va ularga mansub milliy tizimlar 1.3.1-rasmda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04000"/>
                <wp:effectExtent l="0" t="0" r="0" b="0"/>
                <wp:docPr id="13"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169"/>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17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171"/>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172"/>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173"/>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174"/>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76000"/>
                <wp:effectExtent l="0" t="0" r="0" b="0"/>
                <wp:docPr id="14"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17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176"/>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1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5" name="1.3.3-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178"/>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179"/>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180"/>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181"/>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182"/>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183"/>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184"/>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185"/>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186"/>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6"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187"/>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188"/>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189"/>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190"/>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191"/>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19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193"/>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194"/>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195"/>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196"/>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19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198"/>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199"/>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200"/>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20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202"/>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203"/>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20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205"/>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7" name="1.3.5-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20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207"/>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208"/>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209"/>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210"/>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21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212"/>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213"/>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214"/>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548000"/>
                <wp:effectExtent l="0" t="0" r="0" b="0"/>
                <wp:docPr id="18"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21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21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21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21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219"/>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220"/>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221"/>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222"/>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223"/>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22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225"/>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226"/>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227"/>
      </w:r>
      <w:r>
        <w:rPr>
          <w:rFonts w:ascii="Times New Roman" w:hAnsi="Times New Roman" w:cs="Times New Roman" w:eastAsia="Times New Roman"/>
          <w:sz w:val="28"/>
        </w:rPr>
        <w:t xml:space="preserve">. Ushbu ma’lumotlar 1.3.7-rasmda umumlashtirildi.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9" name="1.3.7-rasm"/>
            <wp:cNvGraphicFramePr/>
            <a:graphic>
              <a:graphicData uri="http://schemas.openxmlformats.org/drawingml/2006/chart">
                <c:chart r:id="rId1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2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229"/>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230"/>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231"/>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232"/>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233"/>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23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3"/>
    <w:bookmarkStart w:id="4" w:name="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baholashning nazariy-metodologik asoslari, xalqaro standartlari va xorijiy tajribasi tadqiq etildi hamda quyidagi xulosalar shakllantirildi.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pPr>
        <w:pStyle w:val="Heading1"/>
        <w:pageBreakBefore/>
        <w:jc w:val="center"/>
      </w:pPr>
      <w:r>
        <w:t>II BOB. O‘ZBEKISTON BANK TIZIMIDA MOLIYAVIY BARQARORLIKNI BAHOLASH AMALIYOTINING XALQARO STANDARTLARGA MUVOFIQLIGI TAHLILI</w:t>
      </w:r>
    </w:p>
    <w:bookmarkStart w:id="5"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6"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20000"/>
                <wp:effectExtent l="0" t="0" r="0" b="0"/>
                <wp:docPr id="20"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37"/>
      </w:r>
      <w:r>
        <w:rPr>
          <w:rFonts w:ascii="Times New Roman" w:hAnsi="Times New Roman" w:cs="Times New Roman" w:eastAsia="Times New Roman"/>
          <w:sz w:val="28"/>
        </w:rPr>
        <w:t xml:space="preserve">. Shu bilan Bazel III ning makroprudensial elementlari – kapital buferlari ham joriy etildi.</w:t>
      </w:r>
    </w:p>
    <w:bookmarkEnd w:id="5"/>
    <w:bookmarkStart w:id="7"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28000"/>
                <wp:effectExtent l="0" t="0" r="0" b="0"/>
                <wp:docPr id="21"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38"/>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3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4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41"/>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42"/>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43"/>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2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245"/>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246"/>
      </w:r>
      <w:r>
        <w:rPr>
          <w:rFonts w:ascii="Times New Roman" w:hAnsi="Times New Roman" w:cs="Times New Roman" w:eastAsia="Times New Roman"/>
          <w:sz w:val="28"/>
        </w:rPr>
        <w:t xml:space="preserve">.</w:t>
      </w:r>
    </w:p>
    <w:bookmarkEnd w:id="6"/>
    <w:bookmarkStart w:id="8"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2021–2025-yillarda 17,4–18,3 foiz oralig‘ida bo‘lib, 2023-yil oxirida 17,5 foizni</w:t>
      </w:r>
      <w:r>
        <w:rPr>
          <w:rStyle w:val="FootnoteReference"/>
        </w:rPr>
        <w:footnoteReference w:id="247"/>
      </w:r>
      <w:r>
        <w:rPr>
          <w:rFonts w:ascii="Times New Roman" w:hAnsi="Times New Roman" w:cs="Times New Roman" w:eastAsia="Times New Roman"/>
          <w:sz w:val="28"/>
        </w:rPr>
        <w:t xml:space="preserve">, 2025-yil oxirida 18,3 foizni tashkil etgan; asosiy kapital (CET1) monandligi 2025-yil oxirida 14,7 foizga teng bo‘lgan</w:t>
      </w:r>
      <w:r>
        <w:rPr>
          <w:rStyle w:val="FootnoteReference"/>
        </w:rPr>
        <w:footnoteReference w:id="248"/>
      </w:r>
      <w:r>
        <w:rPr>
          <w:rFonts w:ascii="Times New Roman" w:hAnsi="Times New Roman" w:cs="Times New Roman" w:eastAsia="Times New Roman"/>
          <w:sz w:val="28"/>
        </w:rPr>
        <w:t xml:space="preserve">. Muammoli kreditlar ulushi esa 2021-yil oxiridagi 5,2 foizdan 2025-yil oxirida 3,0 foizgacha kamaygan</w:t>
      </w:r>
      <w:r>
        <w:rPr>
          <w:rStyle w:val="FootnoteReference"/>
        </w:rPr>
        <w:footnoteReference w:id="2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2" name="2.1.3-rasm"/>
            <wp:cNvGraphicFramePr/>
            <a:graphic>
              <a:graphicData uri="http://schemas.openxmlformats.org/drawingml/2006/chart">
                <c:chart r:id="rId1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250"/>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251"/>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25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3" name="2.1.4-rasm"/>
            <wp:cNvGraphicFramePr/>
            <a:graphic>
              <a:graphicData uri="http://schemas.openxmlformats.org/drawingml/2006/chart">
                <c:chart r:id="rId1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253"/>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7"/>
    <w:bookmarkStart w:id="9"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254"/>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25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84000"/>
                <wp:effectExtent l="0" t="0" r="0" b="0"/>
                <wp:docPr id="24"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256"/>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257"/>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258"/>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259"/>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260"/>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261"/>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262"/>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263"/>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264"/>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265"/>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266"/>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8"/>
    <w:bookmarkStart w:id="10"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9"/>
    <w:bookmarkEnd w:id="10"/>
    <w:bookmarkStart w:id="11" w:name="X637944ed30af1a5c7e12bfca1a7866b67ed51e5"/>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67"/>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68"/>
      </w:r>
      <w:r>
        <w:rPr>
          <w:rStyle w:val="FootnoteReference"/>
        </w:rPr>
        <w:footnoteReference w:id="269"/>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70"/>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71"/>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72"/>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5" name="2.2.1-rasm"/>
            <wp:cNvGraphicFramePr/>
            <a:graphic>
              <a:graphicData uri="http://schemas.openxmlformats.org/drawingml/2006/chart">
                <c:chart r:id="rId2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75"/>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7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2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6" name="2.2.2-rasm"/>
            <wp:cNvGraphicFramePr/>
            <a:graphic>
              <a:graphicData uri="http://schemas.openxmlformats.org/drawingml/2006/chart">
                <c:chart r:id="rId2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278"/>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279"/>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280"/>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281"/>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282"/>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2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284"/>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285"/>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286"/>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28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288"/>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7" name="2.2.3-rasm"/>
            <wp:cNvGraphicFramePr/>
            <a:graphic>
              <a:graphicData uri="http://schemas.openxmlformats.org/drawingml/2006/chart">
                <c:chart r:id="rId2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289"/>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290"/>
      </w:r>
      <w:r>
        <w:rPr>
          <w:rFonts w:ascii="Times New Roman" w:hAnsi="Times New Roman" w:cs="Times New Roman" w:eastAsia="Times New Roman"/>
          <w:sz w:val="28"/>
        </w:rPr>
        <w:t xml:space="preserve">, 2022–2025-yillarda esa 36,7–52,6 foiz oralig‘ida bo‘lgan</w:t>
      </w:r>
      <w:r>
        <w:rPr>
          <w:rStyle w:val="FootnoteReference"/>
        </w:rPr>
        <w:footnoteReference w:id="291"/>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292"/>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293"/>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29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8" name="2.2.4-rasm"/>
            <wp:cNvGraphicFramePr/>
            <a:graphic>
              <a:graphicData uri="http://schemas.openxmlformats.org/drawingml/2006/chart">
                <c:chart r:id="rId2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295"/>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296"/>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297"/>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298"/>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2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9" name="2.2.5-rasm"/>
            <wp:cNvGraphicFramePr/>
            <a:graphic>
              <a:graphicData uri="http://schemas.openxmlformats.org/drawingml/2006/chart">
                <c:chart r:id="rId2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300"/>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3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0" name="2.2.6-rasm"/>
            <wp:cNvGraphicFramePr/>
            <a:graphic>
              <a:graphicData uri="http://schemas.openxmlformats.org/drawingml/2006/chart">
                <c:chart r:id="rId2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30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303"/>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1" name="2.2.7-rasm"/>
            <wp:cNvGraphicFramePr/>
            <a:graphic>
              <a:graphicData uri="http://schemas.openxmlformats.org/drawingml/2006/chart">
                <c:chart r:id="rId2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3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305"/>
      </w:r>
      <w:r>
        <w:rPr>
          <w:rStyle w:val="FootnoteReference"/>
        </w:rPr>
        <w:footnoteReference w:id="306"/>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307"/>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308"/>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309"/>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2" name="2.2.8-rasm"/>
            <wp:cNvGraphicFramePr/>
            <a:graphic>
              <a:graphicData uri="http://schemas.openxmlformats.org/drawingml/2006/chart">
                <c:chart r:id="rId2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310"/>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311"/>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312"/>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3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11"/>
    <w:bookmarkStart w:id="12" w:name="Xbcd6da71180214302fa2c75f57626c82e5c9a7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314"/>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315"/>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316"/>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317"/>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318"/>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319"/>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320"/>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321"/>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3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323"/>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24"/>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25"/>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6012000" cy="2160000"/>
                <wp:effectExtent l="0" t="0" r="0" b="0"/>
                <wp:docPr id="33"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27"/>
      </w:r>
      <w:r>
        <w:rPr>
          <w:rStyle w:val="FootnoteReference"/>
        </w:rPr>
        <w:footnoteReference w:id="3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4" name="2.3.2-rasm"/>
            <wp:cNvGraphicFramePr/>
            <a:graphic>
              <a:graphicData uri="http://schemas.openxmlformats.org/drawingml/2006/chart">
                <c:chart r:id="rId2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3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31"/>
      </w:r>
      <w:r>
        <w:rPr>
          <w:rStyle w:val="FootnoteReference"/>
        </w:rPr>
        <w:footnoteReference w:id="332"/>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33"/>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5" name="2.3.3-rasm"/>
            <wp:cNvGraphicFramePr/>
            <a:graphic>
              <a:graphicData uri="http://schemas.openxmlformats.org/drawingml/2006/chart">
                <c:chart r:id="rId2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334"/>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335"/>
      </w:r>
      <w:r>
        <w:rPr>
          <w:rFonts w:ascii="Times New Roman" w:hAnsi="Times New Roman" w:cs="Times New Roman" w:eastAsia="Times New Roman"/>
          <w:sz w:val="28"/>
        </w:rPr>
        <w:t xml:space="preserve">. Ushbu jadval ma’lumotlari asosida 3-bosqich kreditlarining milliy tasnif bo‘yicha tarkibi aniqlandi (2.3.4-rasm).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6" name="2.3.4-rasm"/>
            <wp:cNvGraphicFramePr/>
            <a:graphic>
              <a:graphicData uri="http://schemas.openxmlformats.org/drawingml/2006/chart">
                <c:chart r:id="rId3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33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337"/>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7" name="2.3.5-rasm"/>
            <wp:cNvGraphicFramePr/>
            <a:graphic>
              <a:graphicData uri="http://schemas.openxmlformats.org/drawingml/2006/chart">
                <c:chart r:id="rId3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3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339"/>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3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341"/>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8" name="2.3.6-rasm"/>
            <wp:cNvGraphicFramePr/>
            <a:graphic>
              <a:graphicData uri="http://schemas.openxmlformats.org/drawingml/2006/chart">
                <c:chart r:id="rId3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3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343"/>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344"/>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345"/>
      </w:r>
      <w:r>
        <w:rPr>
          <w:rStyle w:val="FootnoteReference"/>
        </w:rPr>
        <w:footnoteReference w:id="346"/>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347"/>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34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9" name="2.3.7-rasm"/>
            <wp:cNvGraphicFramePr/>
            <a:graphic>
              <a:graphicData uri="http://schemas.openxmlformats.org/drawingml/2006/chart">
                <c:chart r:id="rId3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34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350"/>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351"/>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12"/>
    <w:bookmarkStart w:id="13" w:name="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pPr>
        <w:pStyle w:val="Heading1"/>
        <w:pageBreakBefore/>
        <w:jc w:val="center"/>
      </w:pPr>
      <w:r>
        <w:t>III BOB. XALQARO STANDARTLARGA ASOSLANGAN INTEGRAL BAHOLASH METODIKASI VA UNING EKONOMETRIK ASOSLANISHI</w:t>
      </w:r>
    </w:p>
    <w:bookmarkStart w:id="14"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352"/>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353"/>
      </w:r>
      <w:r>
        <w:rPr>
          <w:rStyle w:val="FootnoteReference"/>
        </w:rPr>
        <w:footnoteReference w:id="354"/>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3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3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Bazel III metodikasi bo‘yicha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1944000"/>
                <wp:effectExtent l="0" t="0" r="0" b="0"/>
                <wp:docPr id="40"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14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3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358"/>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359"/>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14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3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Likvidlikni qoplash koeffitsiyenti,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Sof barqaror moliyalashtirish me’yori,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L3.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361"/>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6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63"/>
      </w:r>
      <w:r>
        <w:rPr>
          <w:rStyle w:val="FootnoteReference"/>
        </w:rPr>
        <w:footnoteReference w:id="364"/>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Leverage uchun chegaralar Bazel III dagi 3 foiz, AQSh nazorat amaliyotidagi 4 foiz</w:t>
      </w:r>
      <w:r>
        <w:rPr>
          <w:rStyle w:val="FootnoteReference"/>
        </w:rPr>
        <w:footnoteReference w:id="36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talabdagi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66"/>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67"/>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8"/>
      </w:r>
      <w:r>
        <w:rPr>
          <w:rFonts w:ascii="Times New Roman" w:hAnsi="Times New Roman" w:cs="Times New Roman" w:eastAsia="Times New Roman"/>
          <w:sz w:val="28"/>
        </w:rPr>
        <w:t xml:space="preserve">. Likvidlik blokida likvidlikni qoplash koeffitsiyenti va sof barqaror moliyalashtirish me’yori uchun 2 ball chegarasi sifatida Bazel III dagi 100 foizlik talab olindi</w:t>
      </w:r>
      <w:r>
        <w:rPr>
          <w:rStyle w:val="FootnoteReference"/>
        </w:rPr>
        <w:footnoteReference w:id="369"/>
      </w:r>
      <w:r>
        <w:rPr>
          <w:rStyle w:val="FootnoteReference"/>
        </w:rPr>
        <w:footnoteReference w:id="370"/>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37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3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373"/>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74"/>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7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1" name="3.1.2-rasm"/>
            <wp:cNvGraphicFramePr/>
            <a:graphic>
              <a:graphicData uri="http://schemas.openxmlformats.org/drawingml/2006/chart">
                <c:chart r:id="rId3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3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7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78"/>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379"/>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3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38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8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3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384"/>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3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8,87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15,32 (3,93)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19,96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11,07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16,82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7,48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4,41 (3,29)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12,34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35,66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25,30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7,3 (3,27)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26,4 (1,36)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LCR,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222,9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154,0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NSFR,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124,8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L3.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324,4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1,98 (3,97)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 (3,50)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0,59 (1,84)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0,15 (1,21)</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(1,70)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88,0 (1,60)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3,40</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2,94</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2,62</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LCR banklardagi mablag‘lar yuqori likvid aktivlardan chiqarilgan holda (SQB), NSFR Bazel III metodikasi va MHXS tuzatishlari bilan hisoblandi; «Mikrokreditbank» ATB uchun likvidlik me’yorlarini qayta hisoblashga ma’lumot yetarli bo‘lmagani sababli rasmiy qiymatlar olindi; valyuta tarkibi ikki variantda bir xil qabul qilindi.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ikkala bank ham I sinfga, ya’ni barqaror banklar qatoriga kiradi: «O‘zsanoatqurilishbank» ATB ning indeksi 3,40 ni, «Mikrokreditbank» ATB niki esa 3,27 ni tashkil etadi. MHXS va Bazel III asosida esa ikkala bank ham II sinfga tushadi: indeks mos ravishda 2,94 va 2,62 ga teng. Boshqacha aytganda, ΔMBII «O‘zsanoatqurilishbank» ATB uchun −0,46 ni, «Mikrokreditbank» ATB uchun esa −0,65 ni tashkil etadi va bu farq barqarorlik sinfini o‘zgartirish uchun yetarli. Indeksning pasayishiga qaysi bloklar sabab bo‘lganini aniqlash uchun bloklar ballari solishtirildi (3.1.3-rasm).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2" name="3.1.3-rasm"/>
            <wp:cNvGraphicFramePr/>
            <a:graphic>
              <a:graphicData uri="http://schemas.openxmlformats.org/drawingml/2006/chart">
                <c:chart r:id="rId3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3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2,26 ga, «Mikrokreditbank» ATB da esa 3,42 dan 1,62 ga tushgan. Aktivlar sifati blokining vazni 0,30 bo‘lgani sababli bu o‘zgarish indeksni mos ravishda 0,39 va 0,54 ballga pasaytiradi, ya’ni ΔMBII ning 83–84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likvidlik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3" name="3.1.4-rasm"/>
            <wp:cNvGraphicFramePr/>
            <a:graphic>
              <a:graphicData uri="http://schemas.openxmlformats.org/drawingml/2006/chart">
                <c:chart r:id="rId3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387"/>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taklif etilgan va teng vaznlarda ikkala bank ham II sinfda qoladi, CAMEL nisbati qo‘llanganda esa «Mikrokreditbank» ATB daromadlilik blokining vazni kattaligi sababli III sinfga tushadi. Milliy hisobot asosidagi indeksda esa teng vaznlar qo‘llanganda banklar tartibi o‘zgaradi: «Mikrokreditbank» ATB ning indeksi 3,21 ni, «O‘zsanoatqurilishbank» ATB niki 3,19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38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me’yorlarini Bazel III metodikasi bo‘yicha to‘liq qayta hisoblash esa banklarning batafsil hisobot shakllarini talab qiladi.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14 ta ko‘rsatkichni yagona bahoga keltiradi. Ko‘rsatkichlarning chegaraviy qiymatlari «me’yoriy talab – ball chegarasi» tamoyili asosida belgilanib, ular uzluksiz shkalada ballanadi, bloklar esa 0,25; 0,30; 0,20; 0,15 va 0,10 vaznlar bilan birlashtiriladi. Metodikani ikki bankka qo‘llash milliy hisobot asosida I sinfga kiradigan ikkala bank ham MHXS va Bazel III asosida II sinfga tushishini, ΔMBII ning 80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p>
    <w:bookmarkEnd w:id="14"/>
    <w:bookmarkStart w:id="15" w:name="Xedf75e61584998612e27357f6db1c0de4e5c383"/>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3.2-§. Tijorat banklari moliyaviy barqarorligini integral indeks asosida reyting baholash</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taklif etilgan moliyaviy barqarorlikning integral indeksi (MBII) metodikasining amaliy ahamiyati uni bir nechta bankka bir xil qoidalar bo‘yicha qo‘llab, natijalarni solishtirish orqali namoyon bo‘ladi. Reyting baholash bank faoliyatini tahlil qilishning keng tarqalgan shakli bo‘lib, A.M. Karminskiy ta’kidlaganidek, uning asosiy vazifasi turli banklarning moliyaviy holatini yagona shkalada taqqoslash va ularni risk darajasi bo‘yicha guruhlarga ajratishdan iborat</w:t>
      </w:r>
      <w:r>
        <w:rPr>
          <w:rStyle w:val="FootnoteReference"/>
        </w:rPr>
        <w:footnoteReference w:id="389"/>
      </w:r>
      <w:r>
        <w:rPr>
          <w:rFonts w:ascii="Times New Roman" w:hAnsi="Times New Roman" w:cs="Times New Roman" w:eastAsia="Times New Roman"/>
          <w:sz w:val="28"/>
        </w:rPr>
        <w:t xml:space="preserve">. Biroq O‘zbekistonda banklar reytingini e’lon qiluvchi tashkilotlar asosan banklarning hajm ko‘rsatkichlari va milliy hisobot ma’lumotlariga tayanadi, xalqaro reyting agentliklari esa davlat banklarini davlatning qo‘llab-quvvatlash ehtimolini hisobga olgan holda baholaydi, natijada bankning o‘z moliyaviy barqarorligi alohida ko‘rinmaydi</w:t>
      </w:r>
      <w:r>
        <w:rPr>
          <w:rStyle w:val="FootnoteReference"/>
        </w:rPr>
        <w:footnoteReference w:id="390"/>
      </w:r>
      <w:r>
        <w:rPr>
          <w:rStyle w:val="FootnoteReference"/>
        </w:rPr>
        <w:footnoteReference w:id="391"/>
      </w:r>
      <w:r>
        <w:rPr>
          <w:rFonts w:ascii="Times New Roman" w:hAnsi="Times New Roman" w:cs="Times New Roman" w:eastAsia="Times New Roman"/>
          <w:sz w:val="28"/>
        </w:rPr>
        <w:t xml:space="preserve">. Shu sababli ushbu paragrafda integral indeks ochiq ma’lumotlar, ya’ni banklarning auditdan o‘tgan MHXS bo‘yicha moliyaviy hisobotlari asosida hisoblanib, banklar reytingi tuziladi, milliy va MHXS hisobotlari bo‘yicha indekslar o‘rtasidagi farq hamda davlat ko‘magining baholashga ta’siri aniqlanadi.</w:t>
      </w:r>
    </w:p>
    <w:p>
      <w:pPr>
        <w:pStyle w:val="BodyText"/>
        <w:spacing w:line="360" w:lineRule="auto" w:before="0" w:after="0"/>
        <w:ind w:firstLine="709"/>
        <w:jc w:val="both"/>
      </w:pPr>
      <w:r>
        <w:rPr>
          <w:rFonts w:ascii="Times New Roman" w:hAnsi="Times New Roman" w:cs="Times New Roman" w:eastAsia="Times New Roman"/>
          <w:sz w:val="28"/>
        </w:rPr>
        <w:t xml:space="preserve">Tahlil uchun bank tizimining katta qismini tashkil etuvchi va ochiq e’lon qilingan MHXS hisobotlarida barcha zarur ma’lumotlar mavjud bo‘lgan beshta bank tanlandi: «O‘zsanoatqurilishbank» ATB, «Mikrokreditbank» ATB, «Biznesni rivojlantirish banki» ATB, «Xalq banki» ATB va «Ipoteka-bank» ATB. Ularning 2025-yil yakunidagi jami aktivlari 272,1 trln so‘mni, ya’ni bank tizimi aktivlarining 29,4 foizini tashkil etadi</w:t>
      </w:r>
      <w:r>
        <w:rPr>
          <w:rStyle w:val="FootnoteReference"/>
        </w:rPr>
        <w:footnoteReference w:id="392"/>
      </w:r>
      <w:r>
        <w:rPr>
          <w:rFonts w:ascii="Times New Roman" w:hAnsi="Times New Roman" w:cs="Times New Roman" w:eastAsia="Times New Roman"/>
          <w:sz w:val="28"/>
        </w:rPr>
        <w:t xml:space="preserve">. Har bir yil ko‘rsatkichlari keyingi yil hisobotidagi qayta hisoblangan qiyosiy ma’lumotlardan olindi: 2024 va 2025-yillar uchun 2025-yil hisobotidan, 2023-yil uchun 2024-yil hisobotidan va hokazo</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rPr>
          <w:rFonts w:ascii="Times New Roman" w:hAnsi="Times New Roman" w:cs="Times New Roman" w:eastAsia="Times New Roman"/>
          <w:sz w:val="28"/>
        </w:rPr>
        <w:t xml:space="preserve">. Bu yondashuv hisob siyosati o‘zgarishi va xatolarni tuzatish natijasidagi qayta hisoblashlarni hisobga olish imkonini beradi: masalan, «Xalq banki» ATB ning 2021-yil uchun xususiy kapitali keyingi yil hisobotida 4 565,1 mlrd so‘mdan 3 231,4 mlrd so‘mga, «Ipoteka-bank» ATB ning 2022-yil uchun sof foydasi esa 1 334,3 mlrd so‘mdan 947,1 mlrd so‘mga qayta hisoblangan</w:t>
      </w:r>
      <w:r>
        <w:rPr>
          <w:rStyle w:val="FootnoteReference"/>
        </w:rPr>
        <w:footnoteReference w:id="398"/>
      </w:r>
      <w:r>
        <w:rPr>
          <w:rStyle w:val="FootnoteReference"/>
        </w:rPr>
        <w:footnoteReference w:id="39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Banklarning MHXS hisobotlarida 3.1-paragrafdagi 14 ta ko‘rsatkichning ayrimlari oshkor qilinmaydi. Xususan, likvidlikni qoplash koeffitsiyenti va sof barqaror moliyalashtirish me’yori tahlil qilingan hisobotlarning birortasida e’lon qilinmagan. Shu sababli ochiq ma’lumotlar asosidagi reyting uchun metodika quyidagicha moslashtirildi (3.2.1-jadval).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 ochiq ma’lumotlar asosida hisoblashda ko‘rsatkichlarning moslashtirilishi</w:t>
      </w:r>
      <w:r>
        <w:rPr>
          <w:rStyle w:val="FootnoteReference"/>
        </w:rPr>
        <w:footnoteReference w:id="40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3061"/>
        <w:gridCol w:w="2041"/>
        <w:gridCol w:w="2268"/>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 (3.1-§)</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Ochiq ma’lumotlar varianti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Manba</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K1. CET1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(MHXS bo‘yicha kapital − ozchilik ulushi − joriy yil foydasi) / risk bo‘yicha tortilgan aktivlar</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hisoboti: balans, 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Joriy foyda milliy qoidada asosiy kapitalga kirmaydi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K2. Regulyativ kapital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Hisobotda oshkor qilingan qiymat (Markaziy bank metodikasi)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MHXS asosidagi qiymat e’lon qilinmaydi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K3. Leverage</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Xususiy kapital / jami aktivlar (MHXS)</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Balans</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Yaqinlashtirilgan ko‘rsatkich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L1. LCR, L2. NSFR</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aktivlardagi ulushi (chegaralar: 5; 10; 15; 20%)</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Banklar ko‘rsatkichlari bazasi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talabi – kamida 10%, XVJ asosiy ko‘rsatkichi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Qolgan 10 ta ko‘rsatkich</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O‘zgarishsiz, MHXS ma’lumotlari bo‘yicha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Bosqichlar, zaxiralar, valyuta riski izohlari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moslashtirish asosan kapital va likvidlik bloklariga tegishli bo‘lib, ular ochiq ma’lumotlarda mavjud bo‘lgan eng yaqin ko‘rsatkichlar bilan almashtirildi. Yuqori likvid aktivlarning jami aktivlardagi ulushi Xalqaro valyuta jamg‘armasining asosiy ko‘rsatkichlaridan biri bo‘lib</w:t>
      </w:r>
      <w:r>
        <w:rPr>
          <w:rStyle w:val="FootnoteReference"/>
        </w:rPr>
        <w:footnoteReference w:id="401"/>
      </w:r>
      <w:r>
        <w:rPr>
          <w:rFonts w:ascii="Times New Roman" w:hAnsi="Times New Roman" w:cs="Times New Roman" w:eastAsia="Times New Roman"/>
          <w:sz w:val="28"/>
        </w:rPr>
        <w:t xml:space="preserve">, Markaziy bank ham uning minimal darajasini 10 foiz qilib belgilagan</w:t>
      </w:r>
      <w:r>
        <w:rPr>
          <w:rStyle w:val="FootnoteReference"/>
        </w:rPr>
        <w:footnoteReference w:id="402"/>
      </w:r>
      <w:r>
        <w:rPr>
          <w:rFonts w:ascii="Times New Roman" w:hAnsi="Times New Roman" w:cs="Times New Roman" w:eastAsia="Times New Roman"/>
          <w:sz w:val="28"/>
        </w:rPr>
        <w:t xml:space="preserve">. Shuni ta’kidlash lozimki, bu moslashtirish natijasida «O‘zsanoatqurilishbank» ATB uchun 2025-yildagi indeks 3.1-paragrafdagi 2,94 o‘rniga 2,83 ni tashkil etadi, ya’ni farq 0,11 ballni tashkil etib, barqarorlik sinfini o‘zgartirmaydi. Yuqori likvid aktivlar ulushi esa «SNS» reyting agentligi tomonidan shakllantirilgan banklar ko‘rsatkichlari bazasidan olindi</w:t>
      </w:r>
      <w:r>
        <w:rPr>
          <w:rStyle w:val="FootnoteReference"/>
        </w:rPr>
        <w:footnoteReference w:id="403"/>
      </w:r>
      <w:r>
        <w:rPr>
          <w:rFonts w:ascii="Times New Roman" w:hAnsi="Times New Roman" w:cs="Times New Roman" w:eastAsia="Times New Roman"/>
          <w:sz w:val="28"/>
        </w:rPr>
        <w:t xml:space="preserve">. Ushbu baza Markaziy bank byulleteni bilan solishtirilganda 2023–2025-yillar uchun bank tizimi jami ko‘rsatkichlari bo‘yicha farq 1 foizdan oshmasligi aniqlandi, ayrim banklarning ayrim davrlardagi xato qiymatlari esa tahlildan chiqarildi.</w:t>
      </w:r>
    </w:p>
    <w:p>
      <w:pPr>
        <w:pStyle w:val="BodyText"/>
        <w:spacing w:line="360" w:lineRule="auto" w:before="0" w:after="0"/>
        <w:ind w:firstLine="709"/>
        <w:jc w:val="both"/>
      </w:pPr>
      <w:r>
        <w:rPr>
          <w:rFonts w:ascii="Times New Roman" w:hAnsi="Times New Roman" w:cs="Times New Roman" w:eastAsia="Times New Roman"/>
          <w:sz w:val="28"/>
        </w:rPr>
        <w:t xml:space="preserve">Hisob-kitob natijasida beshta bank bo‘yicha 2021–2025-yillar uchun integral indeks qiymatlari olindi (3.2.1-rasm).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4" name="3.2.1-rasm"/>
            <wp:cNvGraphicFramePr/>
            <a:graphic>
              <a:graphicData uri="http://schemas.openxmlformats.org/drawingml/2006/chart">
                <c:chart r:id="rId3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Tanlangan banklarda moliyaviy barqarorlikning integral indeksi, MHXS hisobotlari asosida, 2021–2025-yillar</w:t>
      </w:r>
      <w:r>
        <w:rPr>
          <w:rStyle w:val="FootnoteReference"/>
        </w:rPr>
        <w:footnoteReference w:id="4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dan 2025-yilda 3,38 gacha izchil oshib, I sinfga, ya’ni barqaror banklar qatoriga chiqqan. Bunga aktivlar sifatining keskin yaxshilanishi sabab bo‘lgan: bankning MHXS 9 bo‘yicha 3-bosqich kreditlari ulushi 32,2 foizdan 5,2 foizgacha kamaygan, 2021-yildagi 1 918,2 mlrd so‘m zarar o‘rniga 2025-yilda 1 257,3 mlrd so‘m sof foyda olingan</w:t>
      </w:r>
      <w:r>
        <w:rPr>
          <w:rStyle w:val="FootnoteReference"/>
        </w:rPr>
        <w:footnoteReference w:id="405"/>
      </w:r>
      <w:r>
        <w:rPr>
          <w:rFonts w:ascii="Times New Roman" w:hAnsi="Times New Roman" w:cs="Times New Roman" w:eastAsia="Times New Roman"/>
          <w:sz w:val="28"/>
        </w:rPr>
        <w:t xml:space="preserve">. «Biznesni rivojlantirish banki» ATB ning indeksi esa 2023-yilda 2,03 gacha pasayib, tahlil qilingan banklar ichida eng past qiymatga tushgan, so‘ngra 2025-yilda 3,23 gacha tiklangan. 2023-yilda bankda 3-bosqich kreditlari ulushi 19,8 foizga yetgan, MHXS bo‘yicha xususiy kapitalning aktivlarga nisbati 5,5 foizgacha pasaygan, 2024-yilda esa bank 1 367,9 mlrd so‘m zarar ko‘rgan</w:t>
      </w:r>
      <w:r>
        <w:rPr>
          <w:rStyle w:val="FootnoteReference"/>
        </w:rPr>
        <w:footnoteReference w:id="406"/>
      </w:r>
      <w:r>
        <w:rPr>
          <w:rFonts w:ascii="Times New Roman" w:hAnsi="Times New Roman" w:cs="Times New Roman" w:eastAsia="Times New Roman"/>
          <w:sz w:val="28"/>
        </w:rPr>
        <w:t xml:space="preserve">. «Ipoteka-bank» ATB da indeks 2023-yilda 3,37 dan 2,69 gacha keskin pasaygan, bunga 1 615,6 mlrd so‘mlik zarar va 3-bosqich kreditlari ulushining 7,0 foizdan 18,7 foizgacha oshishi sabab bo‘lgan</w:t>
      </w:r>
      <w:r>
        <w:rPr>
          <w:rStyle w:val="FootnoteReference"/>
        </w:rPr>
        <w:footnoteReference w:id="407"/>
      </w:r>
      <w:r>
        <w:rPr>
          <w:rFonts w:ascii="Times New Roman" w:hAnsi="Times New Roman" w:cs="Times New Roman" w:eastAsia="Times New Roman"/>
          <w:sz w:val="28"/>
        </w:rPr>
        <w:t xml:space="preserve">. «O‘zsanoatqurilishbank» ATB ning indeksi butun davr mobaynida 2,75–2,93 oralig‘ida barqaror saqlangan, «Mikrokreditbank» ATB niki esa 2,20–2,47 oralig‘ida bo‘lib, besh yilning barchasida III sinfda, ya’ni zaif banklar qatorida qolgan.</w:t>
      </w:r>
    </w:p>
    <w:p>
      <w:pPr>
        <w:pStyle w:val="BodyText"/>
        <w:spacing w:line="360" w:lineRule="auto" w:before="0" w:after="0"/>
        <w:ind w:firstLine="709"/>
        <w:jc w:val="both"/>
      </w:pPr>
      <w:r>
        <w:rPr>
          <w:rFonts w:ascii="Times New Roman" w:hAnsi="Times New Roman" w:cs="Times New Roman" w:eastAsia="Times New Roman"/>
          <w:sz w:val="28"/>
        </w:rPr>
        <w:t xml:space="preserve">Indeks dinamikasidagi o‘zgarishlarning sabablarini aniqlash uchun 2025-yil yakunidagi ko‘rsatkichlar va ularning ballari solishtirildi (3.2.2-jadval).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integral indeks ko‘rsatkichlari va ballari, 2025-yil yakuni, MHXS</w:t>
      </w:r>
      <w:r>
        <w:rPr>
          <w:rStyle w:val="FootnoteReference"/>
        </w:rPr>
        <w:footnoteReference w:id="40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360"/>
        <w:gridCol w:w="1360"/>
        <w:gridCol w:w="1360"/>
        <w:gridCol w:w="1360"/>
        <w:gridCol w:w="1360"/>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BRB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 banki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Ipoteka-bank</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CET1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9,1 (3,45)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9,5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15,0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17,0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19,8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20,2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9,9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3-bosqich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12,3 (1,53)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8,2 (2,37)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5,2 (2,96)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19,7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2-bosqich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25,3 (1,97)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11,0 (3,80)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10,5 (3,89)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29,1 (1,09)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7,0 (3,30)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−5,8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17,2 (2,28)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18,0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10,0 (1,99)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14,6 (2,91)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324,5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242,2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417,2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228,9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 (1,22)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 (3,20)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3,9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 (1,16)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14,7 (3,95)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28,1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87,6 (1,62)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81,0 (1,95)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43,7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47,5 (3,83)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kreditlar,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21,3 (3,91)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majburiyatlar,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24,8 (4,00)</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2,47</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3,23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3,38</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3,11</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«Mikrokreditbank» ATB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beshta bankning barchasi kapital bloki bo‘yicha yuqori ball olgan, ya’ni rasmiy kapital ko‘rsatkichlari bo‘yicha ular deyarli farqlanmaydi. Banklar o‘rtasidagi asosiy farq aktivlar sifati, daromadlilik va valyuta riskiga sezgirlik bloklarida namoyon bo‘ladi. «Ipoteka-bank» ATB eng yuqori daromadlilikka ega bo‘lishiga qaramay, 3-bosqich kreditlari ulushi 19,7 foiz bilan aktivlar sifati bo‘yicha eng zaif bank hisoblanadi. «O‘zsanoatqurilishbank» ATB esa kredit riski sezilarli oshgan 2-bosqich kreditlari ulushi bo‘yicha (35,7 foiz) va valyuta riski bo‘yicha eng past ballni olgan. «Mikrokreditbank» ATB esa aktivlar sifati va daromadlilik bloklarida eng past ballga ega. Barcha banklar uchun umumiy zaiflik – kreditlarning depozitlarga nisbatining yuqoriligi: beshta bankning barchasida bu ko‘rsatkich 200 foizdan oshadi, «Xalq banki» ATB da esa 417,2 foizni tashkil etadi, chunki bank pensiya jamg‘armasi mablag‘lari va boshqa davlat resurslarini jalb qiladi. Bloklar ballari bo‘yicha banklarning risk profili 3.2.2-rasmda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5" name="3.2.2-rasm"/>
            <wp:cNvGraphicFramePr/>
            <a:graphic>
              <a:graphicData uri="http://schemas.openxmlformats.org/drawingml/2006/chart">
                <c:chart r:id="rId3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Tanlangan banklarda integral indeks bloklari ballari, 2025-yil</w:t>
      </w:r>
      <w:r>
        <w:rPr>
          <w:rStyle w:val="FootnoteReference"/>
        </w:rPr>
        <w:footnoteReference w:id="40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indeksning bir xil qiymati turli risk profillari ortida yashirinishi mumkin. Masalan, «Biznesni rivojlantirish banki» ATB va «Ipoteka-bank» ATB ning indekslari bir-biriga yaqin (3,23 va 3,11), biroq birinchisida asosiy zaiflik likvidlik va xarajatlar samaradorligida, ikkinchisida esa aktivlar sifatida. Shu sababli muallif fikricha, integral indeks bilan bir qatorda bloklar ballarini ham e’lon qilish va eng past blok balli 1,75 dan past bo‘lgan bank uchun indeks qanchalik yuqori bo‘lmasin, alohida monitoring belgilash maqsadga muvofiq. 2025-yilda bu qoida «Mikrokreditbank» ATB ga (aktivlar sifati va daromadlilik bloklari), «O‘zsanoatqurilishbank» ATB ga (valyuta riskiga sezgirlik) va «Xalq banki» ATB ga (likvidlik) taalluqli bo‘ladi, ya’ni hatto I sinfdagi bank ham alohida yo‘nalish bo‘yicha monitoringni talab qiladi.</w:t>
      </w:r>
    </w:p>
    <w:p>
      <w:pPr>
        <w:pStyle w:val="BodyText"/>
        <w:spacing w:line="360" w:lineRule="auto" w:before="0" w:after="0"/>
        <w:ind w:firstLine="709"/>
        <w:jc w:val="both"/>
      </w:pPr>
      <w:r>
        <w:rPr>
          <w:rFonts w:ascii="Times New Roman" w:hAnsi="Times New Roman" w:cs="Times New Roman" w:eastAsia="Times New Roman"/>
          <w:sz w:val="28"/>
        </w:rPr>
        <w:t xml:space="preserve">Besh yil bo‘yicha indeks qiymatlari asosida banklar reytingi tuzildi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moliyaviy barqarorlik reytingi, MHXS asosida, 2021–2025-yillar</w:t>
      </w:r>
      <w:r>
        <w:rPr>
          <w:rStyle w:val="FootnoteReference"/>
        </w:rPr>
        <w:footnoteReference w:id="41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11"/>
        <w:gridCol w:w="1417"/>
        <w:gridCol w:w="1417"/>
        <w:gridCol w:w="1417"/>
        <w:gridCol w:w="1417"/>
        <w:gridCol w:w="1417"/>
      </w:tblGrid>
      <w:tr>
        <w:trPr>
          <w:tblHeader w:val="true"/>
          <w:cantSplit/>
          <w:tblHeader/>
        </w:trPr>
        <w:tc>
          <w:tcPr>
            <w:tcW w:type="dxa" w:w="221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Xalq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2,66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2,96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3,20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3,38 (I) – 1</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Biznesni rivojlantirish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2,51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2,25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2,03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3,23 (II) – 2</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Ipoteka-bank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3,32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3,37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2,69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3,11 (II) – 3</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O‘zsanoatqurilishbank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2,82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2,91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2,75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2,83 (II) – 4</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Mikrokreditbank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2,20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2,31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2,22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2,24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2,47 (III) – 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barqarorlik sinfi, tire belgisidan keyin – reytingdagi o‘rni.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reytingning yillar bo‘yicha sezilarli o‘zgarishini ko‘rsatadi: 2021–2022-yillarda birinchi o‘rinda bo‘lgan «Ipoteka-bank» ATB 2025-yilda uchinchi o‘ringa, «Xalq banki» ATB esa uchinchi o‘rindan birinchi o‘ringa ko‘tarilgan. Faqat «Mikrokreditbank» ATB butun davr mobaynida reytingning quyi qismida qolgan. Bu natija integral indeksning bank moliyaviy holatidagi o‘zgarishlarga sezgirligini tasdiqlaydi.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reyting natijalarini talqin qilishda muhim jihatni hisobga olish lozim: tahlil qilingan banklarning to‘rttasida xususiy kapitalning o‘sishi sof foydadan sezilarli darajada oshgan. Xususiy kapitalning yillik o‘zgarishidan sof foydani ayirish orqali kapitalga kiritilgan qo‘shimcha mablag‘lar taxminiy baholandi: 2022–2025-yillarda ular «Mikrokreditbank» ATB da 5 359,2 mlrd so‘mni, «Xalq banki» ATB da 4 160,4 mlrd so‘mni, «Biznesni rivojlantirish banki» ATB da 3 187,6 mlrd so‘mni, «Ipoteka-bank» ATB da 928,9 mlrd so‘mni tashkil etgan, «O‘zsanoatqurilishbank» ATB da esa deyarli kuzatilmagan</w:t>
      </w:r>
      <w:r>
        <w:rPr>
          <w:rStyle w:val="FootnoteReference"/>
        </w:rPr>
        <w:footnoteReference w:id="411"/>
      </w:r>
      <w:r>
        <w:rPr>
          <w:rFonts w:ascii="Times New Roman" w:hAnsi="Times New Roman" w:cs="Times New Roman" w:eastAsia="Times New Roman"/>
          <w:sz w:val="28"/>
        </w:rPr>
        <w:t xml:space="preserve">. 1.3-paragrafda keltirilganidek, xalqaro reyting agentliklari bankning mustaqil, ya’ni tashqi qo‘llab-quvvatlashsiz moliyaviy barqarorligini alohida baholaydi</w:t>
      </w:r>
      <w:r>
        <w:rPr>
          <w:rStyle w:val="FootnoteReference"/>
        </w:rPr>
        <w:footnoteReference w:id="412"/>
      </w:r>
      <w:r>
        <w:rPr>
          <w:rStyle w:val="FootnoteReference"/>
        </w:rPr>
        <w:footnoteReference w:id="413"/>
      </w:r>
      <w:r>
        <w:rPr>
          <w:rFonts w:ascii="Times New Roman" w:hAnsi="Times New Roman" w:cs="Times New Roman" w:eastAsia="Times New Roman"/>
          <w:sz w:val="28"/>
        </w:rPr>
        <w:t xml:space="preserve">. Shu mantiqqa asoslanib, 2025-yil uchun integral indeks kapitalga kiritilgan mablag‘larsiz qayta hisoblandi (3.2.3-rasm).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6" name="3.2.3-rasm"/>
            <wp:cNvGraphicFramePr/>
            <a:graphic>
              <a:graphicData uri="http://schemas.openxmlformats.org/drawingml/2006/chart">
                <c:chart r:id="rId3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Moliyaviy barqarorlikning integral indeksi: amaldagi va davlat ko‘magisiz, 2025-yil</w:t>
      </w:r>
      <w:r>
        <w:rPr>
          <w:rStyle w:val="FootnoteReference"/>
        </w:rPr>
        <w:footnoteReference w:id="414"/>
      </w:r>
    </w:p>
    <w:p>
      <w:pPr>
        <w:pStyle w:val="BodyText"/>
        <w:spacing w:line="360" w:lineRule="auto" w:before="0" w:after="0"/>
        <w:ind w:firstLine="709"/>
        <w:jc w:val="both"/>
      </w:pPr>
      <w:r>
        <w:rPr>
          <w:rFonts w:ascii="Times New Roman" w:hAnsi="Times New Roman" w:cs="Times New Roman" w:eastAsia="Times New Roman"/>
          <w:sz w:val="28"/>
        </w:rPr>
        <w:t xml:space="preserve">Rasm ma’lumotlari davlat ko‘magining baholashga ta’siri juda katta ekanini ko‘rsatadi. «Mikrokreditbank» ATB ning indeksi davlat ko‘magisiz 2,47 dan 1,72 gacha pasayib, IV sinfga, ya’ni nobarqaror banklar qatoriga tushadi: kapitalga kiritilgan mablag‘larsiz uning birinchi darajali asosiy kapitali monandligi 2,5 foizni, kapitalning aktivlarga nisbati esa 2,9 foizni tashkil etgan bo‘lar edi. «Biznesni rivojlantirish banki» ATB ning indeksi 3,23 dan 2,51 gacha pasayadi, bunda bankning MHXS bo‘yicha kapitali deyarli to‘liq kapitalga kiritilgan mablag‘lardan iborat ekani ma’lum bo‘ladi. «Xalq banki» ATB da indeks 3,38 dan 3,23 gacha pasayib, I sinfdan II sinfga o‘tadi. «O‘zsanoatqurilishbank» ATB va «Ipoteka-bank» ATB ning indekslari esa deyarli o‘zgarmaydi. Shunday qilib, davlat banklari kapital yetarliligining yuqori ko‘rsatkichlari ko‘p hollarda o‘z faoliyati natijasi emas, balki davlatning qayta kapitallashtirishi natijasidir. Bu xulosa 2.2-paragrafda «Mikrokreditbank» ATB misolida olingan natijani bank tizimining boshqa davlat banklari misolida ham tasdiqlaydi.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milliy va MHXS hisobotlari bo‘yicha farqi, ya’ni ΔMBII ikki bank uchun 3.1-paragrafdagi to‘liq metodika bo‘yicha 2021–2025-yillarda hisoblandi, chunki faqat ular uchun Markaziy bankka taqdim etilgan prudensial hisobot shakllari mavjud</w:t>
      </w:r>
      <w:r>
        <w:rPr>
          <w:rStyle w:val="FootnoteReference"/>
        </w:rPr>
        <w:footnoteReference w:id="415"/>
      </w:r>
      <w:r>
        <w:rPr>
          <w:rStyle w:val="FootnoteReference"/>
        </w:rPr>
        <w:footnoteReference w:id="41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(3.2.4-rasm).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7" name="3.2.4-rasm"/>
            <wp:cNvGraphicFramePr/>
            <a:graphic>
              <a:graphicData uri="http://schemas.openxmlformats.org/drawingml/2006/chart">
                <c:chart r:id="rId4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3.2.4-rasm. «O‘zsanoatqurilishbank» ATB va «Mikrokreditbank» ATB da integral indeks: milliy hisobot va MHXS, 2021–2025-yillar</w:t>
      </w:r>
      <w:r>
        <w:rPr>
          <w:rStyle w:val="FootnoteReference"/>
        </w:rPr>
        <w:footnoteReference w:id="41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ΔMBII barcha yillarda manfiy bo‘lib, «O‘zsanoatqurilishbank» ATB da −0,23 dan −0,46 gacha, «Mikrokreditbank» ATB da esa −0,40 dan −0,66 gacha o‘zgargan. «O‘zsanoatqurilishbank» ATB milliy hisobot bo‘yicha besh yilning barchasida I sinfda, MHXS bo‘yicha esa II sinfda bo‘lgan. Eng muhim natija «Mikrokreditbank» ATB misolida olindi: MHXS asosidagi indeks 2023-yildayoq 2,41 gacha pasayib, III sinfga tushgan, milliy hisobot asosidagi indeks esa shu yili 2,81 ni tashkil etib, bank II sinfda qolgan. Bankning 1 703,8 mlrd so‘mlik zarari milliy hisobotda faqat 2024-yilda tan olingan. Demak, MHXS asosidagi indeks bankdagi muammoni bir yil oldin aniqlagan. Bu esa dissertatsiyaning to‘rtinchi bobida ishlab chiqiladigan erta ogohlantirish tizimida aynan MHXS asosidagi indeksdan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Tanlangan beshta bank natijalarini bank tizimi bilan solishtirish uchun «SNS» reyting agentligi bazasi asosida davlat ulushi mavjud to‘qqizta bank va boshqa banklar guruhlari bo‘yicha ochiq ma’lumotlarda mavjud ko‘rsatkichlar hisoblandi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 mavjud banklar va boshqa banklarning asosiy ko‘rsatkichlari, milliy hisobot, 2023–2025-yillar</w:t>
      </w:r>
      <w:r>
        <w:rPr>
          <w:rStyle w:val="FootnoteReference"/>
        </w:rPr>
        <w:footnoteReference w:id="41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247"/>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2025</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2025</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Banklar soni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7,6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108,1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97,7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16,3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18,9</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davlat ulushi mavjud banklar – O‘zmilliybank, O‘zsanoatqurilishbank, Agrobank, Asakabank, Xalq banki, Biznesni rivojlantirish banki, Mikrokreditbank, Aloqabank, Turonbank; ko‘rsatkichlar guruh bo‘yicha jami qiymatlar asosida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tanlangan banklar misolida olingan natijalarni bank tizimi darajasida tasdiqlaydi. Davlat ulushi mavjud banklarning daromadliligi boshqa banklarnikidan uch-to‘rt barobar past, kreditlarning depozitlarga nisbati esa ikki barobar yuqori, ya’ni ular kreditlarni asosan tashqi qarzlar va davlat resurslari hisobiga moliyalashtiradi. Yuqori likvid aktivlar ulushi ham davlat banklarida sezilarli darajada past. Kapitalning aktivlarga nisbati bo‘yicha esa guruhlar o‘rtasidagi farq unchalik katta emas, biroq yuqorida ko‘rsatilganidek, davlat banklarida bu ko‘rsatkich ko‘p hollarda qayta kapitallashtirish hisobiga ta’minlangan. Davlat va boshqa banklarning kapital rentabelligi dinamikasi 3.2.5-rasmda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8" name="3.2.5-rasm"/>
            <wp:cNvGraphicFramePr/>
            <a:graphic>
              <a:graphicData uri="http://schemas.openxmlformats.org/drawingml/2006/chart">
                <c:chart r:id="rId4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3.2.5-rasm. Davlat ulushi mavjud banklar va boshqa banklarda kapital rentabelligi (ROE), %</w:t>
      </w:r>
      <w:r>
        <w:rPr>
          <w:rStyle w:val="FootnoteReference"/>
        </w:rPr>
        <w:footnoteReference w:id="41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2022–2025-yillarda boshqa banklarning kapital rentabelligi 19–28 foiz oralig‘ida bo‘lgan bo‘lsa, davlat banklarida bu ko‘rsatkich 2024-yilda manfiy qiymatga tushgan. Bu davlat banklarida yashirin kredit riskining tan olinishi va ularni transformatsiya qilish jarayoni bilan bog‘liq. Shu bilan birga, kreditlarning depozitlarga nisbati davlat banklarida 2022-yildagi 252,9 foizdan 2025-yilda 190,2 foizgacha kamaygan, ya’ni ularning moliyalashtirish tuzilmasi asta-sekin yaxshilanmoqda.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integral indeks asosida reyting baholash natijasida xulosa qilish mumkinki, taklif etilgan metodika banklarning auditdan o‘tgan MHXS hisobotlari asosida, ya’ni ochiq ma’lumotlar bilan qo‘llanishi mumkin, bunda likvidlik me’yorlari oshkor qilinmagani sababli ularni yuqori likvid aktivlar ulushi bilan almashtirish natijaga sezilarli ta’sir ko‘rsatmaydi. Beshta bank bo‘yicha 2021–2025-yillar uchun tuzilgan reyting «Xalq banki» ATB ning barqarorligi izchil oshganini, «Biznesni rivojlantirish banki» ATB 2023-yilda, «Ipoteka-bank» ATB esa shu yili jiddiy qiyinchiliklarga duch kelganini, «Mikrokreditbank» ATB esa butun davr mobaynida zaif banklar qatorida qolganini ko‘rsatdi. Davlat ko‘magisiz hisoblangan indeks kapitalga kiritilgan mablag‘lar hisobga olinmaganda «Mikrokreditbank» ATB nobarqaror, «Biznesni rivojlantirish banki» ATB esa sezilarli zaiflashgan bo‘lishini aniqladi. Milliy va MHXS hisobotlari bo‘yicha indekslar farqi esa MHXS asosidagi indeks muammoni bir yil oldin aniqlash imkonini berishini tasdiqladi. Bu o‘z navbatida, moliyaviy barqarorlikka ta’sir etuvchi omillarni ekonometrik usullar bilan aniqlash va ularni erta ogohlantirish tizimiga kiritish zaruratini yuzaga keltiradi, bu esa keyingi paragrafda amalga oshiriladi.</w:t>
      </w:r>
    </w:p>
    <w:bookmarkEnd w:id="15"/>
    <w:bookmarkStart w:id="16" w:name="X6c38a6edb9c798881b919e115f0d8939eceb0e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3.3-§. Tijorat banklari moliyaviy barqarorligiga ta’sir etuvchi omillarning ekonometrik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420"/>
      </w:r>
      <w:r>
        <w:rPr>
          <w:rFonts w:ascii="Times New Roman" w:hAnsi="Times New Roman" w:cs="Times New Roman" w:eastAsia="Times New Roman"/>
          <w:sz w:val="28"/>
        </w:rPr>
        <w:t xml:space="preserve">, L. Laeven va R. Levine esa bankning to‘lovga qobiliyatsizlik riskini Z-score ko‘rsatkichi orqali o‘lchab, uning mulkchilik tuzilmasi va tartibga solish bilan bog‘liqligini aniqlagan</w:t>
      </w:r>
      <w:r>
        <w:rPr>
          <w:rStyle w:val="FootnoteReference"/>
        </w:rPr>
        <w:footnoteReference w:id="421"/>
      </w:r>
      <w:r>
        <w:rPr>
          <w:rFonts w:ascii="Times New Roman" w:hAnsi="Times New Roman" w:cs="Times New Roman" w:eastAsia="Times New Roman"/>
          <w:sz w:val="28"/>
        </w:rPr>
        <w:t xml:space="preserve">.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2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 va ularni tekshirishda foydalanilgan o‘zgaruvchilar</w:t>
      </w:r>
      <w:r>
        <w:rPr>
          <w:rStyle w:val="FootnoteReference"/>
        </w:rPr>
        <w:footnoteReference w:id="4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3969"/>
        <w:gridCol w:w="2608"/>
        <w:gridCol w:w="181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Kutilgan ta’sir</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H1</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Davlat banklarining moliyaviy barqarorligi xususiy banklarnikidan past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H2</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Jadal kreditlash bir yildan keyin barqarorlikni pasaytiradi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Kreditlar o‘sishi, 4 va 8 chorak lag bilan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H3</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Barqaror depozit bazasi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Depozitlar / aktivlar</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H4</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Asosiy faoliyatdan daromad olish qobiliyati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Sof foiz marjasi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H5</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Iqtisodiy o‘sish kredit riskini kamaytiradi, pul-kredit siyosatining qat’iylashuvi esa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YaIM o‘sishi, asosiy stavka, so‘m kursi, inflyatsiya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YaIM – manfiy, stavka – musbat (muammoli kreditlarga)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24"/>
      </w:r>
      <w:r>
        <w:rPr>
          <w:rStyle w:val="FootnoteReference"/>
        </w:rPr>
        <w:footnoteReference w:id="425"/>
      </w:r>
      <w:r>
        <w:rPr>
          <w:rFonts w:ascii="Times New Roman" w:hAnsi="Times New Roman" w:cs="Times New Roman" w:eastAsia="Times New Roman"/>
          <w:sz w:val="28"/>
        </w:rPr>
        <w:t xml:space="preserve">.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26"/>
      </w:r>
      <w:r>
        <w:rPr>
          <w:rFonts w:ascii="Times New Roman" w:hAnsi="Times New Roman" w:cs="Times New Roman" w:eastAsia="Times New Roman"/>
          <w:sz w:val="28"/>
        </w:rPr>
        <w:t xml:space="preserve">. Uchinchi gipoteza A. Demirgüç-Kunt va H. Huizinga xulosasiga tayanadi: depozit bo‘lmagan, ya’ni ulgurji moliyalashtirishga ko‘proq tayanadigan banklar riskliroq bo‘ladi</w:t>
      </w:r>
      <w:r>
        <w:rPr>
          <w:rStyle w:val="FootnoteReference"/>
        </w:rPr>
        <w:footnoteReference w:id="427"/>
      </w:r>
      <w:r>
        <w:rPr>
          <w:rFonts w:ascii="Times New Roman" w:hAnsi="Times New Roman" w:cs="Times New Roman" w:eastAsia="Times New Roman"/>
          <w:sz w:val="28"/>
        </w:rPr>
        <w:t xml:space="preserve">.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8"/>
      </w:r>
      <w:r>
        <w:rPr>
          <w:rStyle w:val="FootnoteReference"/>
        </w:rPr>
        <w:footnoteReference w:id="429"/>
      </w:r>
      <w:r>
        <w:rPr>
          <w:rStyle w:val="FootnoteReference"/>
        </w:rPr>
        <w:footnoteReference w:id="4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31"/>
      </w:r>
      <w:r>
        <w:rPr>
          <w:rFonts w:ascii="Times New Roman" w:hAnsi="Times New Roman" w:cs="Times New Roman" w:eastAsia="Times New Roman"/>
          <w:sz w:val="28"/>
        </w:rPr>
        <w:t xml:space="preserve">, yuqori likvid aktivlar, kredit zaxiralari, foizli daromad va xarajatlar, operatsion xarajatlar va sof foyda «SNS» reyting agentligining banklar ko‘rsatkichlari bazasidan</w:t>
      </w:r>
      <w:r>
        <w:rPr>
          <w:rStyle w:val="FootnoteReference"/>
        </w:rPr>
        <w:footnoteReference w:id="432"/>
      </w:r>
      <w:r>
        <w:rPr>
          <w:rFonts w:ascii="Times New Roman" w:hAnsi="Times New Roman" w:cs="Times New Roman" w:eastAsia="Times New Roman"/>
          <w:sz w:val="28"/>
        </w:rPr>
        <w:t xml:space="preserve">, makroiqtisodiy ko‘rsatkichlar esa Markaziy bankning statistik byulletenidan olindi</w:t>
      </w:r>
      <w:r>
        <w:rPr>
          <w:rStyle w:val="FootnoteReference"/>
        </w:rPr>
        <w:footnoteReference w:id="433"/>
      </w:r>
      <w:r>
        <w:rPr>
          <w:rFonts w:ascii="Times New Roman" w:hAnsi="Times New Roman" w:cs="Times New Roman" w:eastAsia="Times New Roman"/>
          <w:sz w:val="28"/>
        </w:rPr>
        <w:t xml:space="preserve">. Ikki bank manbasi bank nomlari bo‘yicha birlashtirildi, ma’lum xato qiymatlar tahlildan chiqarildi</w:t>
      </w:r>
      <w:r>
        <w:rPr>
          <w:rStyle w:val="FootnoteReference"/>
        </w:rPr>
        <w:footnoteReference w:id="434"/>
      </w:r>
      <w:r>
        <w:rPr>
          <w:rFonts w:ascii="Times New Roman" w:hAnsi="Times New Roman" w:cs="Times New Roman" w:eastAsia="Times New Roman"/>
          <w:sz w:val="28"/>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35"/>
      </w:r>
      <w:r>
        <w:rPr>
          <w:rFonts w:ascii="Times New Roman" w:hAnsi="Times New Roman" w:cs="Times New Roman" w:eastAsia="Times New Roman"/>
          <w:sz w:val="28"/>
        </w:rPr>
        <w:t xml:space="preserve">. Natijada 17 chorak bo‘yicha 421 ta kuzatuvdan iborat panel shakllandi.</w:t>
      </w:r>
    </w:p>
    <w:p>
      <w:pPr>
        <w:pStyle w:val="BodyText"/>
        <w:spacing w:line="360" w:lineRule="auto" w:before="0" w:after="0"/>
        <w:ind w:firstLine="709"/>
        <w:jc w:val="both"/>
      </w:pPr>
      <w:r>
        <w:rPr>
          <w:rFonts w:ascii="Times New Roman" w:hAnsi="Times New Roman" w:cs="Times New Roman" w:eastAsia="Times New Roman"/>
          <w:sz w:val="28"/>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36"/>
      </w:r>
      <w:r>
        <w:rPr>
          <w:rStyle w:val="FootnoteReference"/>
        </w:rPr>
        <w:footnoteReference w:id="437"/>
      </w:r>
      <w:r>
        <w:rPr>
          <w:rFonts w:ascii="Times New Roman" w:hAnsi="Times New Roman" w:cs="Times New Roman" w:eastAsia="Times New Roman"/>
          <w:sz w:val="28"/>
        </w:rPr>
        <w:t xml:space="preserve">: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8"/>
      </w:r>
      <w:r>
        <w:rPr>
          <w:rFonts w:ascii="Times New Roman" w:hAnsi="Times New Roman" w:cs="Times New Roman" w:eastAsia="Times New Roman"/>
          <w:sz w:val="28"/>
        </w:rPr>
        <w:t xml:space="preserve">, taqsimotdagi kuchli asimmetriya sababli ko‘rsatkichning natural logarifmi qo‘llandi. Asosiy o‘zgaruvchilarning tavsifiy statistikasi 3.3.2-jadvalda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Tahlilda foydalanilgan o‘zgaruvchilarning tavsifiy statistikasi, 2021-yil IV chorak – 2025-yil IV chorak</w:t>
      </w:r>
      <w:r>
        <w:rPr>
          <w:rStyle w:val="FootnoteReference"/>
        </w:rPr>
        <w:footnoteReference w:id="4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134"/>
        <w:gridCol w:w="1134"/>
        <w:gridCol w:w="1134"/>
        <w:gridCol w:w="1134"/>
        <w:gridCol w:w="1134"/>
        <w:gridCol w:w="1134"/>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 chetlanish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Minimum</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Mediana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Maksimum</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Panel integral indeksi (MBII),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sifati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Likvidlik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Daromadlilik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4,43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17,5</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78,1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138,9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414,0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13,2</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75,9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ln(aktivlar, mlrd so‘m)</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6,95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11,89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o‘sishi (yillik),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51,2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48,5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86,7</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360" w:lineRule="auto" w:before="0" w:after="0"/>
        <w:ind w:firstLine="709"/>
        <w:jc w:val="both"/>
      </w:pPr>
      <w:r>
        <w:rPr>
          <w:rFonts w:ascii="Times New Roman" w:hAnsi="Times New Roman" w:cs="Times New Roman" w:eastAsia="Times New Roman"/>
          <w:sz w:val="28"/>
        </w:rPr>
        <w:t xml:space="preserve">Ekonometrik modellarni baholashdan oldin davlat banklari va boshqa banklarning integral indeksi dinamikasini taqqoslash maqsadga muvofiq (3.3.1-rasm).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9" name="3.3.1-rasm"/>
            <wp:cNvGraphicFramePr/>
            <a:graphic>
              <a:graphicData uri="http://schemas.openxmlformats.org/drawingml/2006/chart">
                <c:chart r:id="rId4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3.3.1-rasm. Davlat banklari va boshqa banklarda panel integral indeksining medianasi, har yilning IV choragi</w:t>
      </w:r>
      <w:r>
        <w:rPr>
          <w:rStyle w:val="FootnoteReference"/>
        </w:rPr>
        <w:footnoteReference w:id="4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0" name="3.3.2-rasm"/>
            <wp:cNvGraphicFramePr/>
            <a:graphic>
              <a:graphicData uri="http://schemas.openxmlformats.org/drawingml/2006/chart">
                <c:chart r:id="rId4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3.3.2-rasm. Davlat banklari va boshqa banklarda integral indeks bloklari bo‘yicha ballar medianasi, 2025-yil IV chorak</w:t>
      </w:r>
      <w:r>
        <w:rPr>
          <w:rStyle w:val="FootnoteReference"/>
        </w:rPr>
        <w:footnoteReference w:id="44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bo‘yicha olingan bu manzara an’anaviy Z-score ko‘rsatkichi bilan solishtirilganda muhim metodologik xulosaga olib keladi (3.3.3-rasm).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1" name="3.3.3-rasm"/>
            <wp:cNvGraphicFramePr/>
            <a:graphic>
              <a:graphicData uri="http://schemas.openxmlformats.org/drawingml/2006/chart">
                <c:chart r:id="rId4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3.3.3-rasm. Davlat banklari va boshqa banklarda Z-score logarifmining medianasi, har yilning IV choragi</w:t>
      </w:r>
      <w:r>
        <w:rPr>
          <w:rStyle w:val="FootnoteReference"/>
        </w:rPr>
        <w:footnoteReference w:id="44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Omillar ta’sirini baholash uchun quyidagi panel regressiya modeli qo‘llandi:</w:t>
      </w:r>
    </w:p>
    <w:p>
      <w:pPr>
        <w:pStyle w:val="BodyText"/>
        <w:spacing w:line="360" w:lineRule="auto" w:before="0" w:after="0"/>
        <w:ind w:firstLine="0"/>
        <w:jc w:val="center"/>
      </w:pPr>
      <w:r>
        <w:rPr>
          <w:rFonts w:ascii="Times New Roman" w:hAnsi="Times New Roman" w:cs="Times New Roman" w:eastAsia="Times New Roman"/>
          <w:i/>
          <w:sz w:val="26"/>
        </w:rPr>
        <w:t xml:space="preserve">MBII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α + β</w:t>
      </w:r>
      <w:r>
        <w:rPr>
          <w:rFonts w:ascii="Times New Roman" w:hAnsi="Times New Roman" w:cs="Times New Roman" w:eastAsia="Times New Roman"/>
          <w:i/>
          <w:sz w:val="26"/>
          <w:vertAlign w:val="subscript"/>
        </w:rPr>
        <w:t xml:space="preserve">1</w:t>
      </w:r>
      <w:r>
        <w:rPr>
          <w:rFonts w:ascii="Times New Roman" w:hAnsi="Times New Roman" w:cs="Times New Roman" w:eastAsia="Times New Roman"/>
          <w:i/>
          <w:sz w:val="26"/>
        </w:rPr>
        <w:t xml:space="preserve">·ln(Aktivlar)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2</w:t>
      </w:r>
      <w:r>
        <w:rPr>
          <w:rFonts w:ascii="Times New Roman" w:hAnsi="Times New Roman" w:cs="Times New Roman" w:eastAsia="Times New Roman"/>
          <w:i/>
          <w:sz w:val="26"/>
        </w:rPr>
        <w:t xml:space="preserve">·Kreditlar o‘sishi</w:t>
      </w:r>
      <w:r>
        <w:rPr>
          <w:rFonts w:ascii="Times New Roman" w:hAnsi="Times New Roman" w:cs="Times New Roman" w:eastAsia="Times New Roman"/>
          <w:i/>
          <w:sz w:val="26"/>
          <w:vertAlign w:val="subscript"/>
        </w:rPr>
        <w:t xml:space="preserve">i,t−4</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3</w:t>
      </w:r>
      <w:r>
        <w:rPr>
          <w:rFonts w:ascii="Times New Roman" w:hAnsi="Times New Roman" w:cs="Times New Roman" w:eastAsia="Times New Roman"/>
          <w:i/>
          <w:sz w:val="26"/>
        </w:rPr>
        <w:t xml:space="preserve">·Depozitlar/Aktivlar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4</w:t>
      </w:r>
      <w:r>
        <w:rPr>
          <w:rFonts w:ascii="Times New Roman" w:hAnsi="Times New Roman" w:cs="Times New Roman" w:eastAsia="Times New Roman"/>
          <w:i/>
          <w:sz w:val="26"/>
        </w:rPr>
        <w:t xml:space="preserve">·Sof foiz marjasi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5</w:t>
      </w:r>
      <w:r>
        <w:rPr>
          <w:rFonts w:ascii="Times New Roman" w:hAnsi="Times New Roman" w:cs="Times New Roman" w:eastAsia="Times New Roman"/>
          <w:i/>
          <w:sz w:val="26"/>
        </w:rPr>
        <w:t xml:space="preserve">·Davlat</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γ</w:t>
      </w:r>
      <w:r>
        <w:rPr>
          <w:rFonts w:ascii="Times New Roman" w:hAnsi="Times New Roman" w:cs="Times New Roman" w:eastAsia="Times New Roman"/>
          <w:i/>
          <w:sz w:val="26"/>
          <w:vertAlign w:val="subscript"/>
        </w:rPr>
        <w:t xml:space="preserve">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u</w:t>
      </w:r>
      <w:r>
        <w:rPr>
          <w:rFonts w:ascii="Times New Roman" w:hAnsi="Times New Roman" w:cs="Times New Roman" w:eastAsia="Times New Roman"/>
          <w:i/>
          <w:sz w:val="26"/>
          <w:vertAlign w:val="subscript"/>
        </w:rPr>
        <w:t xml:space="preserve">i</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ε</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 i – bank, t – chorak, γ</w:t>
      </w:r>
      <w:r>
        <w:rPr>
          <w:rFonts w:ascii="Times New Roman" w:hAnsi="Times New Roman" w:cs="Times New Roman" w:eastAsia="Times New Roman"/>
          <w:sz w:val="28"/>
          <w:vertAlign w:val="subscript"/>
        </w:rPr>
        <w:t xml:space="preserve">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chorak effektlari, u</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kuzatilmaydigan individual xususiyatlari, ε</w:t>
      </w:r>
      <w:r>
        <w:rPr>
          <w:rFonts w:ascii="Times New Roman" w:hAnsi="Times New Roman" w:cs="Times New Roman" w:eastAsia="Times New Roman"/>
          <w:sz w:val="28"/>
          <w:vertAlign w:val="subscript"/>
        </w:rPr>
        <w:t xml:space="preserve">it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43"/>
      </w:r>
      <w:r>
        <w:rPr>
          <w:rStyle w:val="FootnoteReference"/>
        </w:rPr>
        <w:footnoteReference w:id="444"/>
      </w:r>
      <w:r>
        <w:rPr>
          <w:rFonts w:ascii="Times New Roman" w:hAnsi="Times New Roman" w:cs="Times New Roman" w:eastAsia="Times New Roman"/>
          <w:sz w:val="28"/>
        </w:rPr>
        <w:t xml:space="preserve">. Usullar o‘rtasida tanlov Breusch–Pagan va Hausman testlari asosida amalga oshirildi</w:t>
      </w:r>
      <w:r>
        <w:rPr>
          <w:rStyle w:val="FootnoteReference"/>
        </w:rPr>
        <w:footnoteReference w:id="445"/>
      </w:r>
      <w:r>
        <w:rPr>
          <w:rStyle w:val="FootnoteReference"/>
        </w:rPr>
        <w:footnoteReference w:id="446"/>
      </w:r>
      <w:r>
        <w:rPr>
          <w:rFonts w:ascii="Times New Roman" w:hAnsi="Times New Roman" w:cs="Times New Roman" w:eastAsia="Times New Roman"/>
          <w:sz w:val="28"/>
        </w:rPr>
        <w:t xml:space="preserve">. Standart xatolar heteroskedastiklik va avtokorrelyatsiyani hisobga olish uchun bank bo‘yicha klasterlangan. Indeksning inersiyasini hisobga oluvchi dinamik model esa qisqa panellardagi siljishni</w:t>
      </w:r>
      <w:r>
        <w:rPr>
          <w:rStyle w:val="FootnoteReference"/>
        </w:rPr>
        <w:footnoteReference w:id="4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bartaraf etish maqsadida T. Anderson va C. Hsiao usuli bo‘yicha birinchi farqlarda, indeksning ikki chorak oldingi qiymatini instrument sifatida qo‘llab baholandi</w:t>
      </w:r>
      <w:r>
        <w:rPr>
          <w:rStyle w:val="FootnoteReference"/>
        </w:rPr>
        <w:footnoteReference w:id="448"/>
      </w:r>
      <w:r>
        <w:rPr>
          <w:rStyle w:val="FootnoteReference"/>
        </w:rPr>
        <w:footnoteReference w:id="449"/>
      </w:r>
      <w:r>
        <w:rPr>
          <w:rFonts w:ascii="Times New Roman" w:hAnsi="Times New Roman" w:cs="Times New Roman" w:eastAsia="Times New Roman"/>
          <w:sz w:val="28"/>
        </w:rPr>
        <w:t xml:space="preserve">.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Panel integral indeksiga ta’sir etuvchi omillarni baholash natijalari</w:t>
      </w:r>
      <w:r>
        <w:rPr>
          <w:rStyle w:val="FootnoteReference"/>
        </w:rPr>
        <w:footnoteReference w:id="4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814"/>
        <w:gridCol w:w="1814"/>
        <w:gridCol w:w="1814"/>
        <w:gridCol w:w="1814"/>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Dinamik (Anderson–Hsiao)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 (t−1)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0,502*** (0,185)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0,057 (0,084)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−0,071 (0,091)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0,029 (0,139)</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0,275*** (0,095)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−0,0009*** (0,0003)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0,0001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0,011***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0,007*** (0,003)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0,008*** (0,001)</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0,021* (0,013)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0,012***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0,022*** (0,003)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−0,278 (0,205)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0,364* (0,215)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Chorak effektlari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267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0,13 (umumiy)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0,09 (bank ichidagi)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Testlar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Breusch–Pagan LM = 616,1 (p &lt; 0,001)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Hausman χ²(4) = 17,34 (p =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1-bosqich F = 17,2</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360" w:lineRule="auto" w:before="0" w:after="0"/>
        <w:ind w:firstLine="709"/>
        <w:jc w:val="both"/>
      </w:pPr>
      <w:r>
        <w:rPr>
          <w:rFonts w:ascii="Times New Roman" w:hAnsi="Times New Roman" w:cs="Times New Roman" w:eastAsia="Times New Roman"/>
          <w:sz w:val="28"/>
        </w:rPr>
        <w:t xml:space="preserve">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51"/>
      </w:r>
      <w:r>
        <w:rPr>
          <w:rFonts w:ascii="Times New Roman" w:hAnsi="Times New Roman" w:cs="Times New Roman" w:eastAsia="Times New Roman"/>
          <w:sz w:val="28"/>
        </w:rPr>
        <w:t xml:space="preserve">.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360" w:lineRule="auto" w:before="0" w:after="0"/>
        <w:ind w:firstLine="709"/>
        <w:jc w:val="both"/>
      </w:pPr>
      <w:r>
        <w:rPr>
          <w:rFonts w:ascii="Times New Roman" w:hAnsi="Times New Roman" w:cs="Times New Roman" w:eastAsia="Times New Roman"/>
          <w:sz w:val="28"/>
        </w:rPr>
        <w:t xml:space="preserve">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52"/>
      </w:r>
      <w:r>
        <w:rPr>
          <w:rFonts w:ascii="Times New Roman" w:hAnsi="Times New Roman" w:cs="Times New Roman" w:eastAsia="Times New Roman"/>
          <w:sz w:val="28"/>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53"/>
      </w:r>
      <w:r>
        <w:rPr>
          <w:rFonts w:ascii="Times New Roman" w:hAnsi="Times New Roman" w:cs="Times New Roman" w:eastAsia="Times New Roman"/>
          <w:sz w:val="28"/>
        </w:rPr>
        <w:t xml:space="preserve">, biroq inersiyaning nisbatan pastligi bir martalik zararlar va qayta kapitallashtirishlar bilan izohlanadi. Bu indeksni har chorakda hisoblash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360" w:lineRule="auto" w:before="0" w:after="0"/>
        <w:ind w:firstLine="709"/>
        <w:jc w:val="both"/>
      </w:pPr>
      <w:r>
        <w:rPr>
          <w:rFonts w:ascii="Times New Roman" w:hAnsi="Times New Roman" w:cs="Times New Roman" w:eastAsia="Times New Roman"/>
          <w:sz w:val="28"/>
        </w:rP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ulushining integral indeksga ta’sirini baholash natijalari (Pooled OLS, chorak effektlari bilan)</w:t>
      </w:r>
      <w:r>
        <w:rPr>
          <w:rStyle w:val="FootnoteReference"/>
        </w:rPr>
        <w:footnoteReference w:id="45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funding nazoratisiz</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depozitlar va foiz marjasi nazorati bilan</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−0,690*** (0,185)</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−0,344* (0,202)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0,095 (0,093)</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0,119 (0,080)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0,0109*** (0,0025)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(0,014)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ta’sirining funding modeli orqali izohlanadigan qismi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−0,35 ball (50 %)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xuddi shu model bog‘liq o‘zgaruvchi sifatida Z-score logarifmi olingan holda baholandi (3.3.5-jadval).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Z-score logarifmiga ta’sir etuvchi omillarni baholash natijalari (robastlik tekshiruvi)</w:t>
      </w:r>
      <w:r>
        <w:rPr>
          <w:rStyle w:val="FootnoteReference"/>
        </w:rPr>
        <w:footnoteReference w:id="45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24"/>
        <w:gridCol w:w="2324"/>
        <w:gridCol w:w="2381"/>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0,184 (0,134)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−0,245 (0,150)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−0,776* (0,430)</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−0,0021*** (0,0008)</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−0,0017** (0,0008)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−0,0027** (0,0012)</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−0,012** (0,006)</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−0,011 (0,008)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−0,013 (0,009)</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0,017 (0,025)</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−0,005 (0,014)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−0,016 (0,016)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−0,371 (0,427)</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0,544 (0,413)</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Hausman testi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χ²(4) = 6,83 (p = 0,145)</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Barcha modellarda chorak effektlari mavjud.</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56"/>
      </w:r>
      <w:r>
        <w:rPr>
          <w:rFonts w:ascii="Times New Roman" w:hAnsi="Times New Roman" w:cs="Times New Roman" w:eastAsia="Times New Roman"/>
          <w:sz w:val="28"/>
        </w:rP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Muammoli kreditlar ulushiga ta’sir etuvchi omillarni baholash natijalari (satellit model)</w:t>
      </w:r>
      <w:r>
        <w:rPr>
          <w:rStyle w:val="FootnoteReference"/>
        </w:rPr>
        <w:footnoteReference w:id="45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effektlari)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(t−1),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0,623*** (0,051)</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0,805*** (0,061)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0,0011 (0,0037)</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0,0055 (0,0038)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(t−8),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−0,0012 (0,0014)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−0,0006 (0,0010)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1,119 (1,216)</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0,205 (0,151)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YaIM o‘sishi,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−1,437*** (0,498)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−1,927*** (0,588)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stavka,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0,705* (0,398)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0,999** (0,438)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AQSh dollari kursi o‘zgarishi,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(0,040)</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−0,066*** (0,023)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Inflyatsiya,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−0,165 (0,118)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−0,188 (0,130)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0,133 (0,304)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0,41 (bank ichidagi)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0,81</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8"/>
      </w:r>
      <w:r>
        <w:rPr>
          <w:rFonts w:ascii="Times New Roman" w:hAnsi="Times New Roman" w:cs="Times New Roman" w:eastAsia="Times New Roman"/>
          <w:sz w:val="28"/>
        </w:rPr>
        <w:t xml:space="preserve">.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360" w:lineRule="auto" w:before="0" w:after="0"/>
        <w:ind w:firstLine="709"/>
        <w:jc w:val="both"/>
      </w:pPr>
      <w:r>
        <w:rPr>
          <w:rFonts w:ascii="Times New Roman" w:hAnsi="Times New Roman" w:cs="Times New Roman" w:eastAsia="Times New Roman"/>
          <w:sz w:val="28"/>
        </w:rPr>
        <w:t xml:space="preserve">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59"/>
      </w:r>
      <w:r>
        <w:rPr>
          <w:rFonts w:ascii="Times New Roman" w:hAnsi="Times New Roman" w:cs="Times New Roman" w:eastAsia="Times New Roman"/>
          <w:sz w:val="28"/>
        </w:rPr>
        <w:t xml:space="preserve">,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360" w:lineRule="auto" w:before="0" w:after="0"/>
        <w:ind w:firstLine="709"/>
        <w:jc w:val="both"/>
      </w:pPr>
      <w:r>
        <w:rPr>
          <w:rFonts w:ascii="Times New Roman" w:hAnsi="Times New Roman" w:cs="Times New Roman" w:eastAsia="Times New Roman"/>
          <w:sz w:val="28"/>
        </w:rPr>
        <w:t xml:space="preserve">Gipotezalarni tekshirish natijalari 3.3.7-jadvalda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3.3.7-jadval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gipotezalarini tekshirish natijalari</w:t>
      </w:r>
      <w:r>
        <w:rPr>
          <w:rStyle w:val="FootnoteReference"/>
        </w:rPr>
        <w:footnoteReference w:id="4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927"/>
        <w:gridCol w:w="1474"/>
        <w:gridCol w:w="1474"/>
        <w:gridCol w:w="238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(MBII)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Z-score</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Xulosa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H1. Davlat ulushi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−0,69*** (yarmi moliyalashtirish modeli orqali)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 Z-score uni aniqlamaydi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H2. Jadal kreditlash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Pooled modelda manfiy***, bank ichida 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barcha modellarda manfiy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Qisman tasdiqlandi: risk milliy muammoli kreditlarda aks etmaydi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H3. Depozit bazasi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barcha modellarda musbat***</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Pooled modelda manfiy**</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H4. Sof foiz marjasi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musbat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H5. YaIM o‘sishi kredit riskini kamaytiradi, asosiy stavka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chorak effektlari orqali nazorat qilindi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YaIM: manfiy***, stavka: musbat (*/**)</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bookmarkEnd w:id="16"/>
    <w:p>
      <w:pPr>
        <w:pStyle w:val="Heading1"/>
        <w:pageBreakBefore/>
        <w:jc w:val="center"/>
      </w:pPr>
      <w:r>
        <w:t>IV BOB. TIJORAT BANKLARI MOLIYAVIY BARQARORLIGINI BAHOLASH METODOLOGIYASINI TAKOMILLASHTIRISH YO‘NALISHLARI</w:t>
      </w:r>
    </w:p>
    <w:bookmarkStart w:id="1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461"/>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462"/>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46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464"/>
      </w:r>
      <w:r>
        <w:rPr>
          <w:rStyle w:val="FootnoteReference"/>
        </w:rPr>
        <w:footnoteReference w:id="465"/>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466"/>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467"/>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468"/>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469"/>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470"/>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471"/>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472"/>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473"/>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47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475"/>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2" name="4.1.1-rasm"/>
            <wp:cNvGraphicFramePr/>
            <a:graphic>
              <a:graphicData uri="http://schemas.openxmlformats.org/drawingml/2006/chart">
                <c:chart r:id="rId4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4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4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478"/>
      </w:r>
      <w:r>
        <w:rPr>
          <w:rStyle w:val="FootnoteReference"/>
        </w:rPr>
        <w:footnoteReference w:id="479"/>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4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3" name="4.1.2-rasm"/>
            <wp:cNvGraphicFramePr/>
            <a:graphic>
              <a:graphicData uri="http://schemas.openxmlformats.org/drawingml/2006/chart">
                <c:chart r:id="rId4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8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82"/>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tadqiqotning asosiy obyektlari bo‘lgan «Mikrokreditbank» ATB va «O‘zsanoatqurilishbank» ATB misolida ko‘rib chiqish mumkin. Dastlab «Mikrokreditbank» ATB ning integral indeksi dinamikasini ko‘rib chiqamiz (4.1.3-rasm).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4" name="4.1.3-rasm"/>
            <wp:cNvGraphicFramePr/>
            <a:graphic>
              <a:graphicData uri="http://schemas.openxmlformats.org/drawingml/2006/chart">
                <c:chart r:id="rId4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da milliy hisobot va MHXS hisoboti asosidagi integral indeks hamda erta ogohlantirish chegaralari, 2021–2025-yillar</w:t>
      </w:r>
      <w:r>
        <w:rPr>
          <w:rStyle w:val="FootnoteReference"/>
        </w:rPr>
        <w:footnoteReference w:id="48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oldin berilgan. Zarar va qayta kapitallashtirishdan keyin indeks 2025-yilda 2,90 ballgacha oshib, sariq zonaga o‘tgan. MHXS hisobotlari asosida 3.2-paragrafda hisoblangan indeks esa butun davr mobaynida 2,20–2,47 ball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3–4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5" name="4.1.4-rasm"/>
            <wp:cNvGraphicFramePr/>
            <a:graphic>
              <a:graphicData uri="http://schemas.openxmlformats.org/drawingml/2006/chart">
                <c:chart r:id="rId4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4.1.4-rasm. «O‘zsanoatqurilishbank» ATB da milliy hisobot va MHXS hisoboti asosidagi integral indeks hamda erta ogohlantirish chegaralari, 2021–2025-yillar</w:t>
      </w:r>
      <w:r>
        <w:rPr>
          <w:rStyle w:val="FootnoteReference"/>
        </w:rPr>
        <w:footnoteReference w:id="48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milliy hisobot ma’lumotlari asosidagi indeks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MHXS hisobotlari asosidagi indeks esa butun davr mobaynida 2,75–2,93 ball bilan sariq zonada bo‘lgan, 2024-yilda esa qizil zona chegarasiga yetgan.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8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17"/>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id="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
    <w:p>
      <w:pPr>
        <w:pStyle w:val="FootnoteText"/>
      </w:pPr>
      <w:r>
        <w:rPr>
          <w:rStyle w:val="FootnoteReference"/>
        </w:rPr>
        <w:footnoteRef/>
      </w:r>
      <w:r>
        <w:t xml:space="preserve"> </w:t>
      </w:r>
      <w:r>
        <w:t xml:space="preserve">European Banking Authority. 2025 EU-wide stress test: Results. – Paris: EBA, 1 August 2025.</w:t>
      </w:r>
    </w:p>
  </w:footnote>
  <w:footnote w:id="3">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6">
    <w:p>
      <w:pPr>
        <w:pStyle w:val="FootnoteText"/>
      </w:pPr>
      <w:r>
        <w:rPr>
          <w:rStyle w:val="FootnoteReference"/>
        </w:rPr>
        <w:footnoteRef/>
      </w:r>
      <w:r>
        <w:t xml:space="preserve"> </w:t>
      </w:r>
      <w:r>
        <w:t xml:space="preserve">IFRS 9 Financial Instruments. – London: International Accounting Standards Board, 2014.</w:t>
      </w:r>
    </w:p>
  </w:footnote>
  <w:footnote w:id="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pPr>
        <w:pStyle w:val="FootnoteText"/>
      </w:pPr>
      <w:r>
        <w:rPr>
          <w:rStyle w:val="FootnoteReference"/>
        </w:rPr>
        <w:footnoteRef/>
      </w:r>
      <w:r>
        <w:t xml:space="preserve"> </w:t>
      </w:r>
      <w:r>
        <w:t xml:space="preserve">The Central Bank of the Republic of Uzbekistan. Financial Stability Report for 2025. – Tashkent, 2026.</w:t>
      </w:r>
    </w:p>
  </w:footnote>
  <w:footnote w:id="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1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13">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14">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1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16">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9">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20">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1">
    <w:p>
      <w:pPr>
        <w:pStyle w:val="FootnoteText"/>
      </w:pPr>
      <w:r>
        <w:rPr>
          <w:rStyle w:val="FootnoteReference"/>
        </w:rPr>
        <w:footnoteRef/>
      </w:r>
      <w:r>
        <w:t xml:space="preserve"> </w:t>
      </w:r>
      <w:r>
        <w:t xml:space="preserve">IFRS 9 Financial Instruments. – London: International Accounting Standards Board, 2014.</w:t>
      </w:r>
    </w:p>
  </w:footnote>
  <w:footnote w:id="22">
    <w:p>
      <w:pPr>
        <w:pStyle w:val="FootnoteText"/>
      </w:pPr>
      <w:r>
        <w:rPr>
          <w:rStyle w:val="FootnoteReference"/>
        </w:rPr>
        <w:footnoteRef/>
      </w:r>
      <w:r>
        <w:t xml:space="preserve"> </w:t>
      </w:r>
      <w:r>
        <w:t xml:space="preserve">Basel Committee on Banking Supervision. Report on the 2023 banking turmoil. – Basel: BIS, October 2023.</w:t>
      </w:r>
    </w:p>
  </w:footnote>
  <w:footnote w:id="23">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2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7">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28">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World Bank. Republic of Uzbekistan: Financial Sector Assessment. – Washington, DC: World Bank, 2025.</w:t>
      </w:r>
    </w:p>
  </w:footnote>
  <w:footnote w:id="3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32">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3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34">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5">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6">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3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38">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40">
    <w:p>
      <w:pPr>
        <w:pStyle w:val="FootnoteText"/>
      </w:pPr>
      <w:r>
        <w:rPr>
          <w:rStyle w:val="FootnoteReference"/>
        </w:rPr>
        <w:footnoteRef/>
      </w:r>
      <w:r>
        <w:t xml:space="preserve"> </w:t>
      </w:r>
      <w:r>
        <w:t xml:space="preserve">Adrian T., Brunnermeier M.K. CoVaR // American Economic Review. – 2016. – Vol. 106, No. 7. – P. 1705–1741.</w:t>
      </w:r>
    </w:p>
  </w:footnote>
  <w:footnote w:id="4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42">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46">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47">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4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50">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51">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5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5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5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5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5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59">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61">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6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64">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6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66">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6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68">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69">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70">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71">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72">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73">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74">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75">
    <w:p>
      <w:pPr>
        <w:pStyle w:val="FootnoteText"/>
      </w:pPr>
      <w:r>
        <w:rPr>
          <w:rStyle w:val="FootnoteReference"/>
        </w:rPr>
        <w:footnoteRef/>
      </w:r>
      <w:r>
        <w:t xml:space="preserve"> </w:t>
      </w:r>
      <w:r>
        <w:t xml:space="preserve">Tadqiqot natijasida muallif tomonidan ishlab chiqildi.</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7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8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8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83">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8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86">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8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88">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8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90">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91">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92">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9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94">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95">
    <w:p>
      <w:pPr>
        <w:pStyle w:val="FootnoteText"/>
      </w:pPr>
      <w:r>
        <w:rPr>
          <w:rStyle w:val="FootnoteReference"/>
        </w:rPr>
        <w:footnoteRef/>
      </w:r>
      <w:r>
        <w:t xml:space="preserve"> </w:t>
      </w:r>
      <w:r>
        <w:t xml:space="preserve">Roy A.D. Safety First and the Holding of Assets // Econometrica. – 1952. – Vol. 20, No. 3. – P. 431–449.</w:t>
      </w:r>
    </w:p>
  </w:footnote>
  <w:footnote w:id="96">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97">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9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100">
    <w:p>
      <w:pPr>
        <w:pStyle w:val="FootnoteText"/>
      </w:pPr>
      <w:r>
        <w:rPr>
          <w:rStyle w:val="FootnoteReference"/>
        </w:rPr>
        <w:footnoteRef/>
      </w:r>
      <w:r>
        <w:t xml:space="preserve"> </w:t>
      </w:r>
      <w:r>
        <w:t xml:space="preserve">Adrian T., Brunnermeier M.K. CoVaR // American Economic Review. – 2016. – Vol. 106, No. 7. – P. 1705–1741.</w:t>
      </w:r>
    </w:p>
  </w:footnote>
  <w:footnote w:id="10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102">
    <w:p>
      <w:pPr>
        <w:pStyle w:val="FootnoteText"/>
      </w:pPr>
      <w:r>
        <w:rPr>
          <w:rStyle w:val="FootnoteReference"/>
        </w:rPr>
        <w:footnoteRef/>
      </w:r>
      <w:r>
        <w:t xml:space="preserve"> </w:t>
      </w:r>
      <w:r>
        <w:t xml:space="preserve">IFRS 9 Financial Instruments. – London: International Accounting Standards Board, 2014.</w:t>
      </w:r>
    </w:p>
  </w:footnote>
  <w:footnote w:id="103">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pPr>
        <w:pStyle w:val="FootnoteText"/>
      </w:pPr>
      <w:r>
        <w:rPr>
          <w:rStyle w:val="FootnoteReference"/>
        </w:rPr>
        <w:footnoteRef/>
      </w:r>
      <w:r>
        <w:t xml:space="preserve"> </w:t>
      </w:r>
      <w:r>
        <w:t xml:space="preserve">Tadqiqot natijasida muallif tomonidan ishlab chiqildi.</w:t>
      </w:r>
    </w:p>
  </w:footnote>
  <w:footnote w:id="10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4, 17.</w:t>
      </w:r>
    </w:p>
  </w:footnote>
  <w:footnote w:id="10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107">
    <w:p>
      <w:pPr>
        <w:pStyle w:val="FootnoteText"/>
      </w:pPr>
      <w:r>
        <w:rPr>
          <w:rStyle w:val="FootnoteReference"/>
        </w:rPr>
        <w:footnoteRef/>
      </w:r>
      <w:r>
        <w:t xml:space="preserve"> </w:t>
      </w:r>
      <w:r>
        <w:t xml:space="preserve">Cargill T.F. The Financial System, Financial Regulation and Central Bank Policy. – Cambridge: Cambridge University Press, 2017. – P. 184–185.</w:t>
      </w:r>
    </w:p>
  </w:footnote>
  <w:footnote w:id="10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61–62.</w:t>
      </w:r>
    </w:p>
  </w:footnote>
  <w:footnote w:id="109">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 27.</w:t>
      </w:r>
    </w:p>
  </w:footnote>
  <w:footnote w:id="11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49–53.</w:t>
      </w:r>
    </w:p>
  </w:footnote>
  <w:footnote w:id="111">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49.</w:t>
      </w:r>
    </w:p>
  </w:footnote>
  <w:footnote w:id="11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57–61.</w:t>
      </w:r>
    </w:p>
  </w:footnote>
  <w:footnote w:id="11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115">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100, 193–195.</w:t>
      </w:r>
    </w:p>
  </w:footnote>
  <w:footnote w:id="11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11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62–69.</w:t>
      </w:r>
    </w:p>
  </w:footnote>
  <w:footnote w:id="118">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11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w:t>
      </w:r>
    </w:p>
  </w:footnote>
  <w:footnote w:id="1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56–57.</w:t>
      </w:r>
    </w:p>
  </w:footnote>
  <w:footnote w:id="1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54–57.</w:t>
      </w:r>
    </w:p>
  </w:footnote>
  <w:footnote w:id="122">
    <w:p>
      <w:pPr>
        <w:pStyle w:val="FootnoteText"/>
      </w:pPr>
      <w:r>
        <w:rPr>
          <w:rStyle w:val="FootnoteReference"/>
        </w:rPr>
        <w:footnoteRef/>
      </w:r>
      <w:r>
        <w:t xml:space="preserve"> </w:t>
      </w:r>
      <w:r>
        <w:t xml:space="preserve">Modina M. Credit Rating and Bank–Firm Relationships: New Models to Better Evaluate SMEs. – Basingstoke: Palgrave Macmillan, 2015. – P. 33.</w:t>
      </w:r>
    </w:p>
  </w:footnote>
  <w:footnote w:id="1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w:t>
      </w:r>
    </w:p>
  </w:footnote>
  <w:footnote w:id="125">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12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 92–93.</w:t>
      </w:r>
    </w:p>
  </w:footnote>
  <w:footnote w:id="1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208.</w:t>
      </w:r>
    </w:p>
  </w:footnote>
  <w:footnote w:id="12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77–80.</w:t>
      </w:r>
    </w:p>
  </w:footnote>
  <w:footnote w:id="1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13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50–51.</w:t>
      </w:r>
    </w:p>
  </w:footnote>
  <w:footnote w:id="131">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23.</w:t>
      </w:r>
    </w:p>
  </w:footnote>
  <w:footnote w:id="13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 84–85.</w:t>
      </w:r>
    </w:p>
  </w:footnote>
  <w:footnote w:id="13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193.</w:t>
      </w:r>
    </w:p>
  </w:footnote>
  <w:footnote w:id="134">
    <w:p>
      <w:pPr>
        <w:pStyle w:val="FootnoteText"/>
      </w:pPr>
      <w:r>
        <w:rPr>
          <w:rStyle w:val="FootnoteReference"/>
        </w:rPr>
        <w:footnoteRef/>
      </w:r>
      <w:r>
        <w:t xml:space="preserve"> </w:t>
      </w:r>
      <w:r>
        <w:t xml:space="preserve">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55–59.</w:t>
      </w:r>
    </w:p>
  </w:footnote>
  <w:footnote w:id="13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65–67, 77–83.</w:t>
      </w:r>
    </w:p>
  </w:footnote>
  <w:footnote w:id="13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69–72.</w:t>
      </w:r>
    </w:p>
  </w:footnote>
  <w:footnote w:id="13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162–165.</w:t>
      </w:r>
    </w:p>
  </w:footnote>
  <w:footnote w:id="13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140">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141">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142">
    <w:p>
      <w:pPr>
        <w:pStyle w:val="FootnoteText"/>
      </w:pPr>
      <w:r>
        <w:rPr>
          <w:rStyle w:val="FootnoteReference"/>
        </w:rPr>
        <w:footnoteRef/>
      </w:r>
      <w:r>
        <w:t xml:space="preserve"> </w:t>
      </w:r>
      <w:r>
        <w:t xml:space="preserve">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9–10.</w:t>
      </w:r>
    </w:p>
  </w:footnote>
  <w:footnote w:id="14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20–22.</w:t>
      </w:r>
    </w:p>
  </w:footnote>
  <w:footnote w:id="145">
    <w:p>
      <w:pPr>
        <w:pStyle w:val="FootnoteText"/>
      </w:pPr>
      <w:r>
        <w:rPr>
          <w:rStyle w:val="FootnoteReference"/>
        </w:rPr>
        <w:footnoteRef/>
      </w:r>
      <w:r>
        <w:t xml:space="preserve"> </w:t>
      </w:r>
      <w:r>
        <w:t xml:space="preserve">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68–70.</w:t>
      </w:r>
    </w:p>
  </w:footnote>
  <w:footnote w:id="147">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15.</w:t>
      </w:r>
    </w:p>
  </w:footnote>
  <w:footnote w:id="148">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50">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152">
    <w:p>
      <w:pPr>
        <w:pStyle w:val="FootnoteText"/>
      </w:pPr>
      <w:r>
        <w:rPr>
          <w:rStyle w:val="FootnoteReference"/>
        </w:rPr>
        <w:footnoteRef/>
      </w:r>
      <w:r>
        <w:t xml:space="preserve"> </w:t>
      </w:r>
      <w:r>
        <w:t xml:space="preserve">Karaliyev T.M., Sayfiddinov I.F. Tijorat banklari faoliyatini tartibga solish va nazorati: darslik. – T.: Iqtisod-Moliya, 2019. – B. 185–186.</w:t>
      </w:r>
    </w:p>
  </w:footnote>
  <w:footnote w:id="1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pPr>
        <w:pStyle w:val="FootnoteText"/>
      </w:pPr>
      <w:r>
        <w:rPr>
          <w:rStyle w:val="FootnoteReference"/>
        </w:rPr>
        <w:footnoteRef/>
      </w:r>
      <w:r>
        <w:t xml:space="preserve"> </w:t>
      </w:r>
      <w:r>
        <w:t xml:space="preserve">IFRS 9 Financial Instruments. – London: International Accounting Standards Board, 2014.</w:t>
      </w:r>
    </w:p>
  </w:footnote>
  <w:footnote w:id="157">
    <w:p>
      <w:pPr>
        <w:pStyle w:val="FootnoteText"/>
      </w:pPr>
      <w:r>
        <w:rPr>
          <w:rStyle w:val="FootnoteReference"/>
        </w:rPr>
        <w:footnoteRef/>
      </w:r>
      <w:r>
        <w:t xml:space="preserve"> </w:t>
      </w:r>
      <w:r>
        <w:t xml:space="preserve">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16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3">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4">
    <w:p>
      <w:pPr>
        <w:pStyle w:val="FootnoteText"/>
      </w:pPr>
      <w:r>
        <w:rPr>
          <w:rStyle w:val="FootnoteReference"/>
        </w:rPr>
        <w:footnoteRef/>
      </w:r>
      <w:r>
        <w:t xml:space="preserve"> </w:t>
      </w:r>
      <w:r>
        <w:t xml:space="preserve">Tadqiqot natijasida muallif tomonidan ishlab chiqildi.</w:t>
      </w:r>
    </w:p>
  </w:footnote>
  <w:footnote w:id="165">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166">
    <w:p>
      <w:pPr>
        <w:pStyle w:val="FootnoteText"/>
      </w:pPr>
      <w:r>
        <w:rPr>
          <w:rStyle w:val="FootnoteReference"/>
        </w:rPr>
        <w:footnoteRef/>
      </w:r>
      <w:r>
        <w:t xml:space="preserve"> </w:t>
      </w:r>
      <w:r>
        <w:t xml:space="preserve">Tadqiqot natijasida muallif tomonidan ishlab chiqildi.</w:t>
      </w:r>
    </w:p>
  </w:footnote>
  <w:footnote w:id="16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168">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169">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17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17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17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175">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17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17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178">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180">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181">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182">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3">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18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1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18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187">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18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190">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191">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192">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193">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194">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195">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196">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197">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198">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199">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00">
    <w:p>
      <w:pPr>
        <w:pStyle w:val="FootnoteText"/>
      </w:pPr>
      <w:r>
        <w:rPr>
          <w:rStyle w:val="FootnoteReference"/>
        </w:rPr>
        <w:footnoteRef/>
      </w:r>
      <w:r>
        <w:t xml:space="preserve"> </w:t>
      </w:r>
      <w:r>
        <w:t xml:space="preserve">European Banking Authority. 2025 EU-wide stress test: Results. – Paris: EBA, 1 August 2025.</w:t>
      </w:r>
    </w:p>
  </w:footnote>
  <w:footnote w:id="20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20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20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20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6">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08">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09">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10">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1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3">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214">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1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21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21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21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220">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22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2">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22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225">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226">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2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28">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29">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30">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23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4">
    <w:p>
      <w:pPr>
        <w:pStyle w:val="FootnoteText"/>
      </w:pPr>
      <w:r>
        <w:rPr>
          <w:rStyle w:val="FootnoteReference"/>
        </w:rPr>
        <w:footnoteRef/>
      </w:r>
      <w:r>
        <w:t xml:space="preserve"> </w:t>
      </w:r>
      <w:r>
        <w:t xml:space="preserve">Tadqiqot natijasida muallif tomonidan ishlab chiqildi.</w:t>
      </w:r>
    </w:p>
  </w:footnote>
  <w:footnote w:id="235">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6">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38">
    <w:p>
      <w:pPr>
        <w:pStyle w:val="FootnoteText"/>
      </w:pPr>
      <w:r>
        <w:rPr>
          <w:rStyle w:val="FootnoteReference"/>
        </w:rPr>
        <w:footnoteRef/>
      </w:r>
      <w:r>
        <w:t xml:space="preserve"> </w:t>
      </w:r>
      <w:r>
        <w:t xml:space="preserve">Muallif ishlanmasi.</w:t>
      </w:r>
    </w:p>
  </w:footnote>
  <w:footnote w:id="239">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0">
    <w:p>
      <w:pPr>
        <w:pStyle w:val="FootnoteText"/>
      </w:pPr>
      <w:r>
        <w:rPr>
          <w:rStyle w:val="FootnoteReference"/>
        </w:rPr>
        <w:footnoteRef/>
      </w:r>
      <w:r>
        <w:t xml:space="preserve"> </w:t>
      </w:r>
      <w:r>
        <w:t xml:space="preserve">Бердияров Б.Т. Ko‘rsatilgan asar. – Б. 27.</w:t>
      </w:r>
    </w:p>
  </w:footnote>
  <w:footnote w:id="241">
    <w:p>
      <w:pPr>
        <w:pStyle w:val="FootnoteText"/>
      </w:pPr>
      <w:r>
        <w:rPr>
          <w:rStyle w:val="FootnoteReference"/>
        </w:rPr>
        <w:footnoteRef/>
      </w:r>
      <w:r>
        <w:t xml:space="preserve"> </w:t>
      </w:r>
      <w:r>
        <w:t xml:space="preserve">Karaliyev T.M., Sayfiddinov I.F. Ko‘rsatilgan asar. – B. 208.</w:t>
      </w:r>
    </w:p>
  </w:footnote>
  <w:footnote w:id="242">
    <w:p>
      <w:pPr>
        <w:pStyle w:val="FootnoteText"/>
      </w:pPr>
      <w:r>
        <w:rPr>
          <w:rStyle w:val="FootnoteReference"/>
        </w:rPr>
        <w:footnoteRef/>
      </w:r>
      <w:r>
        <w:t xml:space="preserve"> </w:t>
      </w:r>
      <w:r>
        <w:t xml:space="preserve">The Central Bank of the Republic of Uzbekistan. «Roadmap»… – Item 13.</w:t>
      </w:r>
    </w:p>
  </w:footnote>
  <w:footnote w:id="243">
    <w:p>
      <w:pPr>
        <w:pStyle w:val="FootnoteText"/>
      </w:pPr>
      <w:r>
        <w:rPr>
          <w:rStyle w:val="FootnoteReference"/>
        </w:rPr>
        <w:footnoteRef/>
      </w:r>
      <w:r>
        <w:t xml:space="preserve"> </w:t>
      </w:r>
      <w:r>
        <w:t xml:space="preserve">Karaliyev T.M., Sayfiddinov I.F. Ko‘rsatilgan asar. – B. 213.</w:t>
      </w:r>
    </w:p>
  </w:footnote>
  <w:footnote w:id="244">
    <w:p>
      <w:pPr>
        <w:pStyle w:val="FootnoteText"/>
      </w:pPr>
      <w:r>
        <w:rPr>
          <w:rStyle w:val="FootnoteReference"/>
        </w:rPr>
        <w:footnoteRef/>
      </w:r>
      <w:r>
        <w:t xml:space="preserve"> </w:t>
      </w:r>
      <w:r>
        <w:t xml:space="preserve">The Central Bank of the Republic of Uzbekistan. «Roadmap»… – Item 13.</w:t>
      </w:r>
    </w:p>
  </w:footnote>
  <w:footnote w:id="245">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246">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247">
    <w:p>
      <w:pPr>
        <w:pStyle w:val="FootnoteText"/>
      </w:pPr>
      <w:r>
        <w:rPr>
          <w:rStyle w:val="FootnoteReference"/>
        </w:rPr>
        <w:footnoteRef/>
      </w:r>
      <w:r>
        <w:t xml:space="preserve"> </w:t>
      </w:r>
      <w:r>
        <w:t xml:space="preserve">IMF Country Report No. 25/227, 2025.</w:t>
      </w:r>
    </w:p>
  </w:footnote>
  <w:footnote w:id="248">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249">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0">
    <w:p>
      <w:pPr>
        <w:pStyle w:val="FootnoteText"/>
      </w:pPr>
      <w:r>
        <w:rPr>
          <w:rStyle w:val="FootnoteReference"/>
        </w:rPr>
        <w:footnoteRef/>
      </w:r>
      <w:r>
        <w:t xml:space="preserve"> </w:t>
      </w:r>
      <w:r>
        <w:t xml:space="preserve">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1">
    <w:p>
      <w:pPr>
        <w:pStyle w:val="FootnoteText"/>
      </w:pPr>
      <w:r>
        <w:rPr>
          <w:rStyle w:val="FootnoteReference"/>
        </w:rPr>
        <w:footnoteRef/>
      </w:r>
      <w:r>
        <w:t xml:space="preserve"> </w:t>
      </w:r>
      <w:r>
        <w:t xml:space="preserve">The Central Bank of Uzbekistan. Financial Stability Report for 2025.</w:t>
      </w:r>
    </w:p>
  </w:footnote>
  <w:footnote w:id="252">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253">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254">
    <w:p>
      <w:pPr>
        <w:pStyle w:val="FootnoteText"/>
      </w:pPr>
      <w:r>
        <w:rPr>
          <w:rStyle w:val="FootnoteReference"/>
        </w:rPr>
        <w:footnoteRef/>
      </w:r>
      <w:r>
        <w:t xml:space="preserve"> </w:t>
      </w:r>
      <w:r>
        <w:t xml:space="preserve">IMF Country Report No. 25/227, 2025.</w:t>
      </w:r>
    </w:p>
  </w:footnote>
  <w:footnote w:id="255">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56">
    <w:p>
      <w:pPr>
        <w:pStyle w:val="FootnoteText"/>
      </w:pPr>
      <w:r>
        <w:rPr>
          <w:rStyle w:val="FootnoteReference"/>
        </w:rPr>
        <w:footnoteRef/>
      </w:r>
      <w:r>
        <w:t xml:space="preserve"> </w:t>
      </w:r>
      <w:r>
        <w:t xml:space="preserve">Muallif ishlanmasi.</w:t>
      </w:r>
    </w:p>
  </w:footnote>
  <w:footnote w:id="257">
    <w:p>
      <w:pPr>
        <w:pStyle w:val="FootnoteText"/>
      </w:pPr>
      <w:r>
        <w:rPr>
          <w:rStyle w:val="FootnoteReference"/>
        </w:rPr>
        <w:footnoteRef/>
      </w:r>
      <w:r>
        <w:t xml:space="preserve"> </w:t>
      </w:r>
      <w:r>
        <w:t xml:space="preserve">IMF Country Report No. 25/227, 2025.</w:t>
      </w:r>
    </w:p>
  </w:footnote>
  <w:footnote w:id="258">
    <w:p>
      <w:pPr>
        <w:pStyle w:val="FootnoteText"/>
      </w:pPr>
      <w:r>
        <w:rPr>
          <w:rStyle w:val="FootnoteReference"/>
        </w:rPr>
        <w:footnoteRef/>
      </w:r>
      <w:r>
        <w:t xml:space="preserve"> </w:t>
      </w:r>
      <w:r>
        <w:t xml:space="preserve">IMF Country Report No. 25/145, 2025.</w:t>
      </w:r>
    </w:p>
  </w:footnote>
  <w:footnote w:id="259">
    <w:p>
      <w:pPr>
        <w:pStyle w:val="FootnoteText"/>
      </w:pPr>
      <w:r>
        <w:rPr>
          <w:rStyle w:val="FootnoteReference"/>
        </w:rPr>
        <w:footnoteRef/>
      </w:r>
      <w:r>
        <w:t xml:space="preserve"> </w:t>
      </w:r>
      <w:r>
        <w:t xml:space="preserve">The Central Bank of the Republic of Uzbekistan. «Roadmap»… – Item 3.</w:t>
      </w:r>
    </w:p>
  </w:footnote>
  <w:footnote w:id="260">
    <w:p>
      <w:pPr>
        <w:pStyle w:val="FootnoteText"/>
      </w:pPr>
      <w:r>
        <w:rPr>
          <w:rStyle w:val="FootnoteReference"/>
        </w:rPr>
        <w:footnoteRef/>
      </w:r>
      <w:r>
        <w:t xml:space="preserve"> </w:t>
      </w:r>
      <w:r>
        <w:t xml:space="preserve">O‘sha joyda. – Items 5, 19.</w:t>
      </w:r>
    </w:p>
  </w:footnote>
  <w:footnote w:id="261">
    <w:p>
      <w:pPr>
        <w:pStyle w:val="FootnoteText"/>
      </w:pPr>
      <w:r>
        <w:rPr>
          <w:rStyle w:val="FootnoteReference"/>
        </w:rPr>
        <w:footnoteRef/>
      </w:r>
      <w:r>
        <w:t xml:space="preserve"> </w:t>
      </w:r>
      <w:r>
        <w:t xml:space="preserve">IMF Country Report No. 25/145, 2025.</w:t>
      </w:r>
    </w:p>
  </w:footnote>
  <w:footnote w:id="262">
    <w:p>
      <w:pPr>
        <w:pStyle w:val="FootnoteText"/>
      </w:pPr>
      <w:r>
        <w:rPr>
          <w:rStyle w:val="FootnoteReference"/>
        </w:rPr>
        <w:footnoteRef/>
      </w:r>
      <w:r>
        <w:t xml:space="preserve"> </w:t>
      </w:r>
      <w:r>
        <w:t xml:space="preserve">The Central Bank of the Republic of Uzbekistan. «Roadmap»… – Items 7, 16.</w:t>
      </w:r>
    </w:p>
  </w:footnote>
  <w:footnote w:id="263">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264">
    <w:p>
      <w:pPr>
        <w:pStyle w:val="FootnoteText"/>
      </w:pPr>
      <w:r>
        <w:rPr>
          <w:rStyle w:val="FootnoteReference"/>
        </w:rPr>
        <w:footnoteRef/>
      </w:r>
      <w:r>
        <w:t xml:space="preserve"> </w:t>
      </w:r>
      <w:r>
        <w:t xml:space="preserve">The Central Bank of the Republic of Uzbekistan. «Roadmap»… – Item 9.</w:t>
      </w:r>
    </w:p>
  </w:footnote>
  <w:footnote w:id="265">
    <w:p>
      <w:pPr>
        <w:pStyle w:val="FootnoteText"/>
      </w:pPr>
      <w:r>
        <w:rPr>
          <w:rStyle w:val="FootnoteReference"/>
        </w:rPr>
        <w:footnoteRef/>
      </w:r>
      <w:r>
        <w:t xml:space="preserve"> </w:t>
      </w:r>
      <w:r>
        <w:t xml:space="preserve">O‘sha joyda. – Item 31.</w:t>
      </w:r>
    </w:p>
  </w:footnote>
  <w:footnote w:id="266">
    <w:p>
      <w:pPr>
        <w:pStyle w:val="FootnoteText"/>
      </w:pPr>
      <w:r>
        <w:rPr>
          <w:rStyle w:val="FootnoteReference"/>
        </w:rPr>
        <w:footnoteRef/>
      </w:r>
      <w:r>
        <w:t xml:space="preserve"> </w:t>
      </w:r>
      <w:r>
        <w:t xml:space="preserve">The Central Bank of the Republic of Uzbekistan. «Roadmap»… – Items 2–4, 7, 9.</w:t>
      </w:r>
    </w:p>
  </w:footnote>
  <w:footnote w:id="2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6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69">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0">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71">
    <w:p>
      <w:pPr>
        <w:pStyle w:val="FootnoteText"/>
      </w:pPr>
      <w:r>
        <w:rPr>
          <w:rStyle w:val="FootnoteReference"/>
        </w:rPr>
        <w:footnoteRef/>
      </w:r>
      <w:r>
        <w:t xml:space="preserve"> </w:t>
      </w:r>
      <w:r>
        <w:t xml:space="preserve">World Bank. Republic of Uzbekistan: Financial Sector Assessment. – Washington, DC: World Bank, 2025.</w:t>
      </w:r>
    </w:p>
  </w:footnote>
  <w:footnote w:id="272">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7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7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7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pPr>
        <w:pStyle w:val="FootnoteText"/>
      </w:pPr>
      <w:r>
        <w:rPr>
          <w:rStyle w:val="FootnoteReference"/>
        </w:rPr>
        <w:footnoteRef/>
      </w:r>
      <w:r>
        <w:t xml:space="preserve"> </w:t>
      </w:r>
      <w:r>
        <w:t xml:space="preserve">Tadqiqot natijasida muallif tomonidan 2.2.1-jadval ma’lumotlari asosida ishlab chiqildi.</w:t>
      </w:r>
    </w:p>
  </w:footnote>
  <w:footnote w:id="27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2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281">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28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83">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5">
    <w:p>
      <w:pPr>
        <w:pStyle w:val="FootnoteText"/>
      </w:pPr>
      <w:r>
        <w:rPr>
          <w:rStyle w:val="FootnoteReference"/>
        </w:rPr>
        <w:footnoteRef/>
      </w:r>
      <w:r>
        <w:t xml:space="preserve"> </w:t>
      </w:r>
      <w:r>
        <w:t xml:space="preserve">O‘zbekiston Respublikasi Markaziy banki. Moliyaviy barqarorlik sharhi: 2022-yil. – Toshkent, 2023.</w:t>
      </w:r>
    </w:p>
  </w:footnote>
  <w:footnote w:id="286">
    <w:p>
      <w:pPr>
        <w:pStyle w:val="FootnoteText"/>
      </w:pPr>
      <w:r>
        <w:rPr>
          <w:rStyle w:val="FootnoteReference"/>
        </w:rPr>
        <w:footnoteRef/>
      </w:r>
      <w:r>
        <w:t xml:space="preserve"> </w:t>
      </w:r>
      <w:r>
        <w:t xml:space="preserve">The Central Bank of the Republic of Uzbekistan. Annual Report 2023. – Tashkent, 2024. – P. 57.</w:t>
      </w:r>
    </w:p>
  </w:footnote>
  <w:footnote w:id="287">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8">
    <w:p>
      <w:pPr>
        <w:pStyle w:val="FootnoteText"/>
      </w:pPr>
      <w:r>
        <w:rPr>
          <w:rStyle w:val="FootnoteReference"/>
        </w:rPr>
        <w:footnoteRef/>
      </w:r>
      <w:r>
        <w:t xml:space="preserve"> </w:t>
      </w:r>
      <w:r>
        <w:t xml:space="preserve">World Bank. Republic of Uzbekistan: Financial Sector Assessment. – Washington, DC: World Bank, 2025.</w:t>
      </w:r>
    </w:p>
  </w:footnote>
  <w:footnote w:id="28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0">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29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29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29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5">
    <w:p>
      <w:pPr>
        <w:pStyle w:val="FootnoteText"/>
      </w:pPr>
      <w:r>
        <w:rPr>
          <w:rStyle w:val="FootnoteReference"/>
        </w:rPr>
        <w:footnoteRef/>
      </w:r>
      <w:r>
        <w:t xml:space="preserve"> </w:t>
      </w:r>
      <w:r>
        <w:t xml:space="preserve">Tadqiqot natijasida muallif tomonidan 2.2.1-jadval ma’lumotlari asosida ishlab chiqildi.</w:t>
      </w:r>
    </w:p>
  </w:footnote>
  <w:footnote w:id="29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29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1">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0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5">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06">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0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8">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4">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315">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316">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317">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318">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319">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320">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32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2">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3">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5">
    <w:p>
      <w:pPr>
        <w:pStyle w:val="FootnoteText"/>
      </w:pPr>
      <w:r>
        <w:rPr>
          <w:rStyle w:val="FootnoteReference"/>
        </w:rPr>
        <w:footnoteRef/>
      </w:r>
      <w:r>
        <w:t xml:space="preserve"> </w:t>
      </w:r>
      <w:r>
        <w:t xml:space="preserve">IFRS 9 Financial Instruments. – London: International Accounting Standards Board, 2014.</w:t>
      </w:r>
    </w:p>
  </w:footnote>
  <w:footnote w:id="326">
    <w:p>
      <w:pPr>
        <w:pStyle w:val="FootnoteText"/>
      </w:pPr>
      <w:r>
        <w:rPr>
          <w:rStyle w:val="FootnoteReference"/>
        </w:rPr>
        <w:footnoteRef/>
      </w:r>
      <w:r>
        <w:t xml:space="preserve"> </w:t>
      </w:r>
      <w:r>
        <w:t xml:space="preserve">Tadqiqot natijasida muallif tomonidan ishlab chiqildi.</w:t>
      </w:r>
    </w:p>
  </w:footnote>
  <w:footnote w:id="327">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2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1">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2">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336">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3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33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39">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0">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2">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34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5">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46">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4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4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49">
    <w:p>
      <w:pPr>
        <w:pStyle w:val="FootnoteText"/>
      </w:pPr>
      <w:r>
        <w:rPr>
          <w:rStyle w:val="FootnoteReference"/>
        </w:rPr>
        <w:footnoteRef/>
      </w:r>
      <w:r>
        <w:t xml:space="preserve"> </w:t>
      </w:r>
      <w:r>
        <w:t xml:space="preserve">Tadqiqot natijasida muallif tomonidan 2.3.4-jadval ma’lumotlari asosida ishlab chiqildi.</w:t>
      </w:r>
    </w:p>
  </w:footnote>
  <w:footnote w:id="35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51">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35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54">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355">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56">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357">
    <w:p>
      <w:pPr>
        <w:pStyle w:val="FootnoteText"/>
      </w:pPr>
      <w:r>
        <w:rPr>
          <w:rStyle w:val="FootnoteReference"/>
        </w:rPr>
        <w:footnoteRef/>
      </w:r>
      <w:r>
        <w:t xml:space="preserve"> </w:t>
      </w:r>
      <w:r>
        <w:t xml:space="preserve">Tadqiqot natijasida muallif tomonidan ishlab chiqildi.</w:t>
      </w:r>
    </w:p>
  </w:footnote>
  <w:footnote w:id="35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5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360">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6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63">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64">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6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6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69">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0">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71">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7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5">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376">
    <w:p>
      <w:pPr>
        <w:pStyle w:val="FootnoteText"/>
      </w:pPr>
      <w:r>
        <w:rPr>
          <w:rStyle w:val="FootnoteReference"/>
        </w:rPr>
        <w:footnoteRef/>
      </w:r>
      <w:r>
        <w:t xml:space="preserve"> </w:t>
      </w:r>
      <w:r>
        <w:t xml:space="preserve">Tadqiqot natijasida muallif tomonidan 3.1.2-jadval asosida ishlab chiqildi.</w:t>
      </w:r>
    </w:p>
  </w:footnote>
  <w:footnote w:id="37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7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379">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38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81">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8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383">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8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385">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86">
    <w:p>
      <w:pPr>
        <w:pStyle w:val="FootnoteText"/>
      </w:pPr>
      <w:r>
        <w:rPr>
          <w:rStyle w:val="FootnoteReference"/>
        </w:rPr>
        <w:footnoteRef/>
      </w:r>
      <w:r>
        <w:t xml:space="preserve"> </w:t>
      </w:r>
      <w:r>
        <w:t xml:space="preserve">Tadqiqot natijasida muallif tomonidan 3.1.5-jadval ma’lumotlari asosida ishlab chiqildi.</w:t>
      </w:r>
    </w:p>
  </w:footnote>
  <w:footnote w:id="387">
    <w:p>
      <w:pPr>
        <w:pStyle w:val="FootnoteText"/>
      </w:pPr>
      <w:r>
        <w:rPr>
          <w:rStyle w:val="FootnoteReference"/>
        </w:rPr>
        <w:footnoteRef/>
      </w:r>
      <w:r>
        <w:t xml:space="preserve"> </w:t>
      </w:r>
      <w:r>
        <w:t xml:space="preserve">Tadqiqot natijasida muallif tomonidan 3.1.3 va 3.1.5-jadvallar ma’lumotlari asosida hisoblandi.</w:t>
      </w:r>
    </w:p>
  </w:footnote>
  <w:footnote w:id="388">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8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90">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391">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392">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9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394">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95">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396">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39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398">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Consolidated financial statements and independent auditor’s report for the year ended 31 December 2022. – Tashkent: Ernst &amp; Young, 2023. – P. 8–10.</w:t>
      </w:r>
    </w:p>
  </w:footnote>
  <w:footnote w:id="399">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2023. – Tashkent: Ernst &amp; Young, 2024.</w:t>
      </w:r>
    </w:p>
  </w:footnote>
  <w:footnote w:id="400">
    <w:p>
      <w:pPr>
        <w:pStyle w:val="FootnoteText"/>
      </w:pPr>
      <w:r>
        <w:rPr>
          <w:rStyle w:val="FootnoteReference"/>
        </w:rPr>
        <w:footnoteRef/>
      </w:r>
      <w:r>
        <w:t xml:space="preserve"> </w:t>
      </w:r>
      <w:r>
        <w:t xml:space="preserve">Tadqiqot natijasida muallif tomonidan quyidagi manbalar asosida ishlab chiqildi: International Monetary Fund. 2019 Financial Soundness Indicators Compilation Guide. – Washington, DC: IMF, 2019;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«SNS» reyting agentligi. O‘zbekiston tijorat banklarining asosiy ko‘rsatkichlari bazasi (Banks_2025_IV, Banks_2026_II): 36 bank, 2021-yil IV chorak – 2026-yil II chorak.</w:t>
      </w:r>
    </w:p>
  </w:footnote>
  <w:footnote w:id="401">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40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03">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0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5">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406">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40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0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9">
    <w:p>
      <w:pPr>
        <w:pStyle w:val="FootnoteText"/>
      </w:pPr>
      <w:r>
        <w:rPr>
          <w:rStyle w:val="FootnoteReference"/>
        </w:rPr>
        <w:footnoteRef/>
      </w:r>
      <w:r>
        <w:t xml:space="preserve"> </w:t>
      </w:r>
      <w:r>
        <w:t xml:space="preserve">Tadqiqot natijasida muallif tomonidan 3.2.2-jadval ma’lumotlari asosida ishlab chiqildi.</w:t>
      </w:r>
    </w:p>
  </w:footnote>
  <w:footnote w:id="410">
    <w:p>
      <w:pPr>
        <w:pStyle w:val="FootnoteText"/>
      </w:pPr>
      <w:r>
        <w:rPr>
          <w:rStyle w:val="FootnoteReference"/>
        </w:rPr>
        <w:footnoteRef/>
      </w:r>
      <w:r>
        <w:t xml:space="preserve"> </w:t>
      </w:r>
      <w:r>
        <w:t xml:space="preserve">Tadqiqot natijasida muallif tomonidan 3.2.1-rasm ma’lumotlari asosida ishlab chiqildi.</w:t>
      </w:r>
    </w:p>
  </w:footnote>
  <w:footnote w:id="411">
    <w:p>
      <w:pPr>
        <w:pStyle w:val="FootnoteText"/>
      </w:pPr>
      <w:r>
        <w:rPr>
          <w:rStyle w:val="FootnoteReference"/>
        </w:rPr>
        <w:footnoteRef/>
      </w:r>
      <w:r>
        <w:t xml:space="preserve"> </w:t>
      </w:r>
      <w:r>
        <w:t xml:space="preserve">Tadqiqot natijasida muallif tomonidan hisoblandi: kapitalga kiritilgan mablag‘lar = xususiy kapitalning yillik o‘zgarishi − yil sof foydasi (boshqa umumlashgan daromad va dividendlar ham shu farqqa kiradi, shu sababli baho taxminiy).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2">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413">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41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5">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416">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417">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8">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19">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20">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21">
    <w:p>
      <w:pPr>
        <w:pStyle w:val="FootnoteText"/>
      </w:pPr>
      <w:r>
        <w:rPr>
          <w:rStyle w:val="FootnoteReference"/>
        </w:rPr>
        <w:footnoteRef/>
      </w:r>
      <w:r>
        <w:t xml:space="preserve"> </w:t>
      </w:r>
      <w:r>
        <w:t xml:space="preserve">Laeven L., Levine R. Bank governance, regulation and risk taking // Journal of Financial Economics. – 2009. – Vol. 93, No. 2. – P. 259–275.</w:t>
      </w:r>
    </w:p>
  </w:footnote>
  <w:footnote w:id="422">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3">
    <w:p>
      <w:pPr>
        <w:pStyle w:val="FootnoteText"/>
      </w:pPr>
      <w:r>
        <w:rPr>
          <w:rStyle w:val="FootnoteReference"/>
        </w:rPr>
        <w:footnoteRef/>
      </w:r>
      <w:r>
        <w:t xml:space="preserve"> </w:t>
      </w:r>
      <w:r>
        <w:t xml:space="preserve">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4">
    <w:p>
      <w:pPr>
        <w:pStyle w:val="FootnoteText"/>
      </w:pPr>
      <w:r>
        <w:rPr>
          <w:rStyle w:val="FootnoteReference"/>
        </w:rPr>
        <w:footnoteRef/>
      </w:r>
      <w:r>
        <w:t xml:space="preserve"> </w:t>
      </w:r>
      <w:r>
        <w:t xml:space="preserve">Iannotta G., Nocera G., Sironi A. Ownership structure, risk and performance in the European banking industry // Journal of Banking &amp; Finance. – 2007. – Vol. 31, No. 7. – P. 2127–2149.</w:t>
      </w:r>
    </w:p>
  </w:footnote>
  <w:footnote w:id="425">
    <w:p>
      <w:pPr>
        <w:pStyle w:val="FootnoteText"/>
      </w:pPr>
      <w:r>
        <w:rPr>
          <w:rStyle w:val="FootnoteReference"/>
        </w:rPr>
        <w:footnoteRef/>
      </w:r>
      <w:r>
        <w:t xml:space="preserve"> </w:t>
      </w:r>
      <w:r>
        <w:t xml:space="preserve">Cornett M.M., Guo L., Khaksari S., Tehranian H. The impact of state ownership on performance differences in privately-owned versus state-owned banks: An international comparison // Journal of Financial Intermediation. – 2010. – Vol. 19, No. 1. – P. 74–94.</w:t>
      </w:r>
    </w:p>
  </w:footnote>
  <w:footnote w:id="42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27">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28">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29">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30">
    <w:p>
      <w:pPr>
        <w:pStyle w:val="FootnoteText"/>
      </w:pPr>
      <w:r>
        <w:rPr>
          <w:rStyle w:val="FootnoteReference"/>
        </w:rPr>
        <w:footnoteRef/>
      </w:r>
      <w:r>
        <w:t xml:space="preserve"> </w:t>
      </w:r>
      <w:r>
        <w:t xml:space="preserve">Nkusu M. Nonperforming Loans and Macrofinancial Vulnerabilities in Advanced Economies: IMF Working Paper WP/11/161. – Washington, DC: International Monetary Fund, 2011.</w:t>
      </w:r>
    </w:p>
  </w:footnote>
  <w:footnote w:id="431">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32">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33">
    <w:p>
      <w:pPr>
        <w:pStyle w:val="FootnoteText"/>
      </w:pPr>
      <w:r>
        <w:rPr>
          <w:rStyle w:val="FootnoteReference"/>
        </w:rPr>
        <w:footnoteRef/>
      </w:r>
      <w:r>
        <w:t xml:space="preserve"> </w:t>
      </w:r>
      <w:r>
        <w:t xml:space="preserve">O‘zbekiston Respublikasi Markaziy banki. Statistik byulleten: 2026-yil mart. – Toshkent, 2026. – 1.1, 1.2, 3.1, 3.7, 5.1-jadvallar. – https://cbu.uz/uz/statistics/buleten/</w:t>
      </w:r>
    </w:p>
  </w:footnote>
  <w:footnote w:id="434">
    <w:p>
      <w:pPr>
        <w:pStyle w:val="FootnoteText"/>
      </w:pPr>
      <w:r>
        <w:rPr>
          <w:rStyle w:val="FootnoteReference"/>
        </w:rPr>
        <w:footnoteRef/>
      </w:r>
      <w:r>
        <w:t xml:space="preserve"> </w:t>
      </w:r>
      <w:r>
        <w:t xml:space="preserve">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5">
    <w:p>
      <w:pPr>
        <w:pStyle w:val="FootnoteText"/>
      </w:pPr>
      <w:r>
        <w:rPr>
          <w:rStyle w:val="FootnoteReference"/>
        </w:rPr>
        <w:footnoteRef/>
      </w:r>
      <w:r>
        <w:t xml:space="preserve"> </w:t>
      </w:r>
      <w:r>
        <w:t xml:space="preserve">«Ipoteka-bank»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6">
    <w:p>
      <w:pPr>
        <w:pStyle w:val="FootnoteText"/>
      </w:pPr>
      <w:r>
        <w:rPr>
          <w:rStyle w:val="FootnoteReference"/>
        </w:rPr>
        <w:footnoteRef/>
      </w:r>
      <w:r>
        <w:t xml:space="preserve"> </w:t>
      </w:r>
      <w:r>
        <w:t xml:space="preserve">Roy A.D. Safety First and the Holding of Assets // Econometrica. – 1952. – Vol. 20, No. 3. – P. 431–449.</w:t>
      </w:r>
    </w:p>
  </w:footnote>
  <w:footnote w:id="437">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438">
    <w:p>
      <w:pPr>
        <w:pStyle w:val="FootnoteText"/>
      </w:pPr>
      <w:r>
        <w:rPr>
          <w:rStyle w:val="FootnoteReference"/>
        </w:rPr>
        <w:footnoteRef/>
      </w:r>
      <w:r>
        <w:t xml:space="preserve"> </w:t>
      </w:r>
      <w:r>
        <w:t xml:space="preserve">Lepetit L., Strobel F. Bank insolvency risk and time-varying Z-score measures // Journal of International Financial Markets, Institutions and Money. – 2013. – Vol. 25. – P. 73–87.</w:t>
      </w:r>
    </w:p>
  </w:footnote>
  <w:footnote w:id="439">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1">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3">
    <w:p>
      <w:pPr>
        <w:pStyle w:val="FootnoteText"/>
      </w:pPr>
      <w:r>
        <w:rPr>
          <w:rStyle w:val="FootnoteReference"/>
        </w:rPr>
        <w:footnoteRef/>
      </w:r>
      <w:r>
        <w:t xml:space="preserve"> </w:t>
      </w:r>
      <w:r>
        <w:t xml:space="preserve">Baltagi B.H. Econometric Analysis of Panel Data. – 6th ed. – Cham: Springer, 2021.</w:t>
      </w:r>
    </w:p>
  </w:footnote>
  <w:footnote w:id="444">
    <w:p>
      <w:pPr>
        <w:pStyle w:val="FootnoteText"/>
      </w:pPr>
      <w:r>
        <w:rPr>
          <w:rStyle w:val="FootnoteReference"/>
        </w:rPr>
        <w:footnoteRef/>
      </w:r>
      <w:r>
        <w:t xml:space="preserve"> </w:t>
      </w:r>
      <w:r>
        <w:t xml:space="preserve">Wooldridge J.M. Econometric Analysis of Cross Section and Panel Data. – 2nd ed. – Cambridge, MA: MIT Press, 2010.</w:t>
      </w:r>
    </w:p>
  </w:footnote>
  <w:footnote w:id="445">
    <w:p>
      <w:pPr>
        <w:pStyle w:val="FootnoteText"/>
      </w:pPr>
      <w:r>
        <w:rPr>
          <w:rStyle w:val="FootnoteReference"/>
        </w:rPr>
        <w:footnoteRef/>
      </w:r>
      <w:r>
        <w:t xml:space="preserve"> </w:t>
      </w:r>
      <w:r>
        <w:t xml:space="preserve">Breusch T.S., Pagan A.R. The Lagrange Multiplier Test and its Applications to Model Specification in Econometrics // Review of Economic Studies. – 1980. – Vol. 47, No. 1. – P. 239–253.</w:t>
      </w:r>
    </w:p>
  </w:footnote>
  <w:footnote w:id="446">
    <w:p>
      <w:pPr>
        <w:pStyle w:val="FootnoteText"/>
      </w:pPr>
      <w:r>
        <w:rPr>
          <w:rStyle w:val="FootnoteReference"/>
        </w:rPr>
        <w:footnoteRef/>
      </w:r>
      <w:r>
        <w:t xml:space="preserve"> </w:t>
      </w:r>
      <w:r>
        <w:t xml:space="preserve">Hausman J.A. Specification Tests in Econometrics // Econometrica. – 1978. – Vol. 46, No. 6. – P. 1251–1271.</w:t>
      </w:r>
    </w:p>
  </w:footnote>
  <w:footnote w:id="447">
    <w:p>
      <w:pPr>
        <w:pStyle w:val="FootnoteText"/>
      </w:pPr>
      <w:r>
        <w:rPr>
          <w:rStyle w:val="FootnoteReference"/>
        </w:rPr>
        <w:footnoteRef/>
      </w:r>
      <w:r>
        <w:t xml:space="preserve"> </w:t>
      </w:r>
      <w:r>
        <w:t xml:space="preserve">Nickell S. Biases in Dynamic Models with Fixed Effects // Econometrica. – 1981. – Vol. 49, No. 6. – P. 1417–1426.</w:t>
      </w:r>
    </w:p>
  </w:footnote>
  <w:footnote w:id="448">
    <w:p>
      <w:pPr>
        <w:pStyle w:val="FootnoteText"/>
      </w:pPr>
      <w:r>
        <w:rPr>
          <w:rStyle w:val="FootnoteReference"/>
        </w:rPr>
        <w:footnoteRef/>
      </w:r>
      <w:r>
        <w:t xml:space="preserve"> </w:t>
      </w:r>
      <w:r>
        <w:t xml:space="preserve">Anderson T.W., Hsiao C. Estimation of Dynamic Models with Error Components // Journal of the American Statistical Association. – 1981. – Vol. 76, No. 375. – P. 598–606.</w:t>
      </w:r>
    </w:p>
  </w:footnote>
  <w:footnote w:id="449">
    <w:p>
      <w:pPr>
        <w:pStyle w:val="FootnoteText"/>
      </w:pPr>
      <w:r>
        <w:rPr>
          <w:rStyle w:val="FootnoteReference"/>
        </w:rPr>
        <w:footnoteRef/>
      </w:r>
      <w:r>
        <w:t xml:space="preserve"> </w:t>
      </w:r>
      <w:r>
        <w:t xml:space="preserve">Arellano M., Bond S. Some Tests of Specification for Panel Data: Monte Carlo Evidence and an Application to Employment Equations // Review of Economic Studies. – 1991. – Vol. 58, No. 2. – P. 277–297.</w:t>
      </w:r>
    </w:p>
  </w:footnote>
  <w:footnote w:id="45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1">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52">
    <w:p>
      <w:pPr>
        <w:pStyle w:val="FootnoteText"/>
      </w:pPr>
      <w:r>
        <w:rPr>
          <w:rStyle w:val="FootnoteReference"/>
        </w:rPr>
        <w:footnoteRef/>
      </w:r>
      <w:r>
        <w:t xml:space="preserve"> </w:t>
      </w:r>
      <w:r>
        <w:t xml:space="preserve">Stock J.H., Yogo M. Testing for Weak Instruments in Linear IV Regression // Identification and Inference for Econometric Models: Essays in Honor of Thomas Rothenberg / ed. by D.W.K. Andrews, J.H. Stock. – Cambridge: Cambridge University Press, 2005. – P. 80–108.</w:t>
      </w:r>
    </w:p>
  </w:footnote>
  <w:footnote w:id="453">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54">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5">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57">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8">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59">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60">
    <w:p>
      <w:pPr>
        <w:pStyle w:val="FootnoteText"/>
      </w:pPr>
      <w:r>
        <w:rPr>
          <w:rStyle w:val="FootnoteReference"/>
        </w:rPr>
        <w:footnoteRef/>
      </w:r>
      <w:r>
        <w:t xml:space="preserve"> </w:t>
      </w:r>
      <w:r>
        <w:t xml:space="preserve">Tadqiqot natijasida muallif tomonidan 3.3.3–3.3.6-jadvallar ma’lumotlari asosida ishlab chiqildi.</w:t>
      </w:r>
    </w:p>
  </w:footnote>
  <w:footnote w:id="461">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462">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463">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4">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65">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466">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67">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46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469">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470">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1">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2">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473">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5">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476">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7">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8">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9">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8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1">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2">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8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4">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85">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86">
    <w:p>
      <w:pPr>
        <w:pStyle w:val="FootnoteText"/>
      </w:pPr>
      <w:r>
        <w:rPr>
          <w:rStyle w:val="FootnoteReference"/>
        </w:rPr>
        <w:footnoteRef/>
      </w:r>
      <w:r>
        <w:t xml:space="preserve"> </w:t>
      </w:r>
      <w:r>
        <w:t xml:space="preserve">Tadqiqot natijasida muallif tomonidan 4.1.3–4.1.5-jadvallar ma’lumotlari asosida ishlab chiqildi.</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3223AA0"/>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nsid w:val="006BA18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nsid w:val="0518014E"/>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chart" Target="charts/chart9.xml"/><Relationship Id="rId20" Type="http://schemas.openxmlformats.org/officeDocument/2006/relationships/chart" Target="charts/chart10.xml"/><Relationship Id="rId21" Type="http://schemas.openxmlformats.org/officeDocument/2006/relationships/chart" Target="charts/chart11.xml"/><Relationship Id="rId22" Type="http://schemas.openxmlformats.org/officeDocument/2006/relationships/chart" Target="charts/chart12.xml"/><Relationship Id="rId23" Type="http://schemas.openxmlformats.org/officeDocument/2006/relationships/chart" Target="charts/chart13.xml"/><Relationship Id="rId24" Type="http://schemas.openxmlformats.org/officeDocument/2006/relationships/chart" Target="charts/chart14.xml"/><Relationship Id="rId25" Type="http://schemas.openxmlformats.org/officeDocument/2006/relationships/chart" Target="charts/chart15.xml"/><Relationship Id="rId26" Type="http://schemas.openxmlformats.org/officeDocument/2006/relationships/chart" Target="charts/chart16.xml"/><Relationship Id="rId27" Type="http://schemas.openxmlformats.org/officeDocument/2006/relationships/chart" Target="charts/chart17.xml"/><Relationship Id="rId28" Type="http://schemas.openxmlformats.org/officeDocument/2006/relationships/chart" Target="charts/chart18.xml"/><Relationship Id="rId29" Type="http://schemas.openxmlformats.org/officeDocument/2006/relationships/chart" Target="charts/chart19.xml"/><Relationship Id="rId30" Type="http://schemas.openxmlformats.org/officeDocument/2006/relationships/chart" Target="charts/chart20.xml"/><Relationship Id="rId31" Type="http://schemas.openxmlformats.org/officeDocument/2006/relationships/chart" Target="charts/chart21.xml"/><Relationship Id="rId32" Type="http://schemas.openxmlformats.org/officeDocument/2006/relationships/chart" Target="charts/chart22.xml"/><Relationship Id="rId33" Type="http://schemas.openxmlformats.org/officeDocument/2006/relationships/chart" Target="charts/chart23.xml"/><Relationship Id="rId34" Type="http://schemas.openxmlformats.org/officeDocument/2006/relationships/chart" Target="charts/chart24.xml"/><Relationship Id="rId35" Type="http://schemas.openxmlformats.org/officeDocument/2006/relationships/chart" Target="charts/chart25.xml"/><Relationship Id="rId36" Type="http://schemas.openxmlformats.org/officeDocument/2006/relationships/chart" Target="charts/chart26.xml"/><Relationship Id="rId37" Type="http://schemas.openxmlformats.org/officeDocument/2006/relationships/chart" Target="charts/chart27.xml"/><Relationship Id="rId38" Type="http://schemas.openxmlformats.org/officeDocument/2006/relationships/chart" Target="charts/chart28.xml"/><Relationship Id="rId39" Type="http://schemas.openxmlformats.org/officeDocument/2006/relationships/chart" Target="charts/chart29.xml"/><Relationship Id="rId40" Type="http://schemas.openxmlformats.org/officeDocument/2006/relationships/chart" Target="charts/chart30.xml"/><Relationship Id="rId41" Type="http://schemas.openxmlformats.org/officeDocument/2006/relationships/chart" Target="charts/chart31.xml"/><Relationship Id="rId42" Type="http://schemas.openxmlformats.org/officeDocument/2006/relationships/chart" Target="charts/chart32.xml"/><Relationship Id="rId43" Type="http://schemas.openxmlformats.org/officeDocument/2006/relationships/chart" Target="charts/chart33.xml"/><Relationship Id="rId44" Type="http://schemas.openxmlformats.org/officeDocument/2006/relationships/chart" Target="charts/chart34.xml"/><Relationship Id="rId45" Type="http://schemas.openxmlformats.org/officeDocument/2006/relationships/chart" Target="charts/chart35.xml"/><Relationship Id="rId46" Type="http://schemas.openxmlformats.org/officeDocument/2006/relationships/chart" Target="charts/chart36.xml"/><Relationship Id="rId47" Type="http://schemas.openxmlformats.org/officeDocument/2006/relationships/chart" Target="charts/chart37.xml"/><Relationship Id="rId48" Type="http://schemas.openxmlformats.org/officeDocument/2006/relationships/chart" Target="charts/chart38.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3.0</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2.26</c:v>
                </c:pt>
                <c:pt idx="2">
                  <c:v>3.0</c:v>
                </c:pt>
                <c:pt idx="3">
                  <c:v>3.83</c:v>
                </c:pt>
                <c:pt idx="4">
                  <c:v>1.47</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2.77</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1.62</c:v>
                </c:pt>
                <c:pt idx="2">
                  <c:v>2.77</c:v>
                </c:pt>
                <c:pt idx="3">
                  <c:v>1.33</c:v>
                </c:pt>
                <c:pt idx="4">
                  <c:v>3.79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3.4</c:v>
                </c:pt>
                <c:pt idx="1">
                  <c:v>2.94</c:v>
                </c:pt>
                <c:pt idx="2">
                  <c:v>3.27</c:v>
                </c:pt>
                <c:pt idx="3">
                  <c:v>2.62</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3.19</c:v>
                </c:pt>
                <c:pt idx="1">
                  <c:v>2.86</c:v>
                </c:pt>
                <c:pt idx="2">
                  <c:v>3.21</c:v>
                </c:pt>
                <c:pt idx="3">
                  <c:v>2.7</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3.67</c:v>
                </c:pt>
                <c:pt idx="1">
                  <c:v>3.11</c:v>
                </c:pt>
                <c:pt idx="2">
                  <c:v>3.12</c:v>
                </c:pt>
                <c:pt idx="3">
                  <c:v>2.27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«Xalq banki»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4.0</c:v>
                </c:pt>
                <c:pt idx="1">
                  <c:v>3.62</c:v>
                </c:pt>
                <c:pt idx="2">
                  <c:v>1.5</c:v>
                </c:pt>
                <c:pt idx="3">
                  <c:v>3.98</c:v>
                </c:pt>
                <c:pt idx="4">
                  <c:v>4.0</c:v>
                </c:pt>
              </c:numCache>
            </c:numRef>
          </c:val>
        </c:ser>
        <c:ser>
          <c:idx val="1"/>
          <c:order val="1"/>
          <c:tx>
            <c:strRef>
              <c:f>Sheet1!$C$1</c:f>
              <c:strCache>
                <c:ptCount val="1"/>
                <c:pt idx="0">
                  <c:v>«Biznesni rivojlantirish banki»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3.87</c:v>
                </c:pt>
                <c:pt idx="1">
                  <c:v>3.15</c:v>
                </c:pt>
                <c:pt idx="2">
                  <c:v>2.3</c:v>
                </c:pt>
                <c:pt idx="3">
                  <c:v>3.05</c:v>
                </c:pt>
                <c:pt idx="4">
                  <c:v>3.96</c:v>
                </c:pt>
              </c:numCache>
            </c:numRef>
          </c:val>
        </c:ser>
        <c:ser>
          <c:idx val="2"/>
          <c:order val="2"/>
          <c:tx>
            <c:strRef>
              <c:f>Sheet1!$D$1</c:f>
              <c:strCache>
                <c:ptCount val="1"/>
                <c:pt idx="0">
                  <c:v>«Ipoteka-bank»</c:v>
                </c:pt>
              </c:strCache>
            </c:strRef>
          </c:tx>
          <c:spPr>
            <a:solidFill>
              <a:srgbClr val="7030A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2.43</c:v>
                </c:pt>
                <c:pt idx="2">
                  <c:v>1.96</c:v>
                </c:pt>
                <c:pt idx="3">
                  <c:v>3.94</c:v>
                </c:pt>
                <c:pt idx="4">
                  <c:v>4.0</c:v>
                </c:pt>
              </c:numCache>
            </c:numRef>
          </c:val>
        </c:ser>
        <c:ser>
          <c:idx val="3"/>
          <c:order val="3"/>
          <c:tx>
            <c:strRef>
              <c:f>Sheet1!$E$1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3.82</c:v>
                </c:pt>
                <c:pt idx="1">
                  <c:v>2.28</c:v>
                </c:pt>
                <c:pt idx="2">
                  <c:v>2.33</c:v>
                </c:pt>
                <c:pt idx="3">
                  <c:v>3.83</c:v>
                </c:pt>
                <c:pt idx="4">
                  <c:v>1.45</c:v>
                </c:pt>
              </c:numCache>
            </c:numRef>
          </c:val>
        </c:ser>
        <c:ser>
          <c:idx val="4"/>
          <c:order val="4"/>
          <c:tx>
            <c:strRef>
              <c:f>Sheet1!$F$1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4.0</c:v>
                </c:pt>
                <c:pt idx="1">
                  <c:v>1.53</c:v>
                </c:pt>
                <c:pt idx="2">
                  <c:v>2.05</c:v>
                </c:pt>
                <c:pt idx="3">
                  <c:v>1.33</c:v>
                </c:pt>
                <c:pt idx="4">
                  <c:v>4.0</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Sheet1!$B$2:$B$6</c:f>
              <c:numCache>
                <c:formatCode>General</c:formatCode>
                <c:ptCount val="5"/>
                <c:pt idx="0">
                  <c:v>3.38</c:v>
                </c:pt>
                <c:pt idx="1">
                  <c:v>3.23</c:v>
                </c:pt>
                <c:pt idx="2">
                  <c:v>3.11</c:v>
                </c:pt>
                <c:pt idx="3">
                  <c:v>2.83</c:v>
                </c:pt>
                <c:pt idx="4">
                  <c:v>2.47</c:v>
                </c:pt>
              </c:numCache>
            </c:numRef>
          </c:val>
        </c:ser>
        <c:ser>
          <c:idx val="1"/>
          <c:order val="1"/>
          <c:tx>
            <c:strRef>
              <c:f>Sheet1!$C$1</c:f>
              <c:strCache>
                <c:ptCount val="1"/>
                <c:pt idx="0">
                  <c:v>Davlat ko‘magisiz</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Sheet1!$C$2:$C$6</c:f>
              <c:numCache>
                <c:formatCode>General</c:formatCode>
                <c:ptCount val="5"/>
                <c:pt idx="0">
                  <c:v>3.23</c:v>
                </c:pt>
                <c:pt idx="1">
                  <c:v>2.51</c:v>
                </c:pt>
                <c:pt idx="2">
                  <c:v>3.11</c:v>
                </c:pt>
                <c:pt idx="3">
                  <c:v>2.82</c:v>
                </c:pt>
                <c:pt idx="4">
                  <c:v>1.72</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c:v>
                </c:pt>
              </c:strCache>
            </c:strRef>
          </c:tx>
          <c:spPr>
            <a:ln w="28575">
              <a:solidFill>
                <a:srgbClr val="9DC3E6"/>
              </a:solidFill>
              <a:prstDash val="dash"/>
            </a:ln>
          </c:spPr>
          <c:marker>
            <c:symbol val="circle"/>
            <c:size val="7"/>
            <c:spPr>
              <a:solidFill>
                <a:srgbClr val="9DC3E6"/>
              </a:solidFill>
              <a:ln>
                <a:noFill/>
              </a:ln>
            </c:spPr>
          </c:marker>
          <c:dLbls>
            <c:spPr>
              <a:noFill/>
              <a:ln>
                <a:noFill/>
              </a:ln>
            </c:spPr>
            <c:txPr>
              <a:bodyPr/>
              <a:lstStyle/>
              <a:p>
                <a:pPr>
                  <a:defRPr sz="1000" b="1">
                    <a:solidFill>
                      <a:srgbClr val="9DC3E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3.4</c:v>
                </c:pt>
                <c:pt idx="1">
                  <c:v>3.27</c:v>
                </c:pt>
                <c:pt idx="2">
                  <c:v>3.28</c:v>
                </c:pt>
                <c:pt idx="3">
                  <c:v>3.33</c:v>
                </c:pt>
                <c:pt idx="4">
                  <c:v>3.4</c:v>
                </c:pt>
              </c:numCache>
            </c:numRef>
          </c:yVal>
          <c:smooth val="0"/>
        </c:ser>
        <c:ser>
          <c:idx val="1"/>
          <c:order val="1"/>
          <c:tx>
            <c:strRef>
              <c:f>Sheet1!$D$1</c:f>
              <c:strCache>
                <c:ptCount val="1"/>
                <c:pt idx="0">
                  <c:v>SQB: MHXS</c:v>
                </c:pt>
              </c:strCache>
            </c:strRef>
          </c:tx>
          <c:spPr>
            <a:ln w="28575">
              <a:solidFill>
                <a:srgbClr val="1F4E79"/>
              </a:solidFill>
            </a:ln>
          </c:spPr>
          <c:marker>
            <c:symbol val="circle"/>
            <c:size val="7"/>
            <c:spPr>
              <a:solidFill>
                <a:srgbClr val="1F4E79"/>
              </a:solidFill>
              <a:ln>
                <a:noFill/>
              </a:ln>
            </c:spPr>
          </c:marker>
          <c:dLbls>
            <c:spPr>
              <a:noFill/>
              <a:ln>
                <a:noFill/>
              </a:ln>
            </c:spPr>
            <c:txPr>
              <a:bodyPr/>
              <a:lstStyle/>
              <a:p>
                <a:pPr>
                  <a:defRPr sz="1000" b="1">
                    <a:solidFill>
                      <a:srgbClr val="1F4E79"/>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3.02</c:v>
                </c:pt>
                <c:pt idx="1">
                  <c:v>2.94</c:v>
                </c:pt>
                <c:pt idx="2">
                  <c:v>3.05</c:v>
                </c:pt>
                <c:pt idx="3">
                  <c:v>2.95</c:v>
                </c:pt>
                <c:pt idx="4">
                  <c:v>2.94</c:v>
                </c:pt>
              </c:numCache>
            </c:numRef>
          </c:yVal>
          <c:smooth val="0"/>
        </c:ser>
        <c:ser>
          <c:idx val="2"/>
          <c:order val="2"/>
          <c:tx>
            <c:strRef>
              <c:f>Sheet1!$F$1</c:f>
              <c:strCache>
                <c:ptCount val="1"/>
                <c:pt idx="0">
                  <c:v>MKB: milliy</c:v>
                </c:pt>
              </c:strCache>
            </c:strRef>
          </c:tx>
          <c:spPr>
            <a:ln w="28575">
              <a:solidFill>
                <a:srgbClr val="F4B183"/>
              </a:solidFill>
              <a:prstDash val="dash"/>
            </a:ln>
          </c:spPr>
          <c:marker>
            <c:symbol val="square"/>
            <c:size val="7"/>
            <c:spPr>
              <a:solidFill>
                <a:srgbClr val="F4B183"/>
              </a:solidFill>
              <a:ln>
                <a:noFill/>
              </a:ln>
            </c:spPr>
          </c:marker>
          <c:dLbls>
            <c:spPr>
              <a:noFill/>
              <a:ln>
                <a:noFill/>
              </a:ln>
            </c:spPr>
            <c:txPr>
              <a:bodyPr/>
              <a:lstStyle/>
              <a:p>
                <a:pPr>
                  <a:defRPr sz="1000" b="1">
                    <a:solidFill>
                      <a:srgbClr val="F4B183"/>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3.08</c:v>
                </c:pt>
                <c:pt idx="1">
                  <c:v>3.05</c:v>
                </c:pt>
                <c:pt idx="2">
                  <c:v>2.81</c:v>
                </c:pt>
                <c:pt idx="3">
                  <c:v>2.99</c:v>
                </c:pt>
                <c:pt idx="4">
                  <c:v>3.27</c:v>
                </c:pt>
              </c:numCache>
            </c:numRef>
          </c:yVal>
          <c:smooth val="0"/>
        </c:ser>
        <c:ser>
          <c:idx val="3"/>
          <c:order val="3"/>
          <c:tx>
            <c:strRef>
              <c:f>Sheet1!$H$1</c:f>
              <c:strCache>
                <c:ptCount val="1"/>
                <c:pt idx="0">
                  <c:v>MKB: MHXS</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2.51</c:v>
                </c:pt>
                <c:pt idx="1">
                  <c:v>2.59</c:v>
                </c:pt>
                <c:pt idx="2">
                  <c:v>2.41</c:v>
                </c:pt>
                <c:pt idx="3">
                  <c:v>2.47</c:v>
                </c:pt>
                <c:pt idx="4">
                  <c:v>2.62</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ulushi mavjud banklar</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4.4</c:v>
                </c:pt>
                <c:pt idx="1">
                  <c:v>8.1</c:v>
                </c:pt>
                <c:pt idx="2">
                  <c:v>-0.5</c:v>
                </c:pt>
                <c:pt idx="3">
                  <c:v>7.6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27.3</c:v>
                </c:pt>
                <c:pt idx="1">
                  <c:v>27.7</c:v>
                </c:pt>
                <c:pt idx="2">
                  <c:v>19.2</c:v>
                </c:pt>
                <c:pt idx="3">
                  <c:v>20.3</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0"/>
          <c:min val="-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4.0</c:v>
                </c:pt>
                <c:pt idx="1">
                  <c:v>3.46</c:v>
                </c:pt>
                <c:pt idx="2">
                  <c:v>2.23</c:v>
                </c:pt>
                <c:pt idx="3">
                  <c:v>2.46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4.0</c:v>
                </c:pt>
                <c:pt idx="1">
                  <c:v>3.74</c:v>
                </c:pt>
                <c:pt idx="2">
                  <c:v>3.26</c:v>
                </c:pt>
                <c:pt idx="3">
                  <c:v>3.83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2.51</c:v>
                </c:pt>
                <c:pt idx="1">
                  <c:v>2.29</c:v>
                </c:pt>
                <c:pt idx="2">
                  <c:v>2.38</c:v>
                </c:pt>
                <c:pt idx="3">
                  <c:v>2.84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5"/>
              <c:delete val="1"/>
            </c:dLbl>
            <c:dLbl>
              <c:idx val="6"/>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2.2</c:v>
                </c:pt>
                <c:pt idx="1">
                  <c:v>2.31</c:v>
                </c:pt>
                <c:pt idx="2">
                  <c:v>2.22</c:v>
                </c:pt>
                <c:pt idx="3">
                  <c:v>2.24</c:v>
                </c:pt>
                <c:pt idx="4">
                  <c:v>2.47</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4"/>
              <c:delete val="1"/>
            </c:dLbl>
            <c:dLbl>
              <c:idx val="5"/>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2.93</c:v>
                </c:pt>
                <c:pt idx="1">
                  <c:v>2.82</c:v>
                </c:pt>
                <c:pt idx="2">
                  <c:v>2.91</c:v>
                </c:pt>
                <c:pt idx="3">
                  <c:v>2.75</c:v>
                </c:pt>
                <c:pt idx="4">
                  <c:v>2.83</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