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595b54503e12f06e30c058f5d96c2dde3d42ae"/>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4.1-§. Banklar moliyaviy barqarorligini erta ogohlantirish tizimini shakllantirish</w:t>
      </w:r>
    </w:p>
    <w:p>
      <w:pPr>
        <w:pStyle w:val="FirstParagraph"/>
        <w:spacing w:line="360" w:lineRule="auto" w:before="0" w:after="0"/>
        <w:ind w:firstLine="709"/>
        <w:jc w:val="both"/>
      </w:pPr>
      <w:r>
        <w:rPr>
          <w:rFonts w:ascii="Times New Roman" w:hAnsi="Times New Roman" w:cs="Times New Roman" w:eastAsia="Times New Roman"/>
          <w:sz w:val="28"/>
        </w:rPr>
        <w:t xml:space="preserve">Moliyaviy barqarorlikni baholashning amaliy qiymati bankning joriy holatini tavsiflash bilan emas, balki muammo yuzaga kelishidan oldin uni aniqlash imkoniyati bilan belgilanadi. Bank nazorati amaliyotida bu vazifani erta ogohlantirish tizimlari bajaradi. Bazel qo‘mitasining nazorat organlari tajribasiga bag‘ishlangan tadqiqotida bunday tizimlar nazorat reytinglari, moliyaviy koeffitsiyentlar tahlili, bankni guruhdosh banklar bilan solishtirish va statistik bashorat modellariga ajratilgan hamda nazorat organlarining ko‘pchiligi ularni birgalikda qo‘llashi qayd etilgan</w:t>
      </w:r>
      <w:r>
        <w:rPr>
          <w:rStyle w:val="FootnoteReference"/>
        </w:rPr>
        <w:footnoteReference w:id="20"/>
      </w:r>
      <w:r>
        <w:rPr>
          <w:rFonts w:ascii="Times New Roman" w:hAnsi="Times New Roman" w:cs="Times New Roman" w:eastAsia="Times New Roman"/>
          <w:sz w:val="28"/>
        </w:rPr>
        <w:t xml:space="preserve">. R. Cole va J. Gunther AQSh banklari misolida masofaviy monitoring uchun ishlab chiqilgan statistik model joyida o‘tkaziladigan tekshiruv natijasida berilgan CAMELS reytingidan ko‘ra bank bankrotligini aniqroq bashorat qilishini, chunki reyting tekshiruvdan keyin tez eskirishini ko‘rsatgan</w:t>
      </w:r>
      <w:r>
        <w:rPr>
          <w:rStyle w:val="FootnoteReference"/>
        </w:rPr>
        <w:footnoteReference w:id="21"/>
      </w:r>
      <w:r>
        <w:rPr>
          <w:rFonts w:ascii="Times New Roman" w:hAnsi="Times New Roman" w:cs="Times New Roman" w:eastAsia="Times New Roman"/>
          <w:sz w:val="28"/>
        </w:rPr>
        <w:t xml:space="preserve">. II bob tahlili O‘zbekistonda xuddi shunday muammo mavjudligini ko‘rsatdi: «Mikrokreditbank» ATB ning 2024-yildagi 1 703,8 mlrd so‘mlik zarari amaldagi prudensial me’yorlar bajarilgan sharoitda yuzaga kelgan, uning milliy hisobotda tan olinishi esa MHXS hisobotiga nisbatan bir yil kechikkan. Shu sababli ushbu paragrafda 3.1-paragrafda taklif etilgan integral indeksning bashorat kuchi tekshiriladi va uning asosida erta ogohlantirish tizimi taklif etiladi. Xalqaro amaliyotda qo‘llanadigan asosiy yondashuvlar 4.1.1-jadvalda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4.1.1-jadval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erta ogohlantirish tizimlarining asosiy yondashuvlari</w:t>
      </w:r>
      <w:r>
        <w:rPr>
          <w:rStyle w:val="FootnoteReference"/>
        </w:rPr>
        <w:footnoteReference w:id="2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2608"/>
        <w:gridCol w:w="2381"/>
        <w:gridCol w:w="2494"/>
      </w:tblGrid>
      <w:tr>
        <w:trPr>
          <w:tblHeader w:val="true"/>
          <w:cantSplit/>
          <w:tblHeader/>
        </w:trPr>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Yondashuv</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Mohiyati</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Afzalligi</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Cheklovi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Nazorat reytinglari (CAMELS)</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Joyida tekshiruv natijasida bankka 1–5 ball beriladi</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Sifat omillarini, jumladan boshqaruv sifatini hisobga oladi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Tekshiruvlar oralig‘ida eskiradi, bashorat elementi yo‘q</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Signallar usuli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Har bir ko‘rsatkich chegaradan o‘tganda signal beriladi, chegara xatolar nisbati bo‘yicha tanlanadi</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Sodda, natijasi oson talqin qilinadi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Ko‘rsatkichlar alohida baholanadi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Statistik bashorat modellari (logit, probit)</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Muammo ehtimoli bir nechta ko‘rsatkich orqali baholanadi (AQSh Federal rezerv tizimidagi FIMS modeli)</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Ehtimol shaklidagi miqdoriy natija beradi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Muammo hodisalari bo‘yicha yetarli tarixiy ma’lumot talab qiladi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Bozor va buxgalteriya ko‘rsatkichlari (Z-score)</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Kapital va daromadlilikning tebranuvchanlikka nisbati</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Kam ma’lumot talab qiladi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Davlat ko‘magini bankning o‘z barqarorligi sifatida qabul qiladi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Integral indeks asosidagi tizim (taklif)</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Indeks qiymatiga qarab bank uch zonadan biriga kiritiladi, har bir zona uchun choralar belgilanadi</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Bashorat kuchini bloklar bo‘yicha sabab tahlili bilan birlashtiradi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Chegaralar muntazam qayta tekshirilishi lozim</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erta ogohlantirish tizimlari ikki asosiy yo‘nalishda rivojlangan. Birinchisi, G. Kaminsky va C. Reinhart tomonidan bank va valyuta inqirozlarini bashorat qilish uchun ishlab chiqilgan signallar usuli bo‘lib, unda har bir ko‘rsatkich uchun noto‘g‘ri signallar ulushini to‘g‘ri signallar ulushiga nisbatan minimallashtiruvchi chegara tanlanadi</w:t>
      </w:r>
      <w:r>
        <w:rPr>
          <w:rStyle w:val="FootnoteReference"/>
        </w:rPr>
        <w:footnoteReference w:id="23"/>
      </w:r>
      <w:r>
        <w:rPr>
          <w:rStyle w:val="FootnoteReference"/>
        </w:rPr>
        <w:footnoteReference w:id="24"/>
      </w:r>
      <w:r>
        <w:rPr>
          <w:rFonts w:ascii="Times New Roman" w:hAnsi="Times New Roman" w:cs="Times New Roman" w:eastAsia="Times New Roman"/>
          <w:sz w:val="28"/>
        </w:rPr>
        <w:t xml:space="preserve">. Ikkinchisi, A. Demirgüç-Kunt va E. Detragiache tomonidan bank inqirozlarini tahlil qilishda qo‘llangan logit modellar bo‘lib, ular muammo ehtimolini bir nechta omil asosida baholaydi</w:t>
      </w:r>
      <w:r>
        <w:rPr>
          <w:rStyle w:val="FootnoteReference"/>
        </w:rPr>
        <w:footnoteReference w:id="25"/>
      </w:r>
      <w:r>
        <w:rPr>
          <w:rFonts w:ascii="Times New Roman" w:hAnsi="Times New Roman" w:cs="Times New Roman" w:eastAsia="Times New Roman"/>
          <w:sz w:val="28"/>
        </w:rPr>
        <w:t xml:space="preserve">. E. Davis va D. Karim bu ikki yondashuvni solishtirib, logit modellar ko‘p mamlakatli global tizimlar uchun, signallar usuli esa alohida mamlakat uchun qurilgan tizimlarda maqbulroq ekanini ko‘rsatgan</w:t>
      </w:r>
      <w:r>
        <w:rPr>
          <w:rStyle w:val="FootnoteReference"/>
        </w:rPr>
        <w:footnoteReference w:id="26"/>
      </w:r>
      <w:r>
        <w:rPr>
          <w:rFonts w:ascii="Times New Roman" w:hAnsi="Times New Roman" w:cs="Times New Roman" w:eastAsia="Times New Roman"/>
          <w:sz w:val="28"/>
        </w:rPr>
        <w:t xml:space="preserve">. O.I. Lavrushin va I.D. Mamonova esa AQSh Federal rezerv tizimining FIMS modeli 48 306 ta kuzatuv asosida sinovdan o‘tkazilganini va oldingi tizimga nisbatan bashorat aniqligini sezilarli oshirganini qayd etib, muammoli kreditlar ulushining 5 foizdan oshishini erta ogohlantirish signallaridan biri sifatida keltiradi</w:t>
      </w:r>
      <w:r>
        <w:rPr>
          <w:rStyle w:val="FootnoteReference"/>
        </w:rPr>
        <w:footnoteReference w:id="27"/>
      </w:r>
      <w:r>
        <w:rPr>
          <w:rFonts w:ascii="Times New Roman" w:hAnsi="Times New Roman" w:cs="Times New Roman" w:eastAsia="Times New Roman"/>
          <w:sz w:val="28"/>
        </w:rPr>
        <w:t xml:space="preserve">. Yevropa banklari misolida F. Betz va hammualliflar bank darajasidagi ko‘rsatkichlarni makroiqtisodiy ko‘rsatkichlar bilan birlashtirish bashorat aniqligini oshirishini aniqlagan</w:t>
      </w:r>
      <w:r>
        <w:rPr>
          <w:rStyle w:val="FootnoteReference"/>
        </w:rPr>
        <w:footnoteReference w:id="28"/>
      </w:r>
      <w:r>
        <w:rPr>
          <w:rFonts w:ascii="Times New Roman" w:hAnsi="Times New Roman" w:cs="Times New Roman" w:eastAsia="Times New Roman"/>
          <w:sz w:val="28"/>
        </w:rPr>
        <w:t xml:space="preserve">, L. Chiaramonte va F. Poli esa Z-score muammoga uchragan banklarning 75 foizini to‘g‘ri aniqlashini ko‘rsatgan</w:t>
      </w:r>
      <w:r>
        <w:rPr>
          <w:rStyle w:val="FootnoteReference"/>
        </w:rPr>
        <w:footnoteReference w:id="29"/>
      </w:r>
      <w:r>
        <w:rPr>
          <w:rFonts w:ascii="Times New Roman" w:hAnsi="Times New Roman" w:cs="Times New Roman" w:eastAsia="Times New Roman"/>
          <w:sz w:val="28"/>
        </w:rPr>
        <w:t xml:space="preserve">. Biroq bu natijalar xususiy banklar ustun bo‘lgan bank tizimlarida olingan bo‘lib, davlat ulushi yuqori bo‘lgan tizimda ularning qo‘llanilishi alohida tekshirilishi lozim.</w:t>
      </w:r>
    </w:p>
    <w:p>
      <w:pPr>
        <w:pStyle w:val="BodyText"/>
        <w:spacing w:line="360" w:lineRule="auto" w:before="0" w:after="0"/>
        <w:ind w:firstLine="709"/>
        <w:jc w:val="both"/>
      </w:pPr>
      <w:r>
        <w:rPr>
          <w:rFonts w:ascii="Times New Roman" w:hAnsi="Times New Roman" w:cs="Times New Roman" w:eastAsia="Times New Roman"/>
          <w:sz w:val="28"/>
        </w:rPr>
        <w:t xml:space="preserve">Erta ogohlantirish tizimini qurishda birinchi navbatda bashorat qilinadigan hodisani aniq belgilash zarur. O‘zbekistonda 2021–2025-yillarda tijorat banklarining bankrotligi kuzatilmagan, chunki muammoli banklar, ayniqsa davlat banklari, qayta kapitallashtirish orqali qo‘llab-quvvatlangan. Shu sababli bankrotlik o‘rniga uning oldingi bosqichi, ya’ni bankning bir chorak davomida kapitalining kamida 5 foizini zarar sifatida yo‘qotishi muammo hodisasi sifatida olindi. Bu chegara bankning yillik me’yoriy daromadlilik darajasini hisobga olganda kapitalning sezilarli qisqarishini anglatadi va odatda nazorat organining aralashuvi yoki aksiyadorlar tomonidan qo‘shimcha kapital kiritilishini talab qiladi. Kapitalga qo‘shimcha mablag‘ kiritilishi hodisa sifatida olinmadi, chunki tahlil qilingan davrda xususiy banklar ham faoliyatni kengaytirish maqsadida kapitalini oshirgan. Hisob-kitoblar 3.3-paragrafda shakllantirilgan 25 ta bank paneli asosida amalga oshirildi. Natijada 2021–2025-yillarda sakkiz bankda 10 ta muammo hodisasi aniqlandi (4.1.2-jadval).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banklarda 2021–2025-yillarda aniqlangan muammo hodisalari</w:t>
      </w:r>
      <w:r>
        <w:rPr>
          <w:rStyle w:val="FootnoteReference"/>
        </w:rPr>
        <w:footnoteReference w:id="30"/>
      </w:r>
    </w:p>
    <w:tbl>
      <w:tblPr>
        <w:tblStyle w:val="Table"/>
        <w:tblW w:type="auto" w:w="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9"/>
        <w:gridCol w:w="2494"/>
        <w:gridCol w:w="2835"/>
      </w:tblGrid>
      <w:tr>
        <w:trPr>
          <w:tblHeader w:val="true"/>
          <w:cantSplit/>
          <w:tblHeader/>
        </w:trPr>
        <w:tc>
          <w:tcPr>
            <w:tcW w:type="dxa" w:w="396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Chorak</w:t>
            </w:r>
          </w:p>
        </w:tc>
        <w:tc>
          <w:tcPr>
            <w:tcW w:type="dxa" w:w="28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Chorak zararining kapitalga nisbati, %</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«Anor 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2022-y. I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9,2</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«Biznesni rivojlantirish banki»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2024-y. I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12,4</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«Biznesni rivojlantirish banki»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2024-y. IV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48,2</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«Garant 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2024-y. IV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23,0</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«Invest Finance 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2022-y. II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8,3</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«Ipoteka-bank»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2024-y. IV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5,5</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«Mikrokreditbank»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2024-y. IV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43,4</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«Tibisi 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2022-y. II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12,2</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«Tibisi bank»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2022-y. III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15,4</w:t>
            </w:r>
          </w:p>
        </w:tc>
      </w:tr>
      <w:tr>
        <w:trPr>
          <w:cantSplit/>
        </w:trPr>
        <w:tc>
          <w:tcPr>
            <w:tcW w:type="dxa" w:w="3969"/>
          </w:tcPr>
          <w:p>
            <w:pPr>
              <w:pStyle w:val="Compact"/>
              <w:spacing w:line="240" w:lineRule="auto"/>
              <w:ind w:firstLine="0"/>
              <w:jc w:val="left"/>
            </w:pPr>
            <w:r>
              <w:rPr>
                <w:rFonts w:ascii="Times New Roman" w:hAnsi="Times New Roman" w:cs="Times New Roman" w:eastAsia="Times New Roman"/>
                <w:sz w:val="22"/>
              </w:rPr>
              <w:t xml:space="preserve">«Xalq banki» ATB</w:t>
            </w:r>
          </w:p>
        </w:tc>
        <w:tc>
          <w:tcPr>
            <w:tcW w:type="dxa" w:w="2494"/>
          </w:tcPr>
          <w:p>
            <w:pPr>
              <w:pStyle w:val="Compact"/>
              <w:spacing w:line="240" w:lineRule="auto"/>
              <w:ind w:firstLine="0"/>
              <w:jc w:val="center"/>
            </w:pPr>
            <w:r>
              <w:rPr>
                <w:rFonts w:ascii="Times New Roman" w:hAnsi="Times New Roman" w:cs="Times New Roman" w:eastAsia="Times New Roman"/>
                <w:sz w:val="22"/>
              </w:rPr>
              <w:t xml:space="preserve">2022-y. IV chorak</w:t>
            </w:r>
          </w:p>
        </w:tc>
        <w:tc>
          <w:tcPr>
            <w:tcW w:type="dxa" w:w="2835"/>
          </w:tcPr>
          <w:p>
            <w:pPr>
              <w:pStyle w:val="Compact"/>
              <w:spacing w:line="240" w:lineRule="auto"/>
              <w:ind w:firstLine="0"/>
              <w:jc w:val="center"/>
            </w:pPr>
            <w:r>
              <w:rPr>
                <w:rFonts w:ascii="Times New Roman" w:hAnsi="Times New Roman" w:cs="Times New Roman" w:eastAsia="Times New Roman"/>
                <w:sz w:val="22"/>
              </w:rPr>
              <w:t xml:space="preserve">5,7</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muammo hodisalari ikki davrda to‘plangan. 2022-yilda ular asosan nisbatan yangi va kichik xususiy banklarda («Anor bank», «Tibisi bank», «Invest Finance bank») hamda 2021-yildagi yirik zarardan keyin tiklanish bosqichidagi «Xalq banki» ATB da kuzatilgan. 2024-yilda esa hodisalar yirik davlat banklarida («Mikrokreditbank», «Biznesni rivojlantirish banki») va xususiylashtirilgan «Ipoteka-bank» ATB da yuz bergan bo‘lib, ularning ko‘lami ancha katta: «Mikrokreditbank» ATB va «Biznesni rivojlantirish banki» ATB bir chorakda kapitalining mos ravishda 43 va 48 foizini yo‘qotgan. Bu hodisalar II bobda aniqlangan yashirin kredit riskining bir yo‘la tan olinishi bilan bog‘liq bo‘lib, ular erta ogohlantirish tizimi uchun eng muhim sinov hisoblanadi.</w:t>
      </w:r>
    </w:p>
    <w:p>
      <w:pPr>
        <w:pStyle w:val="BodyText"/>
        <w:spacing w:line="360" w:lineRule="auto" w:before="0" w:after="0"/>
        <w:ind w:firstLine="709"/>
        <w:jc w:val="both"/>
      </w:pPr>
      <w:r>
        <w:rPr>
          <w:rFonts w:ascii="Times New Roman" w:hAnsi="Times New Roman" w:cs="Times New Roman" w:eastAsia="Times New Roman"/>
          <w:sz w:val="28"/>
        </w:rPr>
        <w:t xml:space="preserve">Bashorat masalasi quyidagicha qo‘yildi: har bir bank-chorak kuzatuvi uchun bank keyingi to‘rt chorak ichida muammo hodisasiga uchraydimi yoki yo‘qmi, aniqlanadi. To‘rt chorak muddat nazorat organi va bank rahbariyatiga tuzatish choralarini ko‘rish uchun yetarli vaqtni ta’minlaydi. Tahlil davri 2021–2025-yillarni qamraydi: muammo hodisalari 2021-yil IV choragidan 2025-yil IV choragigacha bo‘lgan davrda aniqlandi, bashorat qiluvchi ko‘rsatkichlar sifatida esa 2021-yil IV choragidan 2024-yil IV choragigacha bo‘lgan kuzatuvlar olindi, chunki 2025-yil kuzatuvlari uchun keyingi to‘rt chorak 2026-yilga to‘g‘ri keladi va tahlil davridan tashqarida bo‘ladi. Hodisa yuz bergan chorakning o‘zi tahlildan chiqarildi. Natijada 308 ta kuzatuv shakllandi, ulardan 26 tasi, ya’ni 8,4 foizi muammo hodisasidan oldingi davrga to‘g‘ri keladi. Ko‘rsatkichlarning bashorat kuchi ROC egri chizig‘i ostidagi maydon (AUC) bilan o‘lchandi</w:t>
      </w:r>
      <w:r>
        <w:rPr>
          <w:rStyle w:val="FootnoteReference"/>
        </w:rPr>
        <w:footnoteReference w:id="31"/>
      </w:r>
      <w:r>
        <w:rPr>
          <w:rFonts w:ascii="Times New Roman" w:hAnsi="Times New Roman" w:cs="Times New Roman" w:eastAsia="Times New Roman"/>
          <w:sz w:val="28"/>
        </w:rPr>
        <w:t xml:space="preserve">. Bu ko‘rsatkich tasodifiy tanlangan muammoli bankning ko‘rsatkichi tasodifiy tanlangan sog‘lom bankning ko‘rsatkichidan yomonroq bo‘lish ehtimolini bildiradi: 0,5 qiymat bashorat kuchi yo‘qligini, 1 esa mukammal bashoratni anglatadi, amaliyotda esa 0,7 dan yuqori qiymat qoniqarli, 0,8 dan yuqorisi esa yaxshi deb hisoblanadi</w:t>
      </w:r>
      <w:r>
        <w:rPr>
          <w:rStyle w:val="FootnoteReference"/>
        </w:rPr>
        <w:footnoteReference w:id="32"/>
      </w:r>
      <w:r>
        <w:rPr>
          <w:rFonts w:ascii="Times New Roman" w:hAnsi="Times New Roman" w:cs="Times New Roman" w:eastAsia="Times New Roman"/>
          <w:sz w:val="28"/>
        </w:rPr>
        <w:t xml:space="preserve">. Integral indeks va uning tarkibiy qismlari hamda muqobil ko‘rsatkichlar bo‘yicha natijalar 4.1.3-jadvalda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4.1.3-jadval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Ko‘rsatkichlarning muammo hodisalarini to‘rt chorak oldin bashorat qilish kuchi</w:t>
      </w:r>
      <w:r>
        <w:rPr>
          <w:rStyle w:val="FootnoteReference"/>
        </w:rPr>
        <w:footnoteReference w:id="3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1474"/>
        <w:gridCol w:w="1587"/>
        <w:gridCol w:w="1360"/>
        <w:gridCol w:w="2041"/>
      </w:tblGrid>
      <w:tr>
        <w:trPr>
          <w:tblHeader w:val="true"/>
          <w:cantSplit/>
          <w:tblHeader/>
        </w:trPr>
        <w:tc>
          <w:tcPr>
            <w:tcW w:type="dxa" w:w="28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Kuzatuvlar soni</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Shundan hodisadan oldingi</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AUC</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95 % ishonch oralig‘i</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Aktivlar sifati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0,895</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0,81 – 0,96</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MBII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0,864</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0,76 – 0,95</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Muammoli kreditlar ulushi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0,862</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0,76 – 0,94</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Daromadlilik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0,777</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0,68 – 0,86</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ROA</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0,751</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0,63 – 0,85</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Likvidlik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0,579</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0,46 – 0,69</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Kapital / aktivlar</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26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0,445</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0,34 – 0,55</w:t>
            </w:r>
          </w:p>
        </w:tc>
      </w:tr>
      <w:tr>
        <w:trPr>
          <w:cantSplit/>
        </w:trPr>
        <w:tc>
          <w:tcPr>
            <w:tcW w:type="dxa" w:w="2835"/>
          </w:tcPr>
          <w:p>
            <w:pPr>
              <w:pStyle w:val="Compact"/>
              <w:spacing w:line="240" w:lineRule="auto"/>
              <w:ind w:firstLine="0"/>
              <w:jc w:val="left"/>
            </w:pPr>
            <w:r>
              <w:rPr>
                <w:rFonts w:ascii="Times New Roman" w:hAnsi="Times New Roman" w:cs="Times New Roman" w:eastAsia="Times New Roman"/>
                <w:sz w:val="22"/>
              </w:rPr>
              <w:t xml:space="preserve">ln(Z-score)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214</w:t>
            </w:r>
          </w:p>
        </w:tc>
        <w:tc>
          <w:tcPr>
            <w:tcW w:type="dxa" w:w="1587"/>
          </w:tcPr>
          <w:p>
            <w:pPr>
              <w:pStyle w:val="Compact"/>
              <w:spacing w:line="240" w:lineRule="auto"/>
              <w:ind w:firstLine="0"/>
              <w:jc w:val="center"/>
            </w:pPr>
            <w:r>
              <w:rPr>
                <w:rFonts w:ascii="Times New Roman" w:hAnsi="Times New Roman" w:cs="Times New Roman" w:eastAsia="Times New Roman"/>
                <w:sz w:val="22"/>
              </w:rPr>
              <w:t xml:space="preserve">18</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0,419</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0,24 – 0,60</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ishonch oralig‘i 2000 ta bootstrap tanlanma asosida hisoblangan.</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integral indeks muammo hodisalarini yaxshi bashorat qiladi: uning AUC qiymati 0,864 ni tashkil etib, ishonch oralig‘ining quyi chegarasi ham 0,76 dan yuqori. Indeks bloklari ichida eng yuqori bashorat kuchiga aktivlar sifati bloki (0,895), so‘ngra daromadlilik bloki (0,777) ega, likvidlik bloki esa muammo hodisalarini deyarli bashorat qilmaydi (0,579). Bu natija qisqa muddatli zararlarning asosiy manbai kredit riski ekanini ko‘rsatadi, likvidlik muammolari esa tahlil qilingan davrda zararga olib kelmagan. Eng muhim natija shundaki, Z-score ning AUC qiymati 0,419 ni tashkil etib, 0,5 dan ham past, ya’ni u muammo hodisalarini umuman bashorat qilmaydi. Z-score mavjud bo‘lgan umumiy kuzatuvlarda integral indeksning AUC qiymati 0,957 ni tashkil etadi va E. DeLong testiga ko‘ra ikki ko‘rsatkich o‘rtasidagi farq 1 foiz darajada statistik ahamiyatli</w:t>
      </w:r>
      <w:r>
        <w:rPr>
          <w:rStyle w:val="FootnoteReference"/>
        </w:rPr>
        <w:footnoteReference w:id="34"/>
      </w:r>
      <w:r>
        <w:rPr>
          <w:rFonts w:ascii="Times New Roman" w:hAnsi="Times New Roman" w:cs="Times New Roman" w:eastAsia="Times New Roman"/>
          <w:sz w:val="28"/>
        </w:rPr>
        <w:t xml:space="preserve">. Kapitalning aktivlarga nisbati ham muammolarni bashorat qilmaydi (0,445), chunki 3.3-paragrafda ko‘rsatilganidek, tahlil qilingan banklarda bu ko‘rsatkich me’yordan ancha yuqori va davlat banklarida qayta kapitallashtirish hisobiga saqlanadi. Shu bilan birga, muammoli kreditlar ulushining o‘zi ham integral indeksga yaqin bashorat kuchiga ega (0,862), ular o‘rtasidagi farq statistik ahamiyatsiz. Demak, integral indeksning bashorat kuchi asosan aktivlar sifati bloki hisobiga ta’minlanadi, uning afzalligi esa bashorat kuchida emas, balki muammo manbasini bloklar bo‘yicha ko‘rsatish va bir vaqtning o‘zida daromadlilik va likvidlik holatini hisobga olishdadir. Ko‘rsatkichlarning bashorat kuchidagi farq 4.1.1-rasmda yaqqol ko‘rinadi.</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4.1.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4.1.1-rasm. Integral indeks, muammoli kreditlar ulushi va Z-score bo‘yicha ROC egri chiziqlari</w:t>
      </w:r>
      <w:r>
        <w:rPr>
          <w:rStyle w:val="FootnoteReference"/>
        </w:rPr>
        <w:footnoteReference w:id="3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integral indeks va muammoli kreditlar ulushining ROC egri chiziqlari tasodifiy bashorat chizig‘idan ancha yuqorida joylashgan. Masalan, noto‘g‘ri signallar ulushi 10 foiz bo‘lganda integral indeks muammo hodisalarining qariyb 70 foizini oldindan aniqlaydi. Z-score ning egri chizig‘i esa tasodifiy bashorat chizig‘i atrofida va ayrim qismlarda undan pastda joylashgan. Bu holatni 3.3-paragrafda aniqlangan omil izohlaydi: Z-score daromadlilikning past darajasiga emas, uning tebranuvchanligiga sezgir, davlat ko‘magi esa muammoli banklarning daromadliligini sun’iy ravishda barqarorlashtiradi. Shunday qilib, L. Chiaramonte va F. Poli tomonidan Yevropa banklari uchun tasdiqlangan Z-score ning bashorat kuchi</w:t>
      </w:r>
      <w:r>
        <w:rPr>
          <w:rStyle w:val="FootnoteReference"/>
        </w:rPr>
        <w:footnoteReference w:id="3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davlat ulushi yuqori bo‘lgan O‘zbekiston bank tizimida tasdiqlanmaydi, bu esa milliy sharoitga moslashtirilgan integral ko‘rsatkichdan foydalanish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qiymatini muammo ehtimoliga aylantirish uchun logit modellar baholandi. Logit model bog‘liq o‘zgaruvchi ikki qiymatli bo‘lgan holatda hodisa ehtimolini omillarning logistik funksiyasi sifatida ifodalaydi</w:t>
      </w:r>
      <w:r>
        <w:rPr>
          <w:rStyle w:val="FootnoteReference"/>
        </w:rPr>
        <w:footnoteReference w:id="37"/>
      </w:r>
      <w:r>
        <w:rPr>
          <w:rStyle w:val="FootnoteReference"/>
        </w:rPr>
        <w:footnoteReference w:id="38"/>
      </w:r>
      <w:r>
        <w:rPr>
          <w:rFonts w:ascii="Times New Roman" w:hAnsi="Times New Roman" w:cs="Times New Roman" w:eastAsia="Times New Roman"/>
          <w:sz w:val="28"/>
        </w:rPr>
        <w:t xml:space="preserve">. Taqqoslash maqsadida Z-score asosidagi, indeks bloklari asosidagi va davlat ulushini hisobga olgan modellar ham baholandi (4.1.4-jadval).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4.1.4-jadval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Muammo hodisasi ehtimolini baholovchi logit modellar natijalari</w:t>
      </w:r>
      <w:r>
        <w:rPr>
          <w:rStyle w:val="FootnoteReference"/>
        </w:rPr>
        <w:footnoteReference w:id="3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74"/>
        <w:gridCol w:w="1474"/>
        <w:gridCol w:w="1474"/>
        <w:gridCol w:w="1417"/>
        <w:gridCol w:w="1417"/>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1-model</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2-model</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3-model</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4-model</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5-model</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Konstanta</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9,61*** (3,18)</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−3,57 (2,31)</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19,14*** (5,99)</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4,36** (1,92)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12,29*** (3,99)</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MBII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−3,86*** (1,12)</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−7,05*** (1,88)</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−4,49*** (1,27)</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ln(Z-score)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0,44 (0,78)</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−0,15 (0,53)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Aktivlar sifati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−2,05*** (0,50)</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Likvidlik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0,09 (0,34)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Daromadlilik bloki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−0,29 (0,34)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−1,35* (0,79)</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214</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214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308</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Psevdo-R²</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0,31</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0,01</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0,53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0,41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0,35</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AUC</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0,864</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0,581</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0,955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0,911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0,887</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2- va 3-modellar Z-score hisoblash uchun yetarli tarix mavjud bo‘lgan kuzatuvlar asosida baholangan.</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integral indeks koeffitsiyenti barcha modellarda manfiy va 1 foiz darajada ahamiyatli. 1-modelga ko‘ra, indeksning 0,25 ballga pasayishi keyingi to‘rt chorakda muammo hodisasi yuz berish imkoniyatlari nisbatini (odds) 2,6 barobar oshiradi. Z-score asosidagi 2-model esa statistik ahamiyatsiz bo‘lib, uning psevdo-R² ko‘rsatkichi 0,01 ni tashkil etadi. Ikki ko‘rsatkich birgalikda kiritilgan 3-modelda Z-score ahamiyatsizligicha qolgan, integral indeks esa ahamiyatini saqlab, model AUC qiymati 0,955 gacha oshgan. Bloklar asosidagi 4-model bashorat kuchini 0,911 gacha oshiradi, biroq unda faqat aktivlar sifati bloki ahamiyatli. 5-model qiziqarli natija beradi: integral indeks bir xil bo‘lganda davlat banklarida muammo hodisasi ehtimoli pastroq (koeffitsiyent −1,35, 10 foiz darajada ahamiyatli). Bu davlat ko‘magi zararlarning tan olinishini kechiktirishi yoki ularni qisman qoplashi bilan izohlanadi va 3.2-paragrafda olingan davlat ko‘magisiz baho bo‘yicha xulosani qo‘shimcha tasdiqlaydi. 1-model asosida integral indeksning har bir qiymatiga mos muammo ehtimoli 4.1.2-rasmda ko‘rsatilgan.</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4.1.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4.1.2-rasm. Integral indeks qiymatiga qarab keyingi to‘rt chorakda muammo hodisasi yuz berish ehtimoli, foizda</w:t>
      </w:r>
      <w:r>
        <w:rPr>
          <w:rStyle w:val="FootnoteReference"/>
        </w:rPr>
        <w:footnoteReference w:id="4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muammo ehtimoli integral indeks pasayishi bilan chiziqli emas, balki tezlashib oshadi. Indeks 3,75 ballga teng bo‘lganda ehtimol 0,8 foizni, 3,25 ballda 5,0 foizni tashkil etsa, 2,75 ballda u 26,6 foizgacha, 2,5 ballda esa 48,8 foizgacha oshadi. Demak, 3,25 balldan yuqori, ya’ni 3.1-paragrafda belgilangan I sinfga kiruvchi banklarda muammo ehtimoli juda past, 2,75 balldan pastda esa har to‘rtinchi bankda bir yil ichida jiddiy zarar kutiladi. Shu sababli erta ogohlantirish tizimining chegaralarini aynan shu ikki nuqta atrofida belgilash maqsadga muvofiq. Chegaralarni aniqlash uchun G. Kaminsky va C. Reinhart signallar usuli qo‘llandi</w:t>
      </w:r>
      <w:r>
        <w:rPr>
          <w:rStyle w:val="FootnoteReference"/>
        </w:rPr>
        <w:footnoteReference w:id="41"/>
      </w:r>
      <w:r>
        <w:rPr>
          <w:rFonts w:ascii="Times New Roman" w:hAnsi="Times New Roman" w:cs="Times New Roman" w:eastAsia="Times New Roman"/>
          <w:sz w:val="28"/>
        </w:rPr>
        <w:t xml:space="preserve">: har bir chegara uchun ikki turdagi xato hisoblandi. I tur xato muammo hodisasidan oldin signal berilmagan holatlar ulushini, II tur xato esa muammo yuz bermagan holatda berilgan noto‘g‘ri signallar ulushini bildiradi (4.1.5-jadval).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4.1.5-jadval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Integral indeksning turli chegaralarida erta ogohlantirish signallarining aniqligi</w:t>
      </w:r>
      <w:r>
        <w:rPr>
          <w:rStyle w:val="FootnoteReference"/>
        </w:rPr>
        <w:footnoteReference w:id="4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60"/>
        <w:gridCol w:w="1247"/>
        <w:gridCol w:w="1474"/>
        <w:gridCol w:w="1247"/>
        <w:gridCol w:w="1304"/>
        <w:gridCol w:w="1304"/>
        <w:gridCol w:w="1360"/>
      </w:tblGrid>
      <w:tr>
        <w:trPr>
          <w:tblHeader w:val="true"/>
          <w:cantSplit/>
          <w:tblHeader/>
        </w:trPr>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MBII chegarasi</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To‘g‘ri signal</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O‘tkazib yuborilgan hodisa</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Noto‘g‘ri signal</w:t>
            </w:r>
          </w:p>
        </w:tc>
        <w:tc>
          <w:tcPr>
            <w:tcW w:type="dxa" w:w="130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 tur xato, %</w:t>
            </w:r>
          </w:p>
        </w:tc>
        <w:tc>
          <w:tcPr>
            <w:tcW w:type="dxa" w:w="130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II tur xato, %</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Shovqin/signal nisbati</w:t>
            </w:r>
          </w:p>
        </w:tc>
      </w:tr>
      <w:tr>
        <w:trPr>
          <w:cantSplit/>
        </w:trPr>
        <w:tc>
          <w:tcPr>
            <w:tcW w:type="dxa" w:w="1361"/>
          </w:tcPr>
          <w:p>
            <w:pPr>
              <w:pStyle w:val="Compact"/>
              <w:spacing w:line="240" w:lineRule="auto"/>
              <w:ind w:firstLine="0"/>
              <w:jc w:val="left"/>
            </w:pPr>
            <w:r>
              <w:rPr>
                <w:rFonts w:ascii="Times New Roman" w:hAnsi="Times New Roman" w:cs="Times New Roman" w:eastAsia="Times New Roman"/>
                <w:sz w:val="22"/>
              </w:rPr>
              <w:t xml:space="preserve">2,75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17</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17</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34,6</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6,0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0,09</w:t>
            </w:r>
          </w:p>
        </w:tc>
      </w:tr>
      <w:tr>
        <w:trPr>
          <w:cantSplit/>
        </w:trPr>
        <w:tc>
          <w:tcPr>
            <w:tcW w:type="dxa" w:w="1361"/>
          </w:tcPr>
          <w:p>
            <w:pPr>
              <w:pStyle w:val="Compact"/>
              <w:spacing w:line="240" w:lineRule="auto"/>
              <w:ind w:firstLine="0"/>
              <w:jc w:val="left"/>
            </w:pPr>
            <w:r>
              <w:rPr>
                <w:rFonts w:ascii="Times New Roman" w:hAnsi="Times New Roman" w:cs="Times New Roman" w:eastAsia="Times New Roman"/>
                <w:sz w:val="22"/>
              </w:rPr>
              <w:t xml:space="preserve">2,85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18</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8</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23</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30,8</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8,2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0,12</w:t>
            </w:r>
          </w:p>
        </w:tc>
      </w:tr>
      <w:tr>
        <w:trPr>
          <w:cantSplit/>
        </w:trPr>
        <w:tc>
          <w:tcPr>
            <w:tcW w:type="dxa" w:w="1361"/>
          </w:tcPr>
          <w:p>
            <w:pPr>
              <w:pStyle w:val="Compact"/>
              <w:spacing w:line="240" w:lineRule="auto"/>
              <w:ind w:firstLine="0"/>
              <w:jc w:val="left"/>
            </w:pPr>
            <w:r>
              <w:rPr>
                <w:rFonts w:ascii="Times New Roman" w:hAnsi="Times New Roman" w:cs="Times New Roman" w:eastAsia="Times New Roman"/>
                <w:sz w:val="22"/>
              </w:rPr>
              <w:t xml:space="preserve">3,00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20</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6</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49</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23,1</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17,4</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0,23</w:t>
            </w:r>
          </w:p>
        </w:tc>
      </w:tr>
      <w:tr>
        <w:trPr>
          <w:cantSplit/>
        </w:trPr>
        <w:tc>
          <w:tcPr>
            <w:tcW w:type="dxa" w:w="1361"/>
          </w:tcPr>
          <w:p>
            <w:pPr>
              <w:pStyle w:val="Compact"/>
              <w:spacing w:line="240" w:lineRule="auto"/>
              <w:ind w:firstLine="0"/>
              <w:jc w:val="left"/>
            </w:pPr>
            <w:r>
              <w:rPr>
                <w:rFonts w:ascii="Times New Roman" w:hAnsi="Times New Roman" w:cs="Times New Roman" w:eastAsia="Times New Roman"/>
                <w:sz w:val="22"/>
              </w:rPr>
              <w:t xml:space="preserve">3,25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86</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15,4</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30,5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0,36</w:t>
            </w:r>
          </w:p>
        </w:tc>
      </w:tr>
      <w:tr>
        <w:trPr>
          <w:cantSplit/>
        </w:trPr>
        <w:tc>
          <w:tcPr>
            <w:tcW w:type="dxa" w:w="1361"/>
          </w:tcPr>
          <w:p>
            <w:pPr>
              <w:pStyle w:val="Compact"/>
              <w:spacing w:line="240" w:lineRule="auto"/>
              <w:ind w:firstLine="0"/>
              <w:jc w:val="left"/>
            </w:pPr>
            <w:r>
              <w:rPr>
                <w:rFonts w:ascii="Times New Roman" w:hAnsi="Times New Roman" w:cs="Times New Roman" w:eastAsia="Times New Roman"/>
                <w:sz w:val="22"/>
              </w:rPr>
              <w:t xml:space="preserve">3,50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133</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15,4</w:t>
            </w:r>
          </w:p>
        </w:tc>
        <w:tc>
          <w:tcPr>
            <w:tcW w:type="dxa" w:w="1304"/>
          </w:tcPr>
          <w:p>
            <w:pPr>
              <w:pStyle w:val="Compact"/>
              <w:spacing w:line="240" w:lineRule="auto"/>
              <w:ind w:firstLine="0"/>
              <w:jc w:val="center"/>
            </w:pPr>
            <w:r>
              <w:rPr>
                <w:rFonts w:ascii="Times New Roman" w:hAnsi="Times New Roman" w:cs="Times New Roman" w:eastAsia="Times New Roman"/>
                <w:sz w:val="22"/>
              </w:rPr>
              <w:t xml:space="preserve">47,2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0,56</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shovqin/signal nisbati – II tur xatoning to‘g‘ri signallar ulushiga nisbati; uning qiymati qancha past bo‘lsa, signal shuncha ishonchli.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chegara oshirilishi bilan I tur xato kamayadi, II tur xato esa oshadi, ya’ni nazorat organi ko‘proq muammoni oldindan aniqlaydi, ammo ko‘proq sog‘lom banklarga ham ortiqcha e’tibor qaratadi. Ikki turdagi xatolar yig‘indisini minimallashtiruvchi chegara 2,85 ballni tashkil etadi: bunda muammo hodisalarining 69 foizi oldindan aniqlanadi, sog‘lom kuzatuvlarning faqat 8,2 foizida noto‘g‘ri signal beriladi, shovqin/signal nisbati esa 0,12 ga teng. 2,75 ballik chegarada shovqin/signal nisbati eng past (0,09), ya’ni signal eng ishonchli bo‘ladi. 3,25 ballik chegarada esa hodisalarning 85 foizi aniqlanadi, biroq har uchinchi sog‘lom kuzatuv ham signal oladi. Bank nazorati amaliyotida muammoni o‘tkazib yuborish xarajati noto‘g‘ri signal xarajatidan ancha yuqori bo‘lganligi sababli bitta chegara o‘rniga ikki bosqichli tizim qo‘llash maqsadga muvofiq: 3,25 ballik chegara kuchaytirilgan monitoringni, 2,75 ballik chegara esa nazorat choralarini qo‘llashni boshlash uchun asos bo‘lishi mumkin.</w:t>
      </w:r>
    </w:p>
    <w:p>
      <w:pPr>
        <w:pStyle w:val="BodyText"/>
        <w:spacing w:line="360" w:lineRule="auto" w:before="0" w:after="0"/>
        <w:ind w:firstLine="709"/>
        <w:jc w:val="both"/>
      </w:pPr>
      <w:r>
        <w:rPr>
          <w:rFonts w:ascii="Times New Roman" w:hAnsi="Times New Roman" w:cs="Times New Roman" w:eastAsia="Times New Roman"/>
          <w:sz w:val="28"/>
        </w:rPr>
        <w:t xml:space="preserve">Natijalarning ishonchliligini tekshirish uchun vaqtdan tashqari sinov o‘tkazildi: logit model faqat 2021-yil IV choragidan 2022-yil IV choragigacha bo‘lgan 113 ta kuzatuv asosida baholandi va 2023–2024-yillardagi 195 ta kuzatuvga qo‘llandi. Sinov davrida 18 ta kuzatuv muammo hodisasidan oldingi davrga to‘g‘ri kelgan bo‘lib, ular 2024-yildagi yirik zararlarni ham o‘z ichiga oladi. Sinov davrida integral indeksning AUC qiymati 0,95 ni, muammoli kreditlar ulushiniki 0,95 ni, Z-score niki esa 0,42 ni tashkil etdi. Demak, integral indeks model baholangan davrdan keyin yuz bergan muammolarni ham yuqori aniqlik bilan bashorat qilgan. Shu bilan birga, faqat 2022-yil ma’lumotlari asosida tanlangan eng maqbul chegara (2,55 ball) sinov davrida hodisalarning faqat uchdan birini aniqlagan. Bu chegara qisqa davr ma’lumotlari asosida emas, balki bir necha yillik tajriba asosida belgilanishi va muntazam qayta ko‘rib chiqilishi zarurligini ko‘rsatadi.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indeksning erta ogohlantirish signalini qanday berganini tadqiqotning asosiy obyektlari bo‘lgan «Mikrokreditbank» ATB va «O‘zsanoatqurilishbank» ATB misolida ko‘rib chiqish mumkin. Dastlab «Mikrokreditbank» ATB ning integral indeksi dinamikasini ko‘rib chiqamiz (4.1.3-rasm).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4.1.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4.1.3-rasm. «Mikrokreditbank» ATB da milliy hisobot va MHXS hisoboti asosidagi integral indeks hamda erta ogohlantirish chegaralari, 2021–2025-yillar</w:t>
      </w:r>
      <w:r>
        <w:rPr>
          <w:rStyle w:val="FootnoteReference"/>
        </w:rPr>
        <w:footnoteReference w:id="43"/>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bankning integral indeksi 2024-yil IV choragidagi yirik zarardan ancha oldin qizil zonada bo‘lgan. Milliy hisobot asosidagi indeks 2021–2023-yillarda 2,65–2,82 ballni tashkil etib, deyarli barcha choraklarda 2,75 ballik chegaradan pastda bo‘lgan, 2024-yil II–III choraklarida esa 2,36–2,38 ballgacha keskin pasaygan, ya’ni zarar tan olinishidan ikki chorak oldin qo‘shimcha signal bergan. Bu signal bank kapitalining 43 foizini yo‘qotishiga olib kelgan 1 707,7 mlrd so‘mlik chorak zararidan oldin berilgan. Zarar va qayta kapitallashtirishdan keyin indeks 2025-yilda 2,90 ballgacha oshib, sariq zonaga o‘tgan. MHXS hisobotlari asosida 3.2-paragrafda hisoblangan indeks esa butun davr mobaynida 2,20–2,47 ball bilan qizil zonada, ya’ni milliy indeksdan 0,4–0,5 ball pastda bo‘lgan. Bunga aktivlar sifati bloki (1,28–1,53 ball) va daromadlilik bloki (1,00–1,64 ball) sabab bo‘lgan: II bobda ko‘rsatilganidek, bank MHXS bo‘yicha zararni 2023-yildayoq tan olgan, milliy hisobotda esa u bir yil kechikib, 2024-yilda aks etgan. Demak, MHXS ma’lumotlari asosidagi indeks muammo haqida yanada barqaror va kuchli signal bergan, milliy indeks esa signalni faqat chegara atrofida bergan. Xuddi shunday manzara 2024-yilda kapitalining 48 foizini yo‘qotgan «Biznesni rivojlantirish banki» ATB da ham kuzatilgan: uning indeksi 2023-yil IV choragida 2,44 ballgacha va 2024-yil I choragida 2,20 ballgacha pasayib, zararlardan 3–4 chorak oldin qizil zonaga tushgan. Shunga o‘xshash signal «Garant bank» ATB da (2024-yil II–III choraklarida 2,55–2,57 ball), «Ipoteka-bank» ATB da (2024-yil III choragida 2,50 ball) va «Xalq banki» ATB da (2022-yilda 2,35–2,51 ball) ham kuzatilgan. Integral indeks o‘tkazib yuborgan yagona yirik hodisa «Tibisi bank» ATB ning 2022-yildagi zararlaridir: bank faoliyatining dastlabki bosqichida yuqori daromadlilik va kam muammoli kreditlar bilan uning indeksi 3,83 ballni tashkil etgan, zarar esa faoliyatning dastlabki bosqichidagi xarajatlar bilan bog‘liq bo‘lishi mumkin. Bu holat erta ogohlantirish tizimida integral indeks bilan bir qatorda kreditlar o‘sish sur’atini ham kuzatish lozimligini ko‘rsatadi.</w:t>
      </w:r>
    </w:p>
    <w:p>
      <w:pPr>
        <w:pStyle w:val="BodyText"/>
        <w:spacing w:line="360" w:lineRule="auto" w:before="0" w:after="0"/>
        <w:ind w:firstLine="709"/>
        <w:jc w:val="both"/>
      </w:pPr>
      <w:r>
        <w:rPr>
          <w:rFonts w:ascii="Times New Roman" w:hAnsi="Times New Roman" w:cs="Times New Roman" w:eastAsia="Times New Roman"/>
          <w:sz w:val="28"/>
        </w:rPr>
        <w:t xml:space="preserve">Erta ogohlantirish tizimining milliy va MHXS hisobotlari o‘rtasidagi tafovutga sezgirligini «O‘zsanoatqurilishbank» ATB misolida ko‘rish mumkin. Tahlil davrida bank muammo hodisasiga uchramagan, uning choraklik sof foydasi barcha choraklarda ijobiy bo‘lgan. Bank uchun integral indeks ikki variantda – milliy hisobot asosidagi choraklik panel indeksi va 3.2-paragrafda MHXS hisobotlari asosida hisoblangan yillik indeks sifatida taqqoslandi (4.1.4-rasm).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4.1.4-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4.1.4-rasm. «O‘zsanoatqurilishbank» ATB da milliy hisobot va MHXS hisoboti asosidagi integral indeks hamda erta ogohlantirish chegaralari, 2021–2025-yillar</w:t>
      </w:r>
      <w:r>
        <w:rPr>
          <w:rStyle w:val="FootnoteReference"/>
        </w:rPr>
        <w:footnoteReference w:id="4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milliy hisobot ma’lumotlari asosidagi indeks 2021–2025-yillarda 3,17–3,61 ball oralig‘ida bo‘lib, bank asosan yashil zonada, 2022-yil IV choragidan 2024-yil II choragigacha bo‘lgan davrda esa sariq zonaning yuqori qismida (3,17–3,32 ball) joylashgan. Bankning eng zaif tomoni likvidlik bloki bo‘lib, uning bali 1,51–2,33 ni tashkil etgan, chunki kreditlarning depozitlarga nisbati 2023-yil IV choragida 414 foizga yetgan, 2025-yil oxirida esa 206 foizgacha pasaygan. MHXS hisobotlari asosidagi indeks esa butun davr mobaynida 2,75–2,93 ball bilan sariq zonada bo‘lgan, 2024-yilda esa qizil zona chegarasiga yetgan. Ikki variant o‘rtasidagi farq 0,4–0,6 ballni tashkil etib, uning asosiy sababi 2.3-paragrafda aniqlangan holat bo‘lib, 2025-yil yakunida bankning MHXS 9 bo‘yicha 3-bosqich kreditlari ulushi milliy tasnifdagi muammoli kreditlar ulushidan qariyb uch barobar yuqori bo‘lgan. Demak, milliy hisobot ma’lumotlari asosida bank yashil zonada ko‘rinsa-da, xalqaro standartlar bo‘yicha u kuchaytirilgan monitoring talab qiladigan sariq zonada joylashgan. Bu misol erta ogohlantirish tizimida milliy ko‘rsatkichlarni yashirin kredit riski koeffitsiyenti bilan tuzatish yoki bevosita MHXS ma’lumotlaridan foydalanish zarurligini ko‘rsatadi.</w:t>
      </w:r>
    </w:p>
    <w:p>
      <w:pPr>
        <w:pStyle w:val="BodyText"/>
        <w:spacing w:line="360" w:lineRule="auto" w:before="0" w:after="0"/>
        <w:ind w:firstLine="709"/>
        <w:jc w:val="both"/>
      </w:pPr>
      <w:r>
        <w:rPr>
          <w:rFonts w:ascii="Times New Roman" w:hAnsi="Times New Roman" w:cs="Times New Roman" w:eastAsia="Times New Roman"/>
          <w:sz w:val="28"/>
        </w:rPr>
        <w:t xml:space="preserve">Olingan natijalar asosida integral indeksga asoslangan uch zonali erta ogohlantirish tizimi taklif etiladi (4.1.6-jadval).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4.1.6-jadval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Integral indeksga asoslangan erta ogohlantirish tizimi</w:t>
      </w:r>
      <w:r>
        <w:rPr>
          <w:rStyle w:val="FootnoteReference"/>
        </w:rPr>
        <w:footnoteReference w:id="4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907"/>
        <w:gridCol w:w="1134"/>
        <w:gridCol w:w="1247"/>
        <w:gridCol w:w="1360"/>
        <w:gridCol w:w="2494"/>
        <w:gridCol w:w="2154"/>
      </w:tblGrid>
      <w:tr>
        <w:trPr>
          <w:tblHeader w:val="true"/>
          <w:cantSplit/>
          <w:tblHeader/>
        </w:trPr>
        <w:tc>
          <w:tcPr>
            <w:tcW w:type="dxa" w:w="90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Zona</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MBII qiymati</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Bir yil ichida muammo ehtimoli (logit model)</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Tahlil davrida kuzatilgan hodisalar ulushi</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Nazorat organining choralari</w:t>
            </w:r>
          </w:p>
        </w:tc>
        <w:tc>
          <w:tcPr>
            <w:tcW w:type="dxa" w:w="215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 rahbariyatining choralari</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Yashil</w:t>
            </w:r>
          </w:p>
        </w:tc>
        <w:tc>
          <w:tcPr>
            <w:tcW w:type="dxa" w:w="1134"/>
          </w:tcPr>
          <w:p>
            <w:pPr>
              <w:pStyle w:val="Compact"/>
              <w:spacing w:line="240" w:lineRule="auto"/>
              <w:ind w:firstLine="0"/>
              <w:jc w:val="left"/>
            </w:pPr>
            <w:r>
              <w:rPr>
                <w:rFonts w:ascii="Times New Roman" w:hAnsi="Times New Roman" w:cs="Times New Roman" w:eastAsia="Times New Roman"/>
                <w:sz w:val="22"/>
              </w:rPr>
              <w:t xml:space="preserve">3,25 va undan yuqori</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5 % dan past</w:t>
            </w:r>
          </w:p>
        </w:tc>
        <w:tc>
          <w:tcPr>
            <w:tcW w:type="dxa" w:w="1361"/>
          </w:tcPr>
          <w:p>
            <w:pPr>
              <w:pStyle w:val="Compact"/>
              <w:spacing w:line="240" w:lineRule="auto"/>
              <w:ind w:firstLine="0"/>
              <w:jc w:val="left"/>
            </w:pPr>
            <w:r>
              <w:rPr>
                <w:rFonts w:ascii="Times New Roman" w:hAnsi="Times New Roman" w:cs="Times New Roman" w:eastAsia="Times New Roman"/>
                <w:sz w:val="22"/>
              </w:rPr>
              <w:t xml:space="preserve">2,0 % (200 kuzatuvdan 4 tasi)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Odatiy masofaviy monitoring, yiliga bir marta indeks bloklarini tahlil qilish</w:t>
            </w:r>
          </w:p>
        </w:tc>
        <w:tc>
          <w:tcPr>
            <w:tcW w:type="dxa" w:w="2154"/>
          </w:tcPr>
          <w:p>
            <w:pPr>
              <w:pStyle w:val="Compact"/>
              <w:spacing w:line="240" w:lineRule="auto"/>
              <w:ind w:firstLine="0"/>
              <w:jc w:val="left"/>
            </w:pPr>
            <w:r>
              <w:rPr>
                <w:rFonts w:ascii="Times New Roman" w:hAnsi="Times New Roman" w:cs="Times New Roman" w:eastAsia="Times New Roman"/>
                <w:sz w:val="22"/>
              </w:rPr>
              <w:t xml:space="preserve">Odatiy risklarni boshqarish</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Sariq</w:t>
            </w:r>
          </w:p>
        </w:tc>
        <w:tc>
          <w:tcPr>
            <w:tcW w:type="dxa" w:w="1134"/>
          </w:tcPr>
          <w:p>
            <w:pPr>
              <w:pStyle w:val="Compact"/>
              <w:spacing w:line="240" w:lineRule="auto"/>
              <w:ind w:firstLine="0"/>
              <w:jc w:val="left"/>
            </w:pPr>
            <w:r>
              <w:rPr>
                <w:rFonts w:ascii="Times New Roman" w:hAnsi="Times New Roman" w:cs="Times New Roman" w:eastAsia="Times New Roman"/>
                <w:sz w:val="22"/>
              </w:rPr>
              <w:t xml:space="preserve">2,75 – 3,25</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5–27 %</w:t>
            </w:r>
          </w:p>
        </w:tc>
        <w:tc>
          <w:tcPr>
            <w:tcW w:type="dxa" w:w="1361"/>
          </w:tcPr>
          <w:p>
            <w:pPr>
              <w:pStyle w:val="Compact"/>
              <w:spacing w:line="240" w:lineRule="auto"/>
              <w:ind w:firstLine="0"/>
              <w:jc w:val="left"/>
            </w:pPr>
            <w:r>
              <w:rPr>
                <w:rFonts w:ascii="Times New Roman" w:hAnsi="Times New Roman" w:cs="Times New Roman" w:eastAsia="Times New Roman"/>
                <w:sz w:val="22"/>
              </w:rPr>
              <w:t xml:space="preserve">6,8 % (74 kuzatuvdan 5 tasi)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Har chorakda kuchaytirilgan monitoring; eng past ball olgan blok bo‘yicha qo‘shimcha ma’lumot so‘rash; kredit portfeli sifatini MHXS 9 bosqichlari bo‘yicha tekshirish</w:t>
            </w:r>
          </w:p>
        </w:tc>
        <w:tc>
          <w:tcPr>
            <w:tcW w:type="dxa" w:w="2154"/>
          </w:tcPr>
          <w:p>
            <w:pPr>
              <w:pStyle w:val="Compact"/>
              <w:spacing w:line="240" w:lineRule="auto"/>
              <w:ind w:firstLine="0"/>
              <w:jc w:val="left"/>
            </w:pPr>
            <w:r>
              <w:rPr>
                <w:rFonts w:ascii="Times New Roman" w:hAnsi="Times New Roman" w:cs="Times New Roman" w:eastAsia="Times New Roman"/>
                <w:sz w:val="22"/>
              </w:rPr>
              <w:t xml:space="preserve">Zaif blok bo‘yicha tuzatish rejasini ishlab chiqish; kreditlar o‘sishini cheklash</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Qizil</w:t>
            </w:r>
          </w:p>
        </w:tc>
        <w:tc>
          <w:tcPr>
            <w:tcW w:type="dxa" w:w="1134"/>
          </w:tcPr>
          <w:p>
            <w:pPr>
              <w:pStyle w:val="Compact"/>
              <w:spacing w:line="240" w:lineRule="auto"/>
              <w:ind w:firstLine="0"/>
              <w:jc w:val="left"/>
            </w:pPr>
            <w:r>
              <w:rPr>
                <w:rFonts w:ascii="Times New Roman" w:hAnsi="Times New Roman" w:cs="Times New Roman" w:eastAsia="Times New Roman"/>
                <w:sz w:val="22"/>
              </w:rPr>
              <w:t xml:space="preserve">2,75 dan past</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27 % dan yuqori</w:t>
            </w:r>
          </w:p>
        </w:tc>
        <w:tc>
          <w:tcPr>
            <w:tcW w:type="dxa" w:w="1361"/>
          </w:tcPr>
          <w:p>
            <w:pPr>
              <w:pStyle w:val="Compact"/>
              <w:spacing w:line="240" w:lineRule="auto"/>
              <w:ind w:firstLine="0"/>
              <w:jc w:val="left"/>
            </w:pPr>
            <w:r>
              <w:rPr>
                <w:rFonts w:ascii="Times New Roman" w:hAnsi="Times New Roman" w:cs="Times New Roman" w:eastAsia="Times New Roman"/>
                <w:sz w:val="22"/>
              </w:rPr>
              <w:t xml:space="preserve">50,0 % (34 kuzatuvdan 17 tasi)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Joyida maqsadli tekshiruv; zaxiralar yetarliligini mustaqil baholash; kapitalni tiklash rejasini talab qilish; dividend to‘lashni cheklash</w:t>
            </w:r>
          </w:p>
        </w:tc>
        <w:tc>
          <w:tcPr>
            <w:tcW w:type="dxa" w:w="2154"/>
          </w:tcPr>
          <w:p>
            <w:pPr>
              <w:pStyle w:val="Compact"/>
              <w:spacing w:line="240" w:lineRule="auto"/>
              <w:ind w:firstLine="0"/>
              <w:jc w:val="left"/>
            </w:pPr>
            <w:r>
              <w:rPr>
                <w:rFonts w:ascii="Times New Roman" w:hAnsi="Times New Roman" w:cs="Times New Roman" w:eastAsia="Times New Roman"/>
                <w:sz w:val="22"/>
              </w:rPr>
              <w:t xml:space="preserve">Kapitalni tiklash va muammoli aktivlarni qisqartirish rejasi; aksiyadorlar bilan qo‘shimcha kapital bo‘yicha kelishuv</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 etilayotgan zonalar real ma’lumotlarda aniq farqlanadi. Tahlil davrida qizil zonadagi kuzatuvlarning yarmidan keyin bir yil ichida muammo hodisasi yuz bergan, sariq zonada bu ko‘rsatkich 6,8 foizni, yashil zonada esa 2,0 foizni tashkil etgan. Demak, qizil zonadagi bankda muammo yuz berish ehtimoli yashil zonadagi bankka nisbatan 25 barobar yuqori. Zonalar chegaralari 3.1-paragrafdagi barqarorlik sinflari bilan muvofiqlashtirilgan: yashil zona I sinfga, sariq va qizil zonalar esa II sinfning yuqori va quyi qismiga hamda III–IV sinflarga to‘g‘ri keladi. Shu bilan birga, tizim faqat indeks qiymatiga tayanmasligi kerak: sariq yoki qizil zonaga o‘tganda nazorat organi indeks bloklarini tahlil qilib, qaysi yo‘nalishda zaiflik yuzaga kelganini aniqlaydi va choralarni shu yo‘nalishga qaratadi. Bundan tashqari, 4.1.3-jadval natijalariga ko‘ra, aktivlar sifati bloki eng kuchli signal beradi, shu sababli banklarning MHXS 9 bo‘yicha 3-bosqich kreditlari ulushini choraklik asosda Markaziy bankka taqdim etishini yo‘lga qo‘yish erta ogohlantirish tizimining samaradorligini yanada oshiradi. Milliy hisobot ma’lumotlari qo‘llanganda esa 2.3-paragrafda taklif etilgan yashirin kredit riski koeffitsiyenti orqali muammoli kreditlar ulushini tuzatish lozim.</w:t>
      </w:r>
    </w:p>
    <w:p>
      <w:pPr>
        <w:pStyle w:val="BodyText"/>
        <w:spacing w:line="360" w:lineRule="auto" w:before="0" w:after="0"/>
        <w:ind w:firstLine="709"/>
        <w:jc w:val="both"/>
      </w:pPr>
      <w:r>
        <w:rPr>
          <w:rFonts w:ascii="Times New Roman" w:hAnsi="Times New Roman" w:cs="Times New Roman" w:eastAsia="Times New Roman"/>
          <w:sz w:val="28"/>
        </w:rPr>
        <w:t xml:space="preserve">Taklif etilgan tizimning cheklovlari ham mavjud. Birinchidan, tahlil davrida muammo hodisalari soni nisbatan kam (10 ta), shu sababli AUC ishonch oraliqlari keng, chegaralar esa yangi ma’lumotlar to‘planishi bilan qayta tekshirilishi lozim. Ikkinchidan, muammo hodisasi zarar ko‘rinishida aniqlangan bo‘lib, davlat ko‘magi hisobiga yashirilgan muammolarni to‘liq qamrab olmaydi. Uchinchidan, tizim ochiq choraklik ma’lumotlarga asoslangan, Markaziy bank esa banklarning prudensial hisobotlari asosida uni kapital monandligi, likvidlik va valyuta riski ko‘rsatkichlari bilan to‘ldirishi mumkin.</w:t>
      </w:r>
    </w:p>
    <w:p>
      <w:pPr>
        <w:pStyle w:val="BodyText"/>
        <w:spacing w:line="360" w:lineRule="auto" w:before="0" w:after="0"/>
        <w:ind w:firstLine="709"/>
        <w:jc w:val="both"/>
      </w:pPr>
      <w:r>
        <w:rPr>
          <w:rFonts w:ascii="Times New Roman" w:hAnsi="Times New Roman" w:cs="Times New Roman" w:eastAsia="Times New Roman"/>
          <w:sz w:val="28"/>
        </w:rPr>
        <w:t xml:space="preserve">Shunday qilib, tahlil natijalari 3.1-paragrafda taklif etilgan integral indeksning tijorat banklarida moliyaviy muammolarni bir yil oldin yuqori aniqlik bilan bashorat qilishini ko‘rsatdi: uning AUC qiymati 0,86 ni, vaqtdan tashqari sinovda esa 0,95 ni tashkil etdi, an’anaviy Z-score esa O‘zbekiston sharoitida bashorat kuchiga ega emasligi aniqlandi. Indeks asosida taklif etilgan uch zonali erta ogohlantirish tizimi nazorat organiga bank muammolarini ular moliyaviy hisobotda zarar sifatida namoyon bo‘lishidan oldin aniqlash va choralarni zaiflik manbasiga qaratish imkonini beradi.</w:t>
      </w:r>
    </w:p>
    <w:bookmarkEnd w:id="46"/>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Sahajwala R., Van den Bergh P. Supervisory risk assessment and early warning systems: Basel Committee on Banking Supervision Working Papers No. 4. – Basel: BIS, December 2000.</w:t>
      </w:r>
    </w:p>
  </w:footnote>
  <w:footnote w:id="21">
    <w:p>
      <w:pPr>
        <w:pStyle w:val="FootnoteText"/>
      </w:pPr>
      <w:r>
        <w:rPr>
          <w:rStyle w:val="FootnoteReference"/>
        </w:rPr>
        <w:footnoteRef/>
      </w:r>
      <w:r>
        <w:t xml:space="preserve"> </w:t>
      </w:r>
      <w:r>
        <w:t xml:space="preserve">Cole R.A., Gunther J.W. Predicting Bank Failures: A Comparison of On- and Off-Site Monitoring Systems // Journal of Financial Services Research. – 1998. – Vol. 13, No. 2. – P. 103–117.</w:t>
      </w:r>
    </w:p>
  </w:footnote>
  <w:footnote w:id="22">
    <w:p>
      <w:pPr>
        <w:pStyle w:val="FootnoteText"/>
      </w:pPr>
      <w:r>
        <w:rPr>
          <w:rStyle w:val="FootnoteReference"/>
        </w:rPr>
        <w:footnoteRef/>
      </w:r>
      <w:r>
        <w:t xml:space="preserve"> </w:t>
      </w:r>
      <w:r>
        <w:t xml:space="preserve">Tadqiqot natijasida muallif tomonidan quyidagi manbalar asosida ishlab chiqildi: Sahajwala R., Van den Bergh P. Supervisory risk assessment and early warning systems: Basel Committee on Banking Supervision Working Papers No. 4. – Basel: BIS, December 2000; Cole R.A., Gunther J.W. Predicting Bank Failures: A Comparison of On- and Off-Site Monitoring Systems // Journal of Financial Services Research. – 1998. – Vol. 13, No. 2. – P. 103–117; Оценка финансовой устойчивости кредитной организации: учебник / под ред. О.И. Лаврушина, И.Д. Мамоновой. – М.: КНОРУС, 2011. – С. 45, 107–114; Kaminsky G.L., Reinhart C.M. The Twin Crises: The Causes of Banking and Balance-of-Payments Problems // American Economic Review. – 1999. – Vol. 89, No. 3. – P. 473–500; Demirgüç-Kunt A., Detragiache E. The Determinants of Banking Crises in Developing and Developed Countries // IMF Staff Papers. – 1998. – Vol. 45, No. 1. – P. 81–109; Chiaramonte L., Poli F. Predicting European Bank Distress: Evidence from the Recent Financial Crisis // Governance, Regulation and Bank Stability / ed. by T. Lindblom, S. Sjögren, M. Willesson. – Basingstoke: Palgrave Macmillan, 2014. – P. 83–95; Betz F., Oprică S., Peltonen T.A., Sarlin P. Predicting distress in European banks // Journal of Banking &amp; Finance. – 2014. – Vol. 45. – P. 225–241.</w:t>
      </w:r>
    </w:p>
  </w:footnote>
  <w:footnote w:id="23">
    <w:p>
      <w:pPr>
        <w:pStyle w:val="FootnoteText"/>
      </w:pPr>
      <w:r>
        <w:rPr>
          <w:rStyle w:val="FootnoteReference"/>
        </w:rPr>
        <w:footnoteRef/>
      </w:r>
      <w:r>
        <w:t xml:space="preserve"> </w:t>
      </w:r>
      <w:r>
        <w:t xml:space="preserve">Kaminsky G.L., Reinhart C.M. The Twin Crises: The Causes of Banking and Balance-of-Payments Problems // American Economic Review. – 1999. – Vol. 89, No. 3. – P. 473–500.</w:t>
      </w:r>
    </w:p>
  </w:footnote>
  <w:footnote w:id="24">
    <w:p>
      <w:pPr>
        <w:pStyle w:val="FootnoteText"/>
      </w:pPr>
      <w:r>
        <w:rPr>
          <w:rStyle w:val="FootnoteReference"/>
        </w:rPr>
        <w:footnoteRef/>
      </w:r>
      <w:r>
        <w:t xml:space="preserve"> </w:t>
      </w:r>
      <w:r>
        <w:t xml:space="preserve">Kaminsky G., Lizondo S., Reinhart C.M. Leading Indicators of Currency Crises // IMF Staff Papers. – 1998. – Vol. 45, No. 1. – P. 1–48.</w:t>
      </w:r>
    </w:p>
  </w:footnote>
  <w:footnote w:id="25">
    <w:p>
      <w:pPr>
        <w:pStyle w:val="FootnoteText"/>
      </w:pPr>
      <w:r>
        <w:rPr>
          <w:rStyle w:val="FootnoteReference"/>
        </w:rPr>
        <w:footnoteRef/>
      </w:r>
      <w:r>
        <w:t xml:space="preserve"> </w:t>
      </w:r>
      <w:r>
        <w:t xml:space="preserve">Demirgüç-Kunt A., Detragiache E. The Determinants of Banking Crises in Developing and Developed Countries // IMF Staff Papers. – 1998. – Vol. 45, No. 1. – P. 81–109.</w:t>
      </w:r>
    </w:p>
  </w:footnote>
  <w:footnote w:id="26">
    <w:p>
      <w:pPr>
        <w:pStyle w:val="FootnoteText"/>
      </w:pPr>
      <w:r>
        <w:rPr>
          <w:rStyle w:val="FootnoteReference"/>
        </w:rPr>
        <w:footnoteRef/>
      </w:r>
      <w:r>
        <w:t xml:space="preserve"> </w:t>
      </w:r>
      <w:r>
        <w:t xml:space="preserve">Davis E.P., Karim D. Comparing early warning systems for banking crises // Journal of Financial Stability. – 2008. – Vol. 4, No. 2. – P. 89–120.</w:t>
      </w:r>
    </w:p>
  </w:footnote>
  <w:footnote w:id="2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 107–114.</w:t>
      </w:r>
    </w:p>
  </w:footnote>
  <w:footnote w:id="28">
    <w:p>
      <w:pPr>
        <w:pStyle w:val="FootnoteText"/>
      </w:pPr>
      <w:r>
        <w:rPr>
          <w:rStyle w:val="FootnoteReference"/>
        </w:rPr>
        <w:footnoteRef/>
      </w:r>
      <w:r>
        <w:t xml:space="preserve"> </w:t>
      </w:r>
      <w:r>
        <w:t xml:space="preserve">Betz F., Oprică S., Peltonen T.A., Sarlin P. Predicting distress in European banks // Journal of Banking &amp; Finance. – 2014. – Vol. 45. – P. 225–241.</w:t>
      </w:r>
    </w:p>
  </w:footnote>
  <w:footnote w:id="29">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83–95.</w:t>
      </w:r>
    </w:p>
  </w:footnote>
  <w:footnote w:id="30">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31">
    <w:p>
      <w:pPr>
        <w:pStyle w:val="FootnoteText"/>
      </w:pPr>
      <w:r>
        <w:rPr>
          <w:rStyle w:val="FootnoteReference"/>
        </w:rPr>
        <w:footnoteRef/>
      </w:r>
      <w:r>
        <w:t xml:space="preserve"> </w:t>
      </w:r>
      <w:r>
        <w:t xml:space="preserve">Fawcett T. An introduction to ROC analysis // Pattern Recognition Letters. – 2006. – Vol. 27, No. 8. – P. 861–874.</w:t>
      </w:r>
    </w:p>
  </w:footnote>
  <w:footnote w:id="32">
    <w:p>
      <w:pPr>
        <w:pStyle w:val="FootnoteText"/>
      </w:pPr>
      <w:r>
        <w:rPr>
          <w:rStyle w:val="FootnoteReference"/>
        </w:rPr>
        <w:footnoteRef/>
      </w:r>
      <w:r>
        <w:t xml:space="preserve"> </w:t>
      </w:r>
      <w:r>
        <w:t xml:space="preserve">Hosmer D.W., Lemeshow S., Sturdivant R.X. Applied Logistic Regression. – 3rd ed. – Hoboken, NJ: John Wiley &amp; Sons, 2013.</w:t>
      </w:r>
    </w:p>
  </w:footnote>
  <w:footnote w:id="33">
    <w:p>
      <w:pPr>
        <w:pStyle w:val="FootnoteText"/>
      </w:pPr>
      <w:r>
        <w:rPr>
          <w:rStyle w:val="FootnoteReference"/>
        </w:rPr>
        <w:footnoteRef/>
      </w:r>
      <w:r>
        <w:t xml:space="preserve"> </w:t>
      </w:r>
      <w:r>
        <w:t xml:space="preserve">Tadqiqot natijasida muallif tomonidan 4.1.2-jadvalda ko‘rsatilgan manbalar ma’lumotlari asosida hisoblandi.</w:t>
      </w:r>
    </w:p>
  </w:footnote>
  <w:footnote w:id="34">
    <w:p>
      <w:pPr>
        <w:pStyle w:val="FootnoteText"/>
      </w:pPr>
      <w:r>
        <w:rPr>
          <w:rStyle w:val="FootnoteReference"/>
        </w:rPr>
        <w:footnoteRef/>
      </w:r>
      <w:r>
        <w:t xml:space="preserve"> </w:t>
      </w:r>
      <w:r>
        <w:t xml:space="preserve">DeLong E.R., DeLong D.M., Clarke-Pearson D.L. Comparing the Areas under Two or More Correlated Receiver Operating Characteristic Curves: A Nonparametric Approach // Biometrics. – 1988. – Vol. 44, No. 3. – P. 837–845.</w:t>
      </w:r>
    </w:p>
  </w:footnote>
  <w:footnote w:id="35">
    <w:p>
      <w:pPr>
        <w:pStyle w:val="FootnoteText"/>
      </w:pPr>
      <w:r>
        <w:rPr>
          <w:rStyle w:val="FootnoteReference"/>
        </w:rPr>
        <w:footnoteRef/>
      </w:r>
      <w:r>
        <w:t xml:space="preserve"> </w:t>
      </w:r>
      <w:r>
        <w:t xml:space="preserve">Tadqiqot natijasida muallif tomonidan 4.1.2-jadvalda ko‘rsatilgan manbalar ma’lumotlari asosida hisoblandi.</w:t>
      </w:r>
    </w:p>
  </w:footnote>
  <w:footnote w:id="36">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83–95.</w:t>
      </w:r>
    </w:p>
  </w:footnote>
  <w:footnote w:id="37">
    <w:p>
      <w:pPr>
        <w:pStyle w:val="FootnoteText"/>
      </w:pPr>
      <w:r>
        <w:rPr>
          <w:rStyle w:val="FootnoteReference"/>
        </w:rPr>
        <w:footnoteRef/>
      </w:r>
      <w:r>
        <w:t xml:space="preserve"> </w:t>
      </w:r>
      <w:r>
        <w:t xml:space="preserve">Hosmer D.W., Lemeshow S., Sturdivant R.X. Applied Logistic Regression. – 3rd ed. – Hoboken, NJ: John Wiley &amp; Sons, 2013.</w:t>
      </w:r>
    </w:p>
  </w:footnote>
  <w:footnote w:id="38">
    <w:p>
      <w:pPr>
        <w:pStyle w:val="FootnoteText"/>
      </w:pPr>
      <w:r>
        <w:rPr>
          <w:rStyle w:val="FootnoteReference"/>
        </w:rPr>
        <w:footnoteRef/>
      </w:r>
      <w:r>
        <w:t xml:space="preserve"> </w:t>
      </w:r>
      <w:r>
        <w:t xml:space="preserve">Demirgüç-Kunt A., Detragiache E. The Determinants of Banking Crises in Developing and Developed Countries // IMF Staff Papers. – 1998. – Vol. 45, No. 1. – P. 81–109.</w:t>
      </w:r>
    </w:p>
  </w:footnote>
  <w:footnote w:id="39">
    <w:p>
      <w:pPr>
        <w:pStyle w:val="FootnoteText"/>
      </w:pPr>
      <w:r>
        <w:rPr>
          <w:rStyle w:val="FootnoteReference"/>
        </w:rPr>
        <w:footnoteRef/>
      </w:r>
      <w:r>
        <w:t xml:space="preserve"> </w:t>
      </w:r>
      <w:r>
        <w:t xml:space="preserve">Tadqiqot natijasida muallif tomonidan 4.1.2-jadvalda ko‘rsatilgan manbalar ma’lumotlari asosida hisoblandi.</w:t>
      </w:r>
    </w:p>
  </w:footnote>
  <w:footnote w:id="40">
    <w:p>
      <w:pPr>
        <w:pStyle w:val="FootnoteText"/>
      </w:pPr>
      <w:r>
        <w:rPr>
          <w:rStyle w:val="FootnoteReference"/>
        </w:rPr>
        <w:footnoteRef/>
      </w:r>
      <w:r>
        <w:t xml:space="preserve"> </w:t>
      </w:r>
      <w:r>
        <w:t xml:space="preserve">Tadqiqot natijasida muallif tomonidan 4.1.2-jadvalda ko‘rsatilgan manbalar ma’lumotlari asosida hisoblandi.</w:t>
      </w:r>
    </w:p>
  </w:footnote>
  <w:footnote w:id="41">
    <w:p>
      <w:pPr>
        <w:pStyle w:val="FootnoteText"/>
      </w:pPr>
      <w:r>
        <w:rPr>
          <w:rStyle w:val="FootnoteReference"/>
        </w:rPr>
        <w:footnoteRef/>
      </w:r>
      <w:r>
        <w:t xml:space="preserve"> </w:t>
      </w:r>
      <w:r>
        <w:t xml:space="preserve">Kaminsky G.L., Reinhart C.M. The Twin Crises: The Causes of Banking and Balance-of-Payments Problems // American Economic Review. – 1999. – Vol. 89, No. 3. – P. 473–500.</w:t>
      </w:r>
    </w:p>
  </w:footnote>
  <w:footnote w:id="42">
    <w:p>
      <w:pPr>
        <w:pStyle w:val="FootnoteText"/>
      </w:pPr>
      <w:r>
        <w:rPr>
          <w:rStyle w:val="FootnoteReference"/>
        </w:rPr>
        <w:footnoteRef/>
      </w:r>
      <w:r>
        <w:t xml:space="preserve"> </w:t>
      </w:r>
      <w:r>
        <w:t xml:space="preserve">Tadqiqot natijasida muallif tomonidan 4.1.2-jadvalda ko‘rsatilgan manbalar ma’lumotlari asosida hisoblandi.</w:t>
      </w:r>
    </w:p>
  </w:footnote>
  <w:footnote w:id="43">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footnote>
  <w:footnote w:id="44">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footnote>
  <w:footnote w:id="45">
    <w:p>
      <w:pPr>
        <w:pStyle w:val="FootnoteText"/>
      </w:pPr>
      <w:r>
        <w:rPr>
          <w:rStyle w:val="FootnoteReference"/>
        </w:rPr>
        <w:footnoteRef/>
      </w:r>
      <w:r>
        <w:t xml:space="preserve"> </w:t>
      </w:r>
      <w:r>
        <w:t xml:space="preserve">Tadqiqot natijasida muallif tomonidan 4.1.3–4.1.5-jadvallar ma’lumotlari asosida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MBII (AUC = 0,86)</c:v>
                </c:pt>
              </c:strCache>
            </c:strRef>
          </c:tx>
          <c:spPr>
            <a:ln w="28575">
              <a:solidFill>
                <a:srgbClr val="2A78D6"/>
              </a:solidFill>
            </a:ln>
          </c:spPr>
          <c:marker>
            <c:symbol val="none"/>
          </c:marker>
          <c:xVal>
            <c:numRef>
              <c:f>Sheet1!$A$2:$A$22</c:f>
              <c:numCache>
                <c:formatCode>General</c:formatCode>
                <c:ptCount val="21"/>
                <c:pt idx="0">
                  <c:v>0.0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Sheet1!$B$2:$B$22</c:f>
              <c:numCache>
                <c:formatCode>General</c:formatCode>
                <c:ptCount val="21"/>
                <c:pt idx="0">
                  <c:v>7.7</c:v>
                </c:pt>
                <c:pt idx="1">
                  <c:v>61.5</c:v>
                </c:pt>
                <c:pt idx="2">
                  <c:v>73.1</c:v>
                </c:pt>
                <c:pt idx="3">
                  <c:v>73.1</c:v>
                </c:pt>
                <c:pt idx="4">
                  <c:v>76.9</c:v>
                </c:pt>
                <c:pt idx="5">
                  <c:v>84.6</c:v>
                </c:pt>
                <c:pt idx="6">
                  <c:v>84.6</c:v>
                </c:pt>
                <c:pt idx="7">
                  <c:v>84.6</c:v>
                </c:pt>
                <c:pt idx="8">
                  <c:v>84.6</c:v>
                </c:pt>
                <c:pt idx="9">
                  <c:v>84.6</c:v>
                </c:pt>
                <c:pt idx="10">
                  <c:v>84.6</c:v>
                </c:pt>
                <c:pt idx="11">
                  <c:v>88.5</c:v>
                </c:pt>
                <c:pt idx="12">
                  <c:v>88.5</c:v>
                </c:pt>
                <c:pt idx="13">
                  <c:v>92.3</c:v>
                </c:pt>
                <c:pt idx="14">
                  <c:v>96.2</c:v>
                </c:pt>
                <c:pt idx="15">
                  <c:v>100.0</c:v>
                </c:pt>
                <c:pt idx="16">
                  <c:v>100.0</c:v>
                </c:pt>
                <c:pt idx="17">
                  <c:v>100.0</c:v>
                </c:pt>
                <c:pt idx="18">
                  <c:v>100.0</c:v>
                </c:pt>
                <c:pt idx="19">
                  <c:v>100.0</c:v>
                </c:pt>
                <c:pt idx="20">
                  <c:v>100.0</c:v>
                </c:pt>
              </c:numCache>
            </c:numRef>
          </c:yVal>
          <c:smooth val="0"/>
        </c:ser>
        <c:ser>
          <c:idx val="1"/>
          <c:order val="1"/>
          <c:tx>
            <c:strRef>
              <c:f>Sheet1!$D$1</c:f>
              <c:strCache>
                <c:ptCount val="1"/>
                <c:pt idx="0">
                  <c:v>Muammoli kreditlar ulushi (AUC = 0,86)</c:v>
                </c:pt>
              </c:strCache>
            </c:strRef>
          </c:tx>
          <c:spPr>
            <a:ln w="22225">
              <a:solidFill>
                <a:srgbClr val="70AD47"/>
              </a:solidFill>
              <a:prstDash val="dash"/>
            </a:ln>
          </c:spPr>
          <c:marker>
            <c:symbol val="none"/>
          </c:marker>
          <c:xVal>
            <c:numRef>
              <c:f>Sheet1!$C$2:$C$22</c:f>
              <c:numCache>
                <c:formatCode>General</c:formatCode>
                <c:ptCount val="21"/>
                <c:pt idx="0">
                  <c:v>0.0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Sheet1!$D$2:$D$22</c:f>
              <c:numCache>
                <c:formatCode>General</c:formatCode>
                <c:ptCount val="21"/>
                <c:pt idx="0">
                  <c:v>7.7</c:v>
                </c:pt>
                <c:pt idx="1">
                  <c:v>50.0</c:v>
                </c:pt>
                <c:pt idx="2">
                  <c:v>65.4</c:v>
                </c:pt>
                <c:pt idx="3">
                  <c:v>76.9</c:v>
                </c:pt>
                <c:pt idx="4">
                  <c:v>84.6</c:v>
                </c:pt>
                <c:pt idx="5">
                  <c:v>88.5</c:v>
                </c:pt>
                <c:pt idx="6">
                  <c:v>88.5</c:v>
                </c:pt>
                <c:pt idx="7">
                  <c:v>88.5</c:v>
                </c:pt>
                <c:pt idx="8">
                  <c:v>88.5</c:v>
                </c:pt>
                <c:pt idx="9">
                  <c:v>88.5</c:v>
                </c:pt>
                <c:pt idx="10">
                  <c:v>88.5</c:v>
                </c:pt>
                <c:pt idx="11">
                  <c:v>88.5</c:v>
                </c:pt>
                <c:pt idx="12">
                  <c:v>88.5</c:v>
                </c:pt>
                <c:pt idx="13">
                  <c:v>92.3</c:v>
                </c:pt>
                <c:pt idx="14">
                  <c:v>92.3</c:v>
                </c:pt>
                <c:pt idx="15">
                  <c:v>96.2</c:v>
                </c:pt>
                <c:pt idx="16">
                  <c:v>96.2</c:v>
                </c:pt>
                <c:pt idx="17">
                  <c:v>100.0</c:v>
                </c:pt>
                <c:pt idx="18">
                  <c:v>100.0</c:v>
                </c:pt>
                <c:pt idx="19">
                  <c:v>100.0</c:v>
                </c:pt>
                <c:pt idx="20">
                  <c:v>100.0</c:v>
                </c:pt>
              </c:numCache>
            </c:numRef>
          </c:yVal>
          <c:smooth val="0"/>
        </c:ser>
        <c:ser>
          <c:idx val="2"/>
          <c:order val="2"/>
          <c:tx>
            <c:strRef>
              <c:f>Sheet1!$F$1</c:f>
              <c:strCache>
                <c:ptCount val="1"/>
                <c:pt idx="0">
                  <c:v>ln(Z-score) (AUC = 0,42)</c:v>
                </c:pt>
              </c:strCache>
            </c:strRef>
          </c:tx>
          <c:spPr>
            <a:ln w="28575">
              <a:solidFill>
                <a:srgbClr val="EB6834"/>
              </a:solidFill>
            </a:ln>
          </c:spPr>
          <c:marker>
            <c:symbol val="none"/>
          </c:marker>
          <c:xVal>
            <c:numRef>
              <c:f>Sheet1!$E$2:$E$22</c:f>
              <c:numCache>
                <c:formatCode>General</c:formatCode>
                <c:ptCount val="21"/>
                <c:pt idx="0">
                  <c:v>0.0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Sheet1!$F$2:$F$22</c:f>
              <c:numCache>
                <c:formatCode>General</c:formatCode>
                <c:ptCount val="21"/>
                <c:pt idx="0">
                  <c:v>0.0</c:v>
                </c:pt>
                <c:pt idx="1">
                  <c:v>0.0</c:v>
                </c:pt>
                <c:pt idx="2">
                  <c:v>11.1</c:v>
                </c:pt>
                <c:pt idx="3">
                  <c:v>11.1</c:v>
                </c:pt>
                <c:pt idx="4">
                  <c:v>11.1</c:v>
                </c:pt>
                <c:pt idx="5">
                  <c:v>27.8</c:v>
                </c:pt>
                <c:pt idx="6">
                  <c:v>44.4</c:v>
                </c:pt>
                <c:pt idx="7">
                  <c:v>50.0</c:v>
                </c:pt>
                <c:pt idx="8">
                  <c:v>50.0</c:v>
                </c:pt>
                <c:pt idx="9">
                  <c:v>50.0</c:v>
                </c:pt>
                <c:pt idx="10">
                  <c:v>50.0</c:v>
                </c:pt>
                <c:pt idx="11">
                  <c:v>50.0</c:v>
                </c:pt>
                <c:pt idx="12">
                  <c:v>50.0</c:v>
                </c:pt>
                <c:pt idx="13">
                  <c:v>50.0</c:v>
                </c:pt>
                <c:pt idx="14">
                  <c:v>50.0</c:v>
                </c:pt>
                <c:pt idx="15">
                  <c:v>50.0</c:v>
                </c:pt>
                <c:pt idx="16">
                  <c:v>50.0</c:v>
                </c:pt>
                <c:pt idx="17">
                  <c:v>50.0</c:v>
                </c:pt>
                <c:pt idx="18">
                  <c:v>66.7</c:v>
                </c:pt>
                <c:pt idx="19">
                  <c:v>77.8</c:v>
                </c:pt>
                <c:pt idx="20">
                  <c:v>100.0</c:v>
                </c:pt>
              </c:numCache>
            </c:numRef>
          </c:yVal>
          <c:smooth val="0"/>
        </c:ser>
        <c:ser>
          <c:idx val="3"/>
          <c:order val="3"/>
          <c:tx>
            <c:strRef>
              <c:f>Sheet1!$H$1</c:f>
              <c:strCache>
                <c:ptCount val="1"/>
                <c:pt idx="0">
                  <c:v>Tasodifiy bashorat</c:v>
                </c:pt>
              </c:strCache>
            </c:strRef>
          </c:tx>
          <c:spPr>
            <a:ln w="12700">
              <a:solidFill>
                <a:srgbClr val="A5A5A5"/>
              </a:solidFill>
              <a:prstDash val="sysDash"/>
            </a:ln>
          </c:spPr>
          <c:marker>
            <c:symbol val="none"/>
          </c:marker>
          <c:xVal>
            <c:numRef>
              <c:f>Sheet1!$G$2:$G$22</c:f>
              <c:numCache>
                <c:formatCode>General</c:formatCode>
                <c:ptCount val="21"/>
                <c:pt idx="0">
                  <c:v>0.0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Sheet1!$H$2:$H$22</c:f>
              <c:numCache>
                <c:formatCode>General</c:formatCode>
                <c:ptCount val="21"/>
                <c:pt idx="0">
                  <c:v>0.0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yVal>
          <c:smooth val="0"/>
        </c:ser>
        <c:ser>
          <c:idx val="4"/>
          <c:order val="4"/>
          <c:tx>
            <c:strRef>
              <c:f>Sheet1!$J$1</c:f>
              <c:strCache>
                <c:ptCount val="1"/>
                <c:pt idx="0">
                  <c:v>MBII chegaralari: 2,75; 2,85; 3,25</c:v>
                </c:pt>
              </c:strCache>
            </c:strRef>
          </c:tx>
          <c:spPr>
            <a:ln>
              <a:noFill/>
            </a:ln>
          </c:spPr>
          <c:marker>
            <c:symbol val="diamond"/>
            <c:size val="7"/>
            <c:spPr>
              <a:solidFill>
                <a:srgbClr val="C00000"/>
              </a:solidFill>
              <a:ln>
                <a:noFill/>
              </a:ln>
            </c:spPr>
          </c:marker>
          <c:dLbls>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dLbls>
          <c:xVal>
            <c:numRef>
              <c:f>Sheet1!$I$2:$I$22</c:f>
              <c:numCache>
                <c:formatCode>General</c:formatCode>
                <c:ptCount val="21"/>
                <c:pt idx="0">
                  <c:v>6.0</c:v>
                </c:pt>
                <c:pt idx="1">
                  <c:v>8.2</c:v>
                </c:pt>
                <c:pt idx="2">
                  <c:v>30.5</c:v>
                </c:pt>
              </c:numCache>
            </c:numRef>
          </c:xVal>
          <c:yVal>
            <c:numRef>
              <c:f>Sheet1!$J$2:$J$22</c:f>
              <c:numCache>
                <c:formatCode>General</c:formatCode>
                <c:ptCount val="21"/>
                <c:pt idx="0">
                  <c:v>65.0</c:v>
                </c:pt>
                <c:pt idx="1">
                  <c:v>69.0</c:v>
                </c:pt>
                <c:pt idx="2">
                  <c:v>85.0</c:v>
                </c:pt>
              </c:numCache>
            </c:numRef>
          </c:yVal>
          <c:smooth val="0"/>
        </c:ser>
        <c:axId val="333"/>
        <c:axId val="444"/>
      </c:scatterChart>
      <c:valAx>
        <c:axId val="333"/>
        <c:scaling>
          <c:orientation val="minMax"/>
          <c:max val="100"/>
          <c:min val="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Noto‘g‘ri signallar ulushi (II tur xato),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20"/>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aniqlangan hodisalar,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Muammo ehtimoli</c:v>
                </c:pt>
              </c:strCache>
            </c:strRef>
          </c:tx>
          <c:spPr>
            <a:ln w="28575">
              <a:solidFill>
                <a:srgbClr val="2A78D6"/>
              </a:solidFill>
            </a:ln>
          </c:spPr>
          <c:marker>
            <c:symbol val="circle"/>
            <c:size val="7"/>
            <c:spPr>
              <a:solidFill>
                <a:srgbClr val="2A78D6"/>
              </a:solidFill>
              <a:ln>
                <a:noFill/>
              </a:ln>
            </c:spPr>
          </c:marker>
          <c:dLbls>
            <c:dLbl>
              <c:idx val="0"/>
              <c:delete val="1"/>
            </c:dLbl>
            <c:dLbl>
              <c:idx val="1"/>
              <c:delete val="1"/>
            </c:dLbl>
            <c:dLbl>
              <c:idx val="2"/>
              <c:delete val="1"/>
            </c:dLbl>
            <c:dLbl>
              <c:idx val="3"/>
              <c:delete val="1"/>
            </c:dLbl>
            <c:dLbl>
              <c:idx val="4"/>
              <c:delete val="1"/>
            </c:dLbl>
            <c:dLbl>
              <c:idx val="6"/>
              <c:delete val="1"/>
            </c:dLbl>
            <c:dLbl>
              <c:idx val="7"/>
              <c:delete val="1"/>
            </c:dLbl>
            <c:dLbl>
              <c:idx val="9"/>
              <c:delete val="1"/>
            </c:dLbl>
            <c:dLbl>
              <c:idx val="10"/>
              <c:delete val="1"/>
            </c:dLbl>
            <c:dLbl>
              <c:idx val="11"/>
              <c:delete val="1"/>
            </c:dLbl>
            <c:dLbl>
              <c:idx val="13"/>
              <c:delete val="1"/>
            </c:dLbl>
            <c:dLbl>
              <c:idx val="14"/>
              <c:delete val="1"/>
            </c:dLbl>
            <c:dLbl>
              <c:idx val="15"/>
              <c:delete val="1"/>
            </c:dLbl>
            <c:dLbl>
              <c:idx val="16"/>
              <c:delete val="1"/>
            </c:dLbl>
            <c:dLbl>
              <c:idx val="18"/>
              <c:delete val="1"/>
            </c:dLbl>
            <c:dLbl>
              <c:idx val="19"/>
              <c:delete val="1"/>
            </c:dLbl>
            <c:dLbl>
              <c:idx val="20"/>
              <c:delete val="1"/>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Sheet1!$A$2:$A$22</c:f>
              <c:numCache>
                <c:formatCode>General</c:formatCode>
                <c:ptCount val="21"/>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numCache>
            </c:numRef>
          </c:xVal>
          <c:yVal>
            <c:numRef>
              <c:f>Sheet1!$B$2:$B$22</c:f>
              <c:numCache>
                <c:formatCode>General</c:formatCode>
                <c:ptCount val="21"/>
                <c:pt idx="0">
                  <c:v>86.8</c:v>
                </c:pt>
                <c:pt idx="1">
                  <c:v>81.7</c:v>
                </c:pt>
                <c:pt idx="2">
                  <c:v>75.2</c:v>
                </c:pt>
                <c:pt idx="3">
                  <c:v>67.3</c:v>
                </c:pt>
                <c:pt idx="4">
                  <c:v>58.3</c:v>
                </c:pt>
                <c:pt idx="5">
                  <c:v>48.7</c:v>
                </c:pt>
                <c:pt idx="6">
                  <c:v>39.3</c:v>
                </c:pt>
                <c:pt idx="7">
                  <c:v>30.5</c:v>
                </c:pt>
                <c:pt idx="8">
                  <c:v>23.0</c:v>
                </c:pt>
                <c:pt idx="9">
                  <c:v>16.9</c:v>
                </c:pt>
                <c:pt idx="10">
                  <c:v>12.1</c:v>
                </c:pt>
                <c:pt idx="11">
                  <c:v>8.6</c:v>
                </c:pt>
                <c:pt idx="12">
                  <c:v>6.0</c:v>
                </c:pt>
                <c:pt idx="13">
                  <c:v>4.1</c:v>
                </c:pt>
                <c:pt idx="14">
                  <c:v>2.9</c:v>
                </c:pt>
                <c:pt idx="15">
                  <c:v>2.0</c:v>
                </c:pt>
                <c:pt idx="16">
                  <c:v>1.3</c:v>
                </c:pt>
                <c:pt idx="17">
                  <c:v>0.9</c:v>
                </c:pt>
                <c:pt idx="18">
                  <c:v>0.6</c:v>
                </c:pt>
                <c:pt idx="19">
                  <c:v>0.4</c:v>
                </c:pt>
                <c:pt idx="20">
                  <c:v>0.3</c:v>
                </c:pt>
              </c:numCache>
            </c:numRef>
          </c:yVal>
          <c:smooth val="0"/>
        </c:ser>
        <c:axId val="333"/>
        <c:axId val="444"/>
      </c:scatterChart>
      <c:valAx>
        <c:axId val="333"/>
        <c:scaling>
          <c:orientation val="minMax"/>
          <c:max val="4.0"/>
          <c:min val="2.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25"/>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Ehtimol,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MKB: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dLbl>
            <c:dLbl>
              <c:idx val="2"/>
              <c:delete val="1"/>
            </c:dLbl>
            <c:dLbl>
              <c:idx val="3"/>
              <c:delete val="1"/>
            </c:dLbl>
            <c:dLbl>
              <c:idx val="5"/>
              <c:delete val="1"/>
            </c:dLbl>
            <c:dLbl>
              <c:idx val="6"/>
              <c:delete val="1"/>
            </c:dLbl>
            <c:dLbl>
              <c:idx val="7"/>
              <c:delete val="1"/>
            </c:dLbl>
            <c:dLbl>
              <c:idx val="8"/>
              <c:delete val="1"/>
            </c:dLbl>
            <c:dLbl>
              <c:idx val="9"/>
              <c:delete val="1"/>
            </c:dLbl>
            <c:dLbl>
              <c:idx val="11"/>
              <c:delete val="1"/>
            </c:dLbl>
            <c:dLbl>
              <c:idx val="12"/>
              <c:delete val="1"/>
            </c:dLbl>
            <c:dLbl>
              <c:idx val="13"/>
              <c:delete val="1"/>
            </c:dLbl>
            <c:dLbl>
              <c:idx val="14"/>
              <c:delete val="1"/>
            </c:dLbl>
            <c:dLbl>
              <c:idx val="15"/>
              <c:delete val="1"/>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2.75</c:v>
                </c:pt>
                <c:pt idx="1">
                  <c:v>2.68</c:v>
                </c:pt>
                <c:pt idx="2">
                  <c:v>2.71</c:v>
                </c:pt>
                <c:pt idx="3">
                  <c:v>2.72</c:v>
                </c:pt>
                <c:pt idx="4">
                  <c:v>2.82</c:v>
                </c:pt>
                <c:pt idx="5">
                  <c:v>2.67</c:v>
                </c:pt>
                <c:pt idx="6">
                  <c:v>2.65</c:v>
                </c:pt>
                <c:pt idx="7">
                  <c:v>2.68</c:v>
                </c:pt>
                <c:pt idx="8">
                  <c:v>2.69</c:v>
                </c:pt>
                <c:pt idx="9">
                  <c:v>2.62</c:v>
                </c:pt>
                <c:pt idx="10">
                  <c:v>2.36</c:v>
                </c:pt>
                <c:pt idx="11">
                  <c:v>2.38</c:v>
                </c:pt>
                <c:pt idx="12">
                  <c:v>2.71</c:v>
                </c:pt>
                <c:pt idx="13">
                  <c:v>2.67</c:v>
                </c:pt>
                <c:pt idx="14">
                  <c:v>2.69</c:v>
                </c:pt>
                <c:pt idx="15">
                  <c:v>2.9</c:v>
                </c:pt>
                <c:pt idx="16">
                  <c:v>2.9</c:v>
                </c:pt>
              </c:numCache>
            </c:numRef>
          </c:yVal>
          <c:smooth val="0"/>
        </c:ser>
        <c:ser>
          <c:idx val="1"/>
          <c:order val="1"/>
          <c:tx>
            <c:strRef>
              <c:f>Sheet1!$D$1</c:f>
              <c:strCache>
                <c:ptCount val="1"/>
                <c:pt idx="0">
                  <c:v>MKB: MHXS hisoboti asosida (yillik)</c:v>
                </c:pt>
              </c:strCache>
            </c:strRef>
          </c:tx>
          <c:spPr>
            <a:ln w="28575">
              <a:solidFill>
                <a:srgbClr val="EB6834"/>
              </a:solidFill>
            </a:ln>
          </c:spPr>
          <c:marker>
            <c:symbol val="diamond"/>
            <c:size val="7"/>
            <c:spPr>
              <a:solidFill>
                <a:srgbClr val="EB6834"/>
              </a:solidFill>
              <a:ln>
                <a:noFill/>
              </a:ln>
            </c:spPr>
          </c:marker>
          <c:dLbls>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2.2</c:v>
                </c:pt>
                <c:pt idx="1">
                  <c:v>2.31</c:v>
                </c:pt>
                <c:pt idx="2">
                  <c:v>2.22</c:v>
                </c:pt>
                <c:pt idx="3">
                  <c:v>2.24</c:v>
                </c:pt>
                <c:pt idx="4">
                  <c:v>2.47</c:v>
                </c:pt>
              </c:numCache>
            </c:numRef>
          </c:yVal>
          <c:smooth val="0"/>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ser>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0"/>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SQB: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dLbl>
            <c:dLbl>
              <c:idx val="2"/>
              <c:delete val="1"/>
            </c:dLbl>
            <c:dLbl>
              <c:idx val="3"/>
              <c:delete val="1"/>
            </c:dLbl>
            <c:dLbl>
              <c:idx val="4"/>
              <c:delete val="1"/>
            </c:dLbl>
            <c:dLbl>
              <c:idx val="5"/>
              <c:delete val="1"/>
            </c:dLbl>
            <c:dLbl>
              <c:idx val="7"/>
              <c:delete val="1"/>
            </c:dLbl>
            <c:dLbl>
              <c:idx val="8"/>
              <c:delete val="1"/>
            </c:dLbl>
            <c:dLbl>
              <c:idx val="9"/>
              <c:delete val="1"/>
            </c:dLbl>
            <c:dLbl>
              <c:idx val="11"/>
              <c:delete val="1"/>
            </c:dLbl>
            <c:dLbl>
              <c:idx val="12"/>
              <c:delete val="1"/>
            </c:dLbl>
            <c:dLbl>
              <c:idx val="13"/>
              <c:delete val="1"/>
            </c:dLbl>
            <c:dLbl>
              <c:idx val="14"/>
              <c:delete val="1"/>
            </c:dLbl>
            <c:dLbl>
              <c:idx val="15"/>
              <c:delete val="1"/>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3.39</c:v>
                </c:pt>
                <c:pt idx="1">
                  <c:v>3.38</c:v>
                </c:pt>
                <c:pt idx="2">
                  <c:v>3.38</c:v>
                </c:pt>
                <c:pt idx="3">
                  <c:v>3.36</c:v>
                </c:pt>
                <c:pt idx="4">
                  <c:v>3.27</c:v>
                </c:pt>
                <c:pt idx="5">
                  <c:v>3.22</c:v>
                </c:pt>
                <c:pt idx="6">
                  <c:v>3.18</c:v>
                </c:pt>
                <c:pt idx="7">
                  <c:v>3.32</c:v>
                </c:pt>
                <c:pt idx="8">
                  <c:v>3.36</c:v>
                </c:pt>
                <c:pt idx="9">
                  <c:v>3.17</c:v>
                </c:pt>
                <c:pt idx="10">
                  <c:v>3.19</c:v>
                </c:pt>
                <c:pt idx="11">
                  <c:v>3.29</c:v>
                </c:pt>
                <c:pt idx="12">
                  <c:v>3.38</c:v>
                </c:pt>
                <c:pt idx="13">
                  <c:v>3.22</c:v>
                </c:pt>
                <c:pt idx="14">
                  <c:v>3.35</c:v>
                </c:pt>
                <c:pt idx="15">
                  <c:v>3.46</c:v>
                </c:pt>
                <c:pt idx="16">
                  <c:v>3.61</c:v>
                </c:pt>
              </c:numCache>
            </c:numRef>
          </c:yVal>
          <c:smooth val="0"/>
        </c:ser>
        <c:ser>
          <c:idx val="1"/>
          <c:order val="1"/>
          <c:tx>
            <c:strRef>
              <c:f>Sheet1!$D$1</c:f>
              <c:strCache>
                <c:ptCount val="1"/>
                <c:pt idx="0">
                  <c:v>SQB: MHXS hisoboti asosida (yillik)</c:v>
                </c:pt>
              </c:strCache>
            </c:strRef>
          </c:tx>
          <c:spPr>
            <a:ln w="28575">
              <a:solidFill>
                <a:srgbClr val="EB6834"/>
              </a:solidFill>
            </a:ln>
          </c:spPr>
          <c:marker>
            <c:symbol val="diamond"/>
            <c:size val="7"/>
            <c:spPr>
              <a:solidFill>
                <a:srgbClr val="EB6834"/>
              </a:solidFill>
              <a:ln>
                <a:noFill/>
              </a:ln>
            </c:spPr>
          </c:marker>
          <c:dLbls>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delete val="1"/>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2.93</c:v>
                </c:pt>
                <c:pt idx="1">
                  <c:v>2.82</c:v>
                </c:pt>
                <c:pt idx="2">
                  <c:v>2.91</c:v>
                </c:pt>
                <c:pt idx="3">
                  <c:v>2.75</c:v>
                </c:pt>
                <c:pt idx="4">
                  <c:v>2.83</c:v>
                </c:pt>
              </c:numCache>
            </c:numRef>
          </c:yVal>
          <c:smooth val="0"/>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ser>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0"/>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2026-10-11T20:28:41Z</dcterms:created>
  <dcterms:modified xsi:type="dcterms:W3CDTF">2026-10-11T20:28:41Z</dcterms:modified>
</cp:coreProperties>
</file>

<file path=docProps/custom.xml><?xml version="1.0" encoding="utf-8"?>
<Properties xmlns="http://schemas.openxmlformats.org/officeDocument/2006/custom-properties" xmlns:vt="http://schemas.openxmlformats.org/officeDocument/2006/docPropsVTypes"/>
</file>