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2.3.1-jadval bo‘yicha tuzatishlar (namuna, o‘zgarishlar qizil rangda)</w:t>
      </w:r>
    </w:p>
    <w:p>
      <w:pPr>
        <w:jc w:val="right"/>
      </w:pPr>
      <w:r>
        <w:rPr>
          <w:b w:val="0"/>
          <w:i/>
          <w:sz w:val="28"/>
        </w:rPr>
        <w:t>2.3.1-jadval</w:t>
      </w:r>
    </w:p>
    <w:p>
      <w:pPr>
        <w:spacing w:line="240" w:lineRule="auto"/>
        <w:jc w:val="center"/>
      </w:pPr>
      <w:r>
        <w:rPr>
          <w:b/>
          <w:i w:val="0"/>
          <w:sz w:val="28"/>
        </w:rPr>
        <w:t>Milliy prudensial hisobot va MHXS bo‘yicha hisobot o‘rtasidagi asosiy farqlar [1]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2835"/>
        <w:gridCol w:w="2324"/>
      </w:tblGrid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/>
                <w:sz w:val="22"/>
              </w:rPr>
              <w:t>Belgi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Milliy prudensial hisobot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b/>
                <w:sz w:val="22"/>
              </w:rPr>
              <w:t>MHXS bo‘yicha hisobot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>
              <w:rPr>
                <w:b/>
                <w:sz w:val="22"/>
              </w:rPr>
              <w:t>Ko‘rsatkichlarga ta’siri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Hisobot doirasi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Alohida bank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b w:val="0"/>
                <w:color w:val="FF0000"/>
                <w:sz w:val="22"/>
              </w:rPr>
              <w:t>Bank guruhi (sho‘ba korxonalari bo‘lsa – konsolidatsiyalangan), aks holda alohida bank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Aktivlar, kapital va foyda tarkibi o‘zgaradi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Kreditlarni tasniflash asosi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Besh toifa: standart, substandart, qoniqarsiz, shubhali, umidsiz; asosiy mezon – muddati o‘tgan kunlar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b w:val="0"/>
                <w:color w:val="FF0000"/>
                <w:sz w:val="22"/>
              </w:rPr>
              <w:t>Uch bosqich: kredit riski sezilarli oshmagan 1-bosqich,</w:t>
            </w:r>
            <w:r>
              <w:rPr>
                <w:b w:val="0"/>
                <w:sz w:val="22"/>
              </w:rPr>
              <w:t xml:space="preserve"> kredit riski sezilarli oshgan 2-bosqich, kredit qadrsizlangan 3-bosqich; restrukturizatsiya, defolt tarixi va kelajakka yo‘naltirilgan ma’lumotlar ham hisobga olinadi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Muammoli kreditlar ulushi MHXS bo‘yicha yuqori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Zaxira shakllantirish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Toifa bo‘yicha qat’iy stavkalar: 1, 10, 25, 50 va 100 foiz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Kutilgan kredit zararlari: defolt ehtimoli, defolt holatidagi yo‘qotish va riskdagi summa asosida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Zaxiralar va zararlar MHXS bo‘yicha ko‘proq va ertaroq tan olinadi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color w:val="FF0000"/>
                <w:sz w:val="22"/>
              </w:rPr>
              <w:t>Restrukturizatsiya qilingan kreditlar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color w:val="FF0000"/>
                <w:sz w:val="22"/>
              </w:rPr>
              <w:t>6 oygacha imtiyozli davr tasnifga ta’sir qilmaydi; yashovchanlik bahosi va muammoli toifadan chiqarish uchun sinov muddati yo‘q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b w:val="0"/>
                <w:color w:val="FF0000"/>
                <w:sz w:val="22"/>
              </w:rPr>
              <w:t>Kredit riski sezilarli oshganining belgisi sifatida 2 yoki 3-bosqichga o‘tkaziladi; yuqori bosqichga qaytarish uchun to‘lovlarning barqarorligi talab qilinadi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>
              <w:rPr>
                <w:b w:val="0"/>
                <w:color w:val="FF0000"/>
                <w:sz w:val="22"/>
              </w:rPr>
              <w:t>Restrukturizatsiya qilingan kreditlarning asosiy qismi milliy hisobotda “standart” toifada qoladi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Bozor stavkasidan past stavkadagi kreditlar va resurslar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Nominal qiymatda aks ettiriladi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Haqqoniy qiymatda tan olinadi, farq dastlabki tan olishdagi foyda yoki zarar sifatida ko‘rsatiladi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Davlat dasturlari bo‘yicha imtiyozli operatsiyalar foydaga ta’sir qiladi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Regulyativ kapital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Milliy buxgalteriya hisobi asosida hisoblanadi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b w:val="0"/>
                <w:color w:val="FF0000"/>
                <w:sz w:val="22"/>
              </w:rPr>
              <w:t>Hisoblanmaydi; izohlarda milliy me’yorlar bo‘yicha hisoblangan qiymat oshkor qilinadi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MHXS bo‘yicha kapital farqi kapital monandligida aks etmaydi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Hisobot muddati va oshkoralik</w:t>
            </w:r>
          </w:p>
        </w:tc>
        <w:tc>
          <w:tcPr>
            <w:tcW w:type="dxa" w:w="2494"/>
          </w:tcPr>
          <w:p>
            <w:pPr>
              <w:spacing w:line="240" w:lineRule="auto"/>
            </w:pPr>
            <w:r>
              <w:rPr>
                <w:b w:val="0"/>
                <w:color w:val="FF0000"/>
                <w:sz w:val="22"/>
              </w:rPr>
              <w:t>Har oylik, choraklik; prudensial shakllar ochiq e’lon qilinmaydi, ko‘rsatkichlar Markaziy bank statistikasida jamlangan holda beriladi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b w:val="0"/>
                <w:color w:val="FF0000"/>
                <w:sz w:val="22"/>
              </w:rPr>
              <w:t>Yillik, auditorlik xulosasi bilan, olti oy kechikib e’lon qilinadi;</w:t>
            </w:r>
            <w:r>
              <w:rPr>
                <w:b w:val="0"/>
                <w:sz w:val="22"/>
              </w:rPr>
              <w:t xml:space="preserve"> bosqichlar, garov va risklar bo‘yicha batafsil izohlar</w:t>
            </w:r>
          </w:p>
        </w:tc>
        <w:tc>
          <w:tcPr>
            <w:tcW w:type="dxa" w:w="2324"/>
          </w:tcPr>
          <w:p>
            <w:pPr>
              <w:spacing w:line="240" w:lineRule="auto"/>
            </w:pPr>
            <w:r>
              <w:rPr>
                <w:b w:val="0"/>
                <w:sz w:val="22"/>
              </w:rPr>
              <w:t>MHXS chuqurroq, ammo kechroq ma’lumot beradi</w:t>
            </w:r>
          </w:p>
        </w:tc>
      </w:tr>
    </w:tbl>
    <w:p>
      <w:pPr>
        <w:jc w:val="both"/>
      </w:pPr>
      <w:r>
        <w:rPr>
          <w:b w:val="0"/>
          <w:i w:val="0"/>
          <w:sz w:val="28"/>
        </w:rPr>
      </w:r>
    </w:p>
    <w:p>
      <w:pPr>
        <w:spacing w:line="240" w:lineRule="auto"/>
        <w:jc w:val="both"/>
      </w:pPr>
      <w:r>
        <w:rPr>
          <w:b w:val="0"/>
          <w:i w:val="0"/>
          <w:sz w:val="22"/>
        </w:rPr>
        <w:t xml:space="preserve">[1] </w:t>
      </w:r>
      <w:r>
        <w:rPr>
          <w:b w:val="0"/>
          <w:i w:val="0"/>
          <w:sz w:val="22"/>
        </w:rPr>
        <w:t xml:space="preserve"> Tadqiqot natijasida muallif tomonidan quyidagi manbalar asosida ishlab chiqildi: Tijorat banklarida aktivlar sifatini tasniflash va aktivlar bo‘yicha ehtimoliy yo‘qotishlarni qoplash uchun zaxiralarni shakllantirish hamda ulardan foydalanish tartibi to‘g‘risidagi nizom (O‘zbekiston Respublikasi Markaziy banki Boshqaruvining qarori, ro‘yxat raqami 2696, 14.07.2015) // https://lex.uz; IFRS 9 Financial Instruments. – London: International Accounting Standards Board, 2014; “O‘zsanoatqurilishbank” ATB ning Markaziy bankka taqdim etilgan prudensial hisobot shakllari (crs003C, crs003L, crs003O): bank balansi, daromadlar, regulyativ kapital hisob-kitobi, aktivlarni tasniflash va prudensial me’yorlar jadvallari, 2020–2025-yillar 30-dekabr holatiga; Joint Stock Commercial Bank “Uzbek Industrial and Construction Bank” and its subsidiaries. Consolidated Financial Statements for the year ended 31 December 2025 and Independent Auditor’s Report. – Tashkent, 2026. – P. 37–38, 74; Акционерно-коммерческий банк “Микрокредитбанк”. </w:t>
      </w:r>
      <w:r>
        <w:rPr>
          <w:b w:val="0"/>
          <w:i w:val="0"/>
          <w:sz w:val="22"/>
        </w:rPr>
        <w:t>Консолидированная финансовая отчетность за год, закончившийся 31 декабря 2025 года, и заключение независимых аудиторов. – Ташкент, 2026. – С. 11–12.</w:t>
      </w:r>
      <w:r>
        <w:rPr>
          <w:b w:val="0"/>
          <w:i w:val="0"/>
          <w:color w:val="FF0000"/>
          <w:sz w:val="22"/>
        </w:rPr>
        <w:t>; International Monetary Fund. Republic of Uzbekistan: Financial Sector Assessment Program – Financial System Stability Assessment. IMF Country Report No. 25/145. – Washington, DC: IMF, 2025. – P. 21, 30.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