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8"/>
        </w:rPr>
        <w:t>3.1.2-jadval</w:t>
      </w:r>
    </w:p>
    <w:p>
      <w:pPr>
        <w:jc w:val="center"/>
      </w:pPr>
      <w:r>
        <w:rPr>
          <w:b/>
          <w:sz w:val="28"/>
        </w:rPr>
        <w:t>Moliyaviy barqarorlikning integral indeksi ko‘rsatkichlari va ularning chegaraviy qiymatlari</w:t>
      </w:r>
    </w:p>
    <w:tbl>
      <w:tblPr>
        <w:tblStyle w:val="TableGrid"/>
        <w:tblW w:type="auto" w:w="0"/>
        <w:tblLayout w:type="fixed"/>
        <w:tblLook w:firstColumn="1" w:firstRow="1" w:lastColumn="0" w:lastRow="0" w:noHBand="0" w:noVBand="1" w:val="04A0"/>
      </w:tblPr>
      <w:tblGrid>
        <w:gridCol w:w="623"/>
        <w:gridCol w:w="3402"/>
        <w:gridCol w:w="1360"/>
        <w:gridCol w:w="907"/>
        <w:gridCol w:w="907"/>
        <w:gridCol w:w="907"/>
        <w:gridCol w:w="907"/>
      </w:tblGrid>
      <w:tr>
        <w:tc>
          <w:tcPr>
            <w:tcW w:type="dxa" w:w="624"/>
          </w:tcPr>
          <w:p>
            <w:pPr>
              <w:jc w:val="center"/>
            </w:pPr>
            <w:r>
              <w:rPr>
                <w:b/>
                <w:color w:val="FF0000"/>
                <w:sz w:val="22"/>
              </w:rPr>
              <w:t>№</w:t>
            </w:r>
          </w:p>
        </w:tc>
        <w:tc>
          <w:tcPr>
            <w:tcW w:type="dxa" w:w="3402"/>
          </w:tcPr>
          <w:p>
            <w:pPr>
              <w:jc w:val="center"/>
            </w:pPr>
            <w:r>
              <w:rPr>
                <w:b/>
                <w:sz w:val="22"/>
              </w:rPr>
              <w:t>Blok va ko‘rsatkich</w:t>
            </w:r>
          </w:p>
        </w:tc>
        <w:tc>
          <w:tcPr>
            <w:tcW w:type="dxa" w:w="1361"/>
          </w:tcPr>
          <w:p>
            <w:pPr>
              <w:jc w:val="center"/>
            </w:pPr>
            <w:r>
              <w:rPr>
                <w:b/>
                <w:sz w:val="22"/>
              </w:rPr>
              <w:t>Standart</w:t>
            </w:r>
          </w:p>
        </w:tc>
        <w:tc>
          <w:tcPr>
            <w:tcW w:type="dxa" w:w="907"/>
          </w:tcPr>
          <w:p>
            <w:pPr>
              <w:jc w:val="center"/>
            </w:pPr>
            <w:r>
              <w:rPr>
                <w:b/>
                <w:sz w:val="22"/>
              </w:rPr>
              <w:t>1 ball</w:t>
            </w:r>
          </w:p>
        </w:tc>
        <w:tc>
          <w:tcPr>
            <w:tcW w:type="dxa" w:w="907"/>
          </w:tcPr>
          <w:p>
            <w:pPr>
              <w:jc w:val="center"/>
            </w:pPr>
            <w:r>
              <w:rPr>
                <w:b/>
                <w:sz w:val="22"/>
              </w:rPr>
              <w:t>2 ball</w:t>
            </w:r>
          </w:p>
        </w:tc>
        <w:tc>
          <w:tcPr>
            <w:tcW w:type="dxa" w:w="907"/>
          </w:tcPr>
          <w:p>
            <w:pPr>
              <w:jc w:val="center"/>
            </w:pPr>
            <w:r>
              <w:rPr>
                <w:b/>
                <w:sz w:val="22"/>
              </w:rPr>
              <w:t>3 ball</w:t>
            </w:r>
          </w:p>
        </w:tc>
        <w:tc>
          <w:tcPr>
            <w:tcW w:type="dxa" w:w="907"/>
          </w:tcPr>
          <w:p>
            <w:pPr>
              <w:jc w:val="center"/>
            </w:pPr>
            <w:r>
              <w:rPr>
                <w:b/>
                <w:sz w:val="22"/>
              </w:rPr>
              <w:t>4 ball</w:t>
            </w:r>
          </w:p>
        </w:tc>
      </w:tr>
      <w:tr>
        <w:tc>
          <w:tcPr>
            <w:tcW w:type="dxa" w:w="624"/>
          </w:tcPr>
          <w:p>
            <w:pPr>
              <w:jc w:val="center"/>
            </w:pPr>
            <w:r>
              <w:rPr>
                <w:b/>
                <w:color w:val="FF0000"/>
                <w:sz w:val="22"/>
              </w:rPr>
              <w:t>1.</w:t>
            </w:r>
          </w:p>
        </w:tc>
        <w:tc>
          <w:tcPr>
            <w:tcW w:type="dxa" w:w="907"/>
            <w:gridSpan w:val="6"/>
          </w:tcPr>
          <w:p>
            <w:r>
              <w:rPr>
                <w:b/>
                <w:sz w:val="22"/>
              </w:rPr>
              <w:t>Kapital yetarliligi</w:t>
            </w:r>
          </w:p>
        </w:tc>
      </w:tr>
      <w:tr>
        <w:tc>
          <w:tcPr>
            <w:tcW w:type="dxa" w:w="624"/>
          </w:tcPr>
          <w:p>
            <w:pPr>
              <w:jc w:val="center"/>
            </w:pPr>
            <w:r>
              <w:rPr>
                <w:b w:val="0"/>
                <w:color w:val="FF0000"/>
                <w:sz w:val="22"/>
              </w:rPr>
              <w:t>1.1</w:t>
            </w:r>
          </w:p>
        </w:tc>
        <w:tc>
          <w:tcPr>
            <w:tcW w:type="dxa" w:w="3402"/>
          </w:tcPr>
          <w:p>
            <w:r>
              <w:rPr>
                <w:b w:val="0"/>
                <w:sz w:val="22"/>
              </w:rPr>
              <w:t>K1. Birinchi darajali asosiy kapital monandligi, %</w:t>
            </w:r>
          </w:p>
        </w:tc>
        <w:tc>
          <w:tcPr>
            <w:tcW w:type="dxa" w:w="1361"/>
          </w:tcPr>
          <w:p>
            <w:pPr>
              <w:jc w:val="center"/>
            </w:pPr>
            <w:r>
              <w:rPr>
                <w:b w:val="0"/>
                <w:sz w:val="22"/>
              </w:rPr>
              <w:t>Bazel III, XVJ</w:t>
            </w:r>
          </w:p>
        </w:tc>
        <w:tc>
          <w:tcPr>
            <w:tcW w:type="dxa" w:w="907"/>
          </w:tcPr>
          <w:p>
            <w:pPr>
              <w:jc w:val="center"/>
            </w:pPr>
            <w:r>
              <w:rPr>
                <w:b w:val="0"/>
                <w:sz w:val="22"/>
              </w:rPr>
              <w:t>≤ 4,5</w:t>
            </w:r>
          </w:p>
        </w:tc>
        <w:tc>
          <w:tcPr>
            <w:tcW w:type="dxa" w:w="907"/>
          </w:tcPr>
          <w:p>
            <w:pPr>
              <w:jc w:val="center"/>
            </w:pPr>
            <w:r>
              <w:rPr>
                <w:b w:val="0"/>
                <w:sz w:val="22"/>
              </w:rPr>
              <w:t>7,0</w:t>
            </w:r>
          </w:p>
        </w:tc>
        <w:tc>
          <w:tcPr>
            <w:tcW w:type="dxa" w:w="907"/>
          </w:tcPr>
          <w:p>
            <w:pPr>
              <w:jc w:val="center"/>
            </w:pPr>
            <w:r>
              <w:rPr>
                <w:b w:val="0"/>
                <w:sz w:val="22"/>
              </w:rPr>
              <w:t>8,0</w:t>
            </w:r>
          </w:p>
        </w:tc>
        <w:tc>
          <w:tcPr>
            <w:tcW w:type="dxa" w:w="907"/>
          </w:tcPr>
          <w:p>
            <w:pPr>
              <w:jc w:val="center"/>
            </w:pPr>
            <w:r>
              <w:rPr>
                <w:b w:val="0"/>
                <w:sz w:val="22"/>
              </w:rPr>
              <w:t>≥ 10,5</w:t>
            </w:r>
          </w:p>
        </w:tc>
      </w:tr>
      <w:tr>
        <w:tc>
          <w:tcPr>
            <w:tcW w:type="dxa" w:w="624"/>
          </w:tcPr>
          <w:p>
            <w:pPr>
              <w:jc w:val="center"/>
            </w:pPr>
            <w:r>
              <w:rPr>
                <w:b w:val="0"/>
                <w:color w:val="FF0000"/>
                <w:sz w:val="22"/>
              </w:rPr>
              <w:t>1.2</w:t>
            </w:r>
          </w:p>
        </w:tc>
        <w:tc>
          <w:tcPr>
            <w:tcW w:type="dxa" w:w="3402"/>
          </w:tcPr>
          <w:p>
            <w:r>
              <w:rPr>
                <w:b w:val="0"/>
                <w:sz w:val="22"/>
              </w:rPr>
              <w:t>K2. Regulyativ kapital monandligi, %</w:t>
            </w:r>
          </w:p>
        </w:tc>
        <w:tc>
          <w:tcPr>
            <w:tcW w:type="dxa" w:w="1361"/>
          </w:tcPr>
          <w:p>
            <w:pPr>
              <w:jc w:val="center"/>
            </w:pPr>
            <w:r>
              <w:rPr>
                <w:b w:val="0"/>
                <w:sz w:val="22"/>
              </w:rPr>
              <w:t>Bazel III, XVJ</w:t>
            </w:r>
          </w:p>
        </w:tc>
        <w:tc>
          <w:tcPr>
            <w:tcW w:type="dxa" w:w="907"/>
          </w:tcPr>
          <w:p>
            <w:pPr>
              <w:jc w:val="center"/>
            </w:pPr>
            <w:r>
              <w:rPr>
                <w:b w:val="0"/>
                <w:sz w:val="22"/>
              </w:rPr>
              <w:t>≤ 8,0</w:t>
            </w:r>
          </w:p>
        </w:tc>
        <w:tc>
          <w:tcPr>
            <w:tcW w:type="dxa" w:w="907"/>
          </w:tcPr>
          <w:p>
            <w:pPr>
              <w:jc w:val="center"/>
            </w:pPr>
            <w:r>
              <w:rPr>
                <w:b w:val="0"/>
                <w:sz w:val="22"/>
              </w:rPr>
              <w:t>10,5</w:t>
            </w:r>
          </w:p>
        </w:tc>
        <w:tc>
          <w:tcPr>
            <w:tcW w:type="dxa" w:w="907"/>
          </w:tcPr>
          <w:p>
            <w:pPr>
              <w:jc w:val="center"/>
            </w:pPr>
            <w:r>
              <w:rPr>
                <w:b w:val="0"/>
                <w:sz w:val="22"/>
              </w:rPr>
              <w:t>13,0</w:t>
            </w:r>
          </w:p>
        </w:tc>
        <w:tc>
          <w:tcPr>
            <w:tcW w:type="dxa" w:w="907"/>
          </w:tcPr>
          <w:p>
            <w:pPr>
              <w:jc w:val="center"/>
            </w:pPr>
            <w:r>
              <w:rPr>
                <w:b w:val="0"/>
                <w:sz w:val="22"/>
              </w:rPr>
              <w:t>≥ 15,5</w:t>
            </w:r>
          </w:p>
        </w:tc>
      </w:tr>
      <w:tr>
        <w:tc>
          <w:tcPr>
            <w:tcW w:type="dxa" w:w="624"/>
          </w:tcPr>
          <w:p>
            <w:pPr>
              <w:jc w:val="center"/>
            </w:pPr>
            <w:r>
              <w:rPr>
                <w:b w:val="0"/>
                <w:color w:val="FF0000"/>
                <w:sz w:val="22"/>
              </w:rPr>
              <w:t>1.3</w:t>
            </w:r>
          </w:p>
        </w:tc>
        <w:tc>
          <w:tcPr>
            <w:tcW w:type="dxa" w:w="3402"/>
          </w:tcPr>
          <w:p>
            <w:r>
              <w:rPr>
                <w:b w:val="0"/>
                <w:sz w:val="22"/>
              </w:rPr>
              <w:t>K3. Kapital / aktivlar, %</w:t>
            </w:r>
          </w:p>
        </w:tc>
        <w:tc>
          <w:tcPr>
            <w:tcW w:type="dxa" w:w="1361"/>
          </w:tcPr>
          <w:p>
            <w:pPr>
              <w:jc w:val="center"/>
            </w:pPr>
            <w:r>
              <w:rPr>
                <w:b w:val="0"/>
                <w:sz w:val="22"/>
              </w:rPr>
              <w:t>XVJ, Bazel III</w:t>
            </w:r>
          </w:p>
        </w:tc>
        <w:tc>
          <w:tcPr>
            <w:tcW w:type="dxa" w:w="907"/>
          </w:tcPr>
          <w:p>
            <w:pPr>
              <w:jc w:val="center"/>
            </w:pPr>
            <w:r>
              <w:rPr>
                <w:b w:val="0"/>
                <w:sz w:val="22"/>
              </w:rPr>
              <w:t>≤ 3,0</w:t>
            </w:r>
          </w:p>
        </w:tc>
        <w:tc>
          <w:tcPr>
            <w:tcW w:type="dxa" w:w="907"/>
          </w:tcPr>
          <w:p>
            <w:pPr>
              <w:jc w:val="center"/>
            </w:pPr>
            <w:r>
              <w:rPr>
                <w:b w:val="0"/>
                <w:sz w:val="22"/>
              </w:rPr>
              <w:t>4,0</w:t>
            </w:r>
          </w:p>
        </w:tc>
        <w:tc>
          <w:tcPr>
            <w:tcW w:type="dxa" w:w="907"/>
          </w:tcPr>
          <w:p>
            <w:pPr>
              <w:jc w:val="center"/>
            </w:pPr>
            <w:r>
              <w:rPr>
                <w:b w:val="0"/>
                <w:sz w:val="22"/>
              </w:rPr>
              <w:t>6,0</w:t>
            </w:r>
          </w:p>
        </w:tc>
        <w:tc>
          <w:tcPr>
            <w:tcW w:type="dxa" w:w="907"/>
          </w:tcPr>
          <w:p>
            <w:pPr>
              <w:jc w:val="center"/>
            </w:pPr>
            <w:r>
              <w:rPr>
                <w:b w:val="0"/>
                <w:sz w:val="22"/>
              </w:rPr>
              <w:t>≥ 8,0</w:t>
            </w:r>
          </w:p>
        </w:tc>
      </w:tr>
      <w:tr>
        <w:tc>
          <w:tcPr>
            <w:tcW w:type="dxa" w:w="624"/>
          </w:tcPr>
          <w:p>
            <w:pPr>
              <w:jc w:val="center"/>
            </w:pPr>
            <w:r>
              <w:rPr>
                <w:b/>
                <w:color w:val="FF0000"/>
                <w:sz w:val="22"/>
              </w:rPr>
              <w:t>2.</w:t>
            </w:r>
          </w:p>
        </w:tc>
        <w:tc>
          <w:tcPr>
            <w:tcW w:type="dxa" w:w="907"/>
            <w:gridSpan w:val="6"/>
          </w:tcPr>
          <w:p>
            <w:r>
              <w:rPr>
                <w:b/>
                <w:sz w:val="22"/>
              </w:rPr>
              <w:t>Aktivlar sifati</w:t>
            </w:r>
          </w:p>
        </w:tc>
      </w:tr>
      <w:tr>
        <w:tc>
          <w:tcPr>
            <w:tcW w:type="dxa" w:w="624"/>
          </w:tcPr>
          <w:p>
            <w:pPr>
              <w:jc w:val="center"/>
            </w:pPr>
            <w:r>
              <w:rPr>
                <w:b w:val="0"/>
                <w:color w:val="FF0000"/>
                <w:sz w:val="22"/>
              </w:rPr>
              <w:t>2.1</w:t>
            </w:r>
          </w:p>
        </w:tc>
        <w:tc>
          <w:tcPr>
            <w:tcW w:type="dxa" w:w="3402"/>
          </w:tcPr>
          <w:p>
            <w:r>
              <w:rPr>
                <w:b w:val="0"/>
                <w:sz w:val="22"/>
              </w:rPr>
              <w:t>A1. 3-bosqich kreditlari ulushi, %</w:t>
            </w:r>
          </w:p>
        </w:tc>
        <w:tc>
          <w:tcPr>
            <w:tcW w:type="dxa" w:w="1361"/>
          </w:tcPr>
          <w:p>
            <w:pPr>
              <w:jc w:val="center"/>
            </w:pPr>
            <w:r>
              <w:rPr>
                <w:b w:val="0"/>
                <w:sz w:val="22"/>
              </w:rPr>
              <w:t>MHXS 9, XVJ</w:t>
            </w:r>
          </w:p>
        </w:tc>
        <w:tc>
          <w:tcPr>
            <w:tcW w:type="dxa" w:w="907"/>
          </w:tcPr>
          <w:p>
            <w:pPr>
              <w:jc w:val="center"/>
            </w:pPr>
            <w:r>
              <w:rPr>
                <w:b w:val="0"/>
                <w:sz w:val="22"/>
              </w:rPr>
              <w:t>≥ 15</w:t>
            </w:r>
          </w:p>
        </w:tc>
        <w:tc>
          <w:tcPr>
            <w:tcW w:type="dxa" w:w="907"/>
          </w:tcPr>
          <w:p>
            <w:pPr>
              <w:jc w:val="center"/>
            </w:pPr>
            <w:r>
              <w:rPr>
                <w:b w:val="0"/>
                <w:sz w:val="22"/>
              </w:rPr>
              <w:t>10</w:t>
            </w:r>
          </w:p>
        </w:tc>
        <w:tc>
          <w:tcPr>
            <w:tcW w:type="dxa" w:w="907"/>
          </w:tcPr>
          <w:p>
            <w:pPr>
              <w:jc w:val="center"/>
            </w:pPr>
            <w:r>
              <w:rPr>
                <w:b w:val="0"/>
                <w:sz w:val="22"/>
              </w:rPr>
              <w:t>5</w:t>
            </w:r>
          </w:p>
        </w:tc>
        <w:tc>
          <w:tcPr>
            <w:tcW w:type="dxa" w:w="907"/>
          </w:tcPr>
          <w:p>
            <w:pPr>
              <w:jc w:val="center"/>
            </w:pPr>
            <w:r>
              <w:rPr>
                <w:b w:val="0"/>
                <w:sz w:val="22"/>
              </w:rPr>
              <w:t>≤ 3</w:t>
            </w:r>
          </w:p>
        </w:tc>
      </w:tr>
      <w:tr>
        <w:tc>
          <w:tcPr>
            <w:tcW w:type="dxa" w:w="624"/>
          </w:tcPr>
          <w:p>
            <w:pPr>
              <w:jc w:val="center"/>
            </w:pPr>
            <w:r>
              <w:rPr>
                <w:b w:val="0"/>
                <w:color w:val="FF0000"/>
                <w:sz w:val="22"/>
              </w:rPr>
              <w:t>2.2</w:t>
            </w:r>
          </w:p>
        </w:tc>
        <w:tc>
          <w:tcPr>
            <w:tcW w:type="dxa" w:w="3402"/>
          </w:tcPr>
          <w:p>
            <w:r>
              <w:rPr>
                <w:b w:val="0"/>
                <w:sz w:val="22"/>
              </w:rPr>
              <w:t>A2. 2-bosqich kreditlari ulushi, %</w:t>
            </w:r>
          </w:p>
        </w:tc>
        <w:tc>
          <w:tcPr>
            <w:tcW w:type="dxa" w:w="1361"/>
          </w:tcPr>
          <w:p>
            <w:pPr>
              <w:jc w:val="center"/>
            </w:pPr>
            <w:r>
              <w:rPr>
                <w:b w:val="0"/>
                <w:sz w:val="22"/>
              </w:rPr>
              <w:t>MHXS 9</w:t>
            </w:r>
          </w:p>
        </w:tc>
        <w:tc>
          <w:tcPr>
            <w:tcW w:type="dxa" w:w="907"/>
          </w:tcPr>
          <w:p>
            <w:pPr>
              <w:jc w:val="center"/>
            </w:pPr>
            <w:r>
              <w:rPr>
                <w:b w:val="0"/>
                <w:sz w:val="22"/>
              </w:rPr>
              <w:t>≥ 35</w:t>
            </w:r>
          </w:p>
        </w:tc>
        <w:tc>
          <w:tcPr>
            <w:tcW w:type="dxa" w:w="907"/>
          </w:tcPr>
          <w:p>
            <w:pPr>
              <w:jc w:val="center"/>
            </w:pPr>
            <w:r>
              <w:rPr>
                <w:b w:val="0"/>
                <w:sz w:val="22"/>
              </w:rPr>
              <w:t>25</w:t>
            </w:r>
          </w:p>
        </w:tc>
        <w:tc>
          <w:tcPr>
            <w:tcW w:type="dxa" w:w="907"/>
          </w:tcPr>
          <w:p>
            <w:pPr>
              <w:jc w:val="center"/>
            </w:pPr>
            <w:r>
              <w:rPr>
                <w:b w:val="0"/>
                <w:sz w:val="22"/>
              </w:rPr>
              <w:t>15</w:t>
            </w:r>
          </w:p>
        </w:tc>
        <w:tc>
          <w:tcPr>
            <w:tcW w:type="dxa" w:w="907"/>
          </w:tcPr>
          <w:p>
            <w:pPr>
              <w:jc w:val="center"/>
            </w:pPr>
            <w:r>
              <w:rPr>
                <w:b w:val="0"/>
                <w:sz w:val="22"/>
              </w:rPr>
              <w:t>≤ 10</w:t>
            </w:r>
          </w:p>
        </w:tc>
      </w:tr>
      <w:tr>
        <w:tc>
          <w:tcPr>
            <w:tcW w:type="dxa" w:w="624"/>
          </w:tcPr>
          <w:p>
            <w:pPr>
              <w:jc w:val="center"/>
            </w:pPr>
            <w:r>
              <w:rPr>
                <w:b w:val="0"/>
                <w:color w:val="FF0000"/>
                <w:sz w:val="22"/>
              </w:rPr>
              <w:t>2.3</w:t>
            </w:r>
          </w:p>
        </w:tc>
        <w:tc>
          <w:tcPr>
            <w:tcW w:type="dxa" w:w="3402"/>
          </w:tcPr>
          <w:p>
            <w:r>
              <w:rPr>
                <w:b w:val="0"/>
                <w:sz w:val="22"/>
              </w:rPr>
              <w:t>A3. Zaxira bilan qoplanmagan muammoli kreditlar / kapital, %</w:t>
            </w:r>
          </w:p>
        </w:tc>
        <w:tc>
          <w:tcPr>
            <w:tcW w:type="dxa" w:w="1361"/>
          </w:tcPr>
          <w:p>
            <w:pPr>
              <w:jc w:val="center"/>
            </w:pPr>
            <w:r>
              <w:rPr>
                <w:b w:val="0"/>
                <w:sz w:val="22"/>
              </w:rPr>
              <w:t>XVJ</w:t>
            </w:r>
          </w:p>
        </w:tc>
        <w:tc>
          <w:tcPr>
            <w:tcW w:type="dxa" w:w="907"/>
          </w:tcPr>
          <w:p>
            <w:pPr>
              <w:jc w:val="center"/>
            </w:pPr>
            <w:r>
              <w:rPr>
                <w:b w:val="0"/>
                <w:sz w:val="22"/>
              </w:rPr>
              <w:t>≥ 30</w:t>
            </w:r>
          </w:p>
        </w:tc>
        <w:tc>
          <w:tcPr>
            <w:tcW w:type="dxa" w:w="907"/>
          </w:tcPr>
          <w:p>
            <w:pPr>
              <w:jc w:val="center"/>
            </w:pPr>
            <w:r>
              <w:rPr>
                <w:b w:val="0"/>
                <w:sz w:val="22"/>
              </w:rPr>
              <w:t>20</w:t>
            </w:r>
          </w:p>
        </w:tc>
        <w:tc>
          <w:tcPr>
            <w:tcW w:type="dxa" w:w="907"/>
          </w:tcPr>
          <w:p>
            <w:pPr>
              <w:jc w:val="center"/>
            </w:pPr>
            <w:r>
              <w:rPr>
                <w:b w:val="0"/>
                <w:sz w:val="22"/>
              </w:rPr>
              <w:t>10</w:t>
            </w:r>
          </w:p>
        </w:tc>
        <w:tc>
          <w:tcPr>
            <w:tcW w:type="dxa" w:w="907"/>
          </w:tcPr>
          <w:p>
            <w:pPr>
              <w:jc w:val="center"/>
            </w:pPr>
            <w:r>
              <w:rPr>
                <w:b w:val="0"/>
                <w:sz w:val="22"/>
              </w:rPr>
              <w:t>≤ 0</w:t>
            </w:r>
          </w:p>
        </w:tc>
      </w:tr>
      <w:tr>
        <w:tc>
          <w:tcPr>
            <w:tcW w:type="dxa" w:w="624"/>
          </w:tcPr>
          <w:p>
            <w:pPr>
              <w:jc w:val="center"/>
            </w:pPr>
            <w:r>
              <w:rPr>
                <w:b/>
                <w:color w:val="FF0000"/>
                <w:sz w:val="22"/>
              </w:rPr>
              <w:t>3.</w:t>
            </w:r>
          </w:p>
        </w:tc>
        <w:tc>
          <w:tcPr>
            <w:tcW w:type="dxa" w:w="907"/>
            <w:gridSpan w:val="6"/>
          </w:tcPr>
          <w:p>
            <w:r>
              <w:rPr>
                <w:b/>
                <w:sz w:val="22"/>
              </w:rPr>
              <w:t>Likvidlik</w:t>
            </w:r>
          </w:p>
        </w:tc>
      </w:tr>
      <w:tr>
        <w:tc>
          <w:tcPr>
            <w:tcW w:type="dxa" w:w="624"/>
          </w:tcPr>
          <w:p>
            <w:pPr>
              <w:jc w:val="center"/>
            </w:pPr>
            <w:r>
              <w:rPr>
                <w:b w:val="0"/>
                <w:color w:val="FF0000"/>
                <w:sz w:val="22"/>
              </w:rPr>
              <w:t>3.1</w:t>
            </w:r>
          </w:p>
        </w:tc>
        <w:tc>
          <w:tcPr>
            <w:tcW w:type="dxa" w:w="3402"/>
          </w:tcPr>
          <w:p>
            <w:r>
              <w:rPr>
                <w:b w:val="0"/>
                <w:sz w:val="22"/>
              </w:rPr>
              <w:t>L1. Yuqori likvid aktivlar / jami aktivlar, %</w:t>
            </w:r>
          </w:p>
        </w:tc>
        <w:tc>
          <w:tcPr>
            <w:tcW w:type="dxa" w:w="1361"/>
          </w:tcPr>
          <w:p>
            <w:pPr>
              <w:jc w:val="center"/>
            </w:pPr>
            <w:r>
              <w:rPr>
                <w:b w:val="0"/>
                <w:sz w:val="22"/>
              </w:rPr>
              <w:t>XVJ</w:t>
            </w:r>
          </w:p>
        </w:tc>
        <w:tc>
          <w:tcPr>
            <w:tcW w:type="dxa" w:w="907"/>
          </w:tcPr>
          <w:p>
            <w:pPr>
              <w:jc w:val="center"/>
            </w:pPr>
            <w:r>
              <w:rPr>
                <w:b w:val="0"/>
                <w:sz w:val="22"/>
              </w:rPr>
              <w:t>≤ 5</w:t>
            </w:r>
          </w:p>
        </w:tc>
        <w:tc>
          <w:tcPr>
            <w:tcW w:type="dxa" w:w="907"/>
          </w:tcPr>
          <w:p>
            <w:pPr>
              <w:jc w:val="center"/>
            </w:pPr>
            <w:r>
              <w:rPr>
                <w:b w:val="0"/>
                <w:sz w:val="22"/>
              </w:rPr>
              <w:t>10</w:t>
            </w:r>
          </w:p>
        </w:tc>
        <w:tc>
          <w:tcPr>
            <w:tcW w:type="dxa" w:w="907"/>
          </w:tcPr>
          <w:p>
            <w:pPr>
              <w:jc w:val="center"/>
            </w:pPr>
            <w:r>
              <w:rPr>
                <w:b w:val="0"/>
                <w:sz w:val="22"/>
              </w:rPr>
              <w:t>15</w:t>
            </w:r>
          </w:p>
        </w:tc>
        <w:tc>
          <w:tcPr>
            <w:tcW w:type="dxa" w:w="907"/>
          </w:tcPr>
          <w:p>
            <w:pPr>
              <w:jc w:val="center"/>
            </w:pPr>
            <w:r>
              <w:rPr>
                <w:b w:val="0"/>
                <w:sz w:val="22"/>
              </w:rPr>
              <w:t>≥ 20</w:t>
            </w:r>
          </w:p>
        </w:tc>
      </w:tr>
      <w:tr>
        <w:tc>
          <w:tcPr>
            <w:tcW w:type="dxa" w:w="624"/>
          </w:tcPr>
          <w:p>
            <w:pPr>
              <w:jc w:val="center"/>
            </w:pPr>
            <w:r>
              <w:rPr>
                <w:b w:val="0"/>
                <w:color w:val="FF0000"/>
                <w:sz w:val="22"/>
              </w:rPr>
              <w:t>3.2</w:t>
            </w:r>
          </w:p>
        </w:tc>
        <w:tc>
          <w:tcPr>
            <w:tcW w:type="dxa" w:w="3402"/>
          </w:tcPr>
          <w:p>
            <w:r>
              <w:rPr>
                <w:b w:val="0"/>
                <w:sz w:val="22"/>
              </w:rPr>
              <w:t>L2. Kreditlar / mijozlar depozitlari, %</w:t>
            </w:r>
          </w:p>
        </w:tc>
        <w:tc>
          <w:tcPr>
            <w:tcW w:type="dxa" w:w="1361"/>
          </w:tcPr>
          <w:p>
            <w:pPr>
              <w:jc w:val="center"/>
            </w:pPr>
            <w:r>
              <w:rPr>
                <w:b w:val="0"/>
                <w:sz w:val="22"/>
              </w:rPr>
              <w:t>XVJ</w:t>
            </w:r>
          </w:p>
        </w:tc>
        <w:tc>
          <w:tcPr>
            <w:tcW w:type="dxa" w:w="907"/>
          </w:tcPr>
          <w:p>
            <w:pPr>
              <w:jc w:val="center"/>
            </w:pPr>
            <w:r>
              <w:rPr>
                <w:b w:val="0"/>
                <w:sz w:val="22"/>
              </w:rPr>
              <w:t>≥ 200</w:t>
            </w:r>
          </w:p>
        </w:tc>
        <w:tc>
          <w:tcPr>
            <w:tcW w:type="dxa" w:w="907"/>
          </w:tcPr>
          <w:p>
            <w:pPr>
              <w:jc w:val="center"/>
            </w:pPr>
            <w:r>
              <w:rPr>
                <w:b w:val="0"/>
                <w:sz w:val="22"/>
              </w:rPr>
              <w:t>150</w:t>
            </w:r>
          </w:p>
        </w:tc>
        <w:tc>
          <w:tcPr>
            <w:tcW w:type="dxa" w:w="907"/>
          </w:tcPr>
          <w:p>
            <w:pPr>
              <w:jc w:val="center"/>
            </w:pPr>
            <w:r>
              <w:rPr>
                <w:b w:val="0"/>
                <w:sz w:val="22"/>
              </w:rPr>
              <w:t>100</w:t>
            </w:r>
          </w:p>
        </w:tc>
        <w:tc>
          <w:tcPr>
            <w:tcW w:type="dxa" w:w="907"/>
          </w:tcPr>
          <w:p>
            <w:pPr>
              <w:jc w:val="center"/>
            </w:pPr>
            <w:r>
              <w:rPr>
                <w:b w:val="0"/>
                <w:sz w:val="22"/>
              </w:rPr>
              <w:t>≤ 80</w:t>
            </w:r>
          </w:p>
        </w:tc>
      </w:tr>
      <w:tr>
        <w:tc>
          <w:tcPr>
            <w:tcW w:type="dxa" w:w="624"/>
          </w:tcPr>
          <w:p>
            <w:pPr>
              <w:jc w:val="center"/>
            </w:pPr>
            <w:r>
              <w:rPr>
                <w:b/>
                <w:color w:val="FF0000"/>
                <w:sz w:val="22"/>
              </w:rPr>
              <w:t>4.</w:t>
            </w:r>
          </w:p>
        </w:tc>
        <w:tc>
          <w:tcPr>
            <w:tcW w:type="dxa" w:w="907"/>
            <w:gridSpan w:val="6"/>
          </w:tcPr>
          <w:p>
            <w:r>
              <w:rPr>
                <w:b/>
                <w:sz w:val="22"/>
              </w:rPr>
              <w:t>Daromadlilik</w:t>
            </w:r>
          </w:p>
        </w:tc>
      </w:tr>
      <w:tr>
        <w:tc>
          <w:tcPr>
            <w:tcW w:type="dxa" w:w="624"/>
          </w:tcPr>
          <w:p>
            <w:pPr>
              <w:jc w:val="center"/>
            </w:pPr>
            <w:r>
              <w:rPr>
                <w:b w:val="0"/>
                <w:color w:val="FF0000"/>
                <w:sz w:val="22"/>
              </w:rPr>
              <w:t>4.1</w:t>
            </w:r>
          </w:p>
        </w:tc>
        <w:tc>
          <w:tcPr>
            <w:tcW w:type="dxa" w:w="3402"/>
          </w:tcPr>
          <w:p>
            <w:r>
              <w:rPr>
                <w:b w:val="0"/>
                <w:sz w:val="22"/>
              </w:rPr>
              <w:t>D1. Aktivlar rentabelligi (ROA), %</w:t>
            </w:r>
          </w:p>
        </w:tc>
        <w:tc>
          <w:tcPr>
            <w:tcW w:type="dxa" w:w="1361"/>
          </w:tcPr>
          <w:p>
            <w:pPr>
              <w:jc w:val="center"/>
            </w:pPr>
            <w:r>
              <w:rPr>
                <w:b w:val="0"/>
                <w:sz w:val="22"/>
              </w:rPr>
              <w:t>XVJ</w:t>
            </w:r>
          </w:p>
        </w:tc>
        <w:tc>
          <w:tcPr>
            <w:tcW w:type="dxa" w:w="907"/>
          </w:tcPr>
          <w:p>
            <w:pPr>
              <w:jc w:val="center"/>
            </w:pPr>
            <w:r>
              <w:rPr>
                <w:b w:val="0"/>
                <w:sz w:val="22"/>
              </w:rPr>
              <w:t>≤ 0</w:t>
            </w:r>
          </w:p>
        </w:tc>
        <w:tc>
          <w:tcPr>
            <w:tcW w:type="dxa" w:w="907"/>
          </w:tcPr>
          <w:p>
            <w:pPr>
              <w:jc w:val="center"/>
            </w:pPr>
            <w:r>
              <w:rPr>
                <w:b w:val="0"/>
                <w:sz w:val="22"/>
              </w:rPr>
              <w:t>0,7</w:t>
            </w:r>
          </w:p>
        </w:tc>
        <w:tc>
          <w:tcPr>
            <w:tcW w:type="dxa" w:w="907"/>
          </w:tcPr>
          <w:p>
            <w:pPr>
              <w:jc w:val="center"/>
            </w:pPr>
            <w:r>
              <w:rPr>
                <w:b w:val="0"/>
                <w:sz w:val="22"/>
              </w:rPr>
              <w:t>1,4</w:t>
            </w:r>
          </w:p>
        </w:tc>
        <w:tc>
          <w:tcPr>
            <w:tcW w:type="dxa" w:w="907"/>
          </w:tcPr>
          <w:p>
            <w:pPr>
              <w:jc w:val="center"/>
            </w:pPr>
            <w:r>
              <w:rPr>
                <w:b w:val="0"/>
                <w:sz w:val="22"/>
              </w:rPr>
              <w:t>≥ 2,0</w:t>
            </w:r>
          </w:p>
        </w:tc>
      </w:tr>
      <w:tr>
        <w:tc>
          <w:tcPr>
            <w:tcW w:type="dxa" w:w="624"/>
          </w:tcPr>
          <w:p>
            <w:pPr>
              <w:jc w:val="center"/>
            </w:pPr>
            <w:r>
              <w:rPr>
                <w:b w:val="0"/>
                <w:color w:val="FF0000"/>
                <w:sz w:val="22"/>
              </w:rPr>
              <w:t>4.2</w:t>
            </w:r>
          </w:p>
        </w:tc>
        <w:tc>
          <w:tcPr>
            <w:tcW w:type="dxa" w:w="3402"/>
          </w:tcPr>
          <w:p>
            <w:r>
              <w:rPr>
                <w:b w:val="0"/>
                <w:sz w:val="22"/>
              </w:rPr>
              <w:t>D2. Kapital rentabelligi (ROE), %</w:t>
            </w:r>
          </w:p>
        </w:tc>
        <w:tc>
          <w:tcPr>
            <w:tcW w:type="dxa" w:w="1361"/>
          </w:tcPr>
          <w:p>
            <w:pPr>
              <w:jc w:val="center"/>
            </w:pPr>
            <w:r>
              <w:rPr>
                <w:b w:val="0"/>
                <w:sz w:val="22"/>
              </w:rPr>
              <w:t>XVJ</w:t>
            </w:r>
          </w:p>
        </w:tc>
        <w:tc>
          <w:tcPr>
            <w:tcW w:type="dxa" w:w="907"/>
          </w:tcPr>
          <w:p>
            <w:pPr>
              <w:jc w:val="center"/>
            </w:pPr>
            <w:r>
              <w:rPr>
                <w:b w:val="0"/>
                <w:sz w:val="22"/>
              </w:rPr>
              <w:t>≤ 0</w:t>
            </w:r>
          </w:p>
        </w:tc>
        <w:tc>
          <w:tcPr>
            <w:tcW w:type="dxa" w:w="907"/>
          </w:tcPr>
          <w:p>
            <w:pPr>
              <w:jc w:val="center"/>
            </w:pPr>
            <w:r>
              <w:rPr>
                <w:b w:val="0"/>
                <w:sz w:val="22"/>
              </w:rPr>
              <w:t>5</w:t>
            </w:r>
          </w:p>
        </w:tc>
        <w:tc>
          <w:tcPr>
            <w:tcW w:type="dxa" w:w="907"/>
          </w:tcPr>
          <w:p>
            <w:pPr>
              <w:jc w:val="center"/>
            </w:pPr>
            <w:r>
              <w:rPr>
                <w:b w:val="0"/>
                <w:sz w:val="22"/>
              </w:rPr>
              <w:t>10</w:t>
            </w:r>
          </w:p>
        </w:tc>
        <w:tc>
          <w:tcPr>
            <w:tcW w:type="dxa" w:w="907"/>
          </w:tcPr>
          <w:p>
            <w:pPr>
              <w:jc w:val="center"/>
            </w:pPr>
            <w:r>
              <w:rPr>
                <w:b w:val="0"/>
                <w:sz w:val="22"/>
              </w:rPr>
              <w:t>≥ 15</w:t>
            </w:r>
          </w:p>
        </w:tc>
      </w:tr>
      <w:tr>
        <w:tc>
          <w:tcPr>
            <w:tcW w:type="dxa" w:w="624"/>
          </w:tcPr>
          <w:p>
            <w:pPr>
              <w:jc w:val="center"/>
            </w:pPr>
            <w:r>
              <w:rPr>
                <w:b w:val="0"/>
                <w:color w:val="FF0000"/>
                <w:sz w:val="22"/>
              </w:rPr>
              <w:t>4.3</w:t>
            </w:r>
          </w:p>
        </w:tc>
        <w:tc>
          <w:tcPr>
            <w:tcW w:type="dxa" w:w="3402"/>
          </w:tcPr>
          <w:p>
            <w:r>
              <w:rPr>
                <w:b w:val="0"/>
                <w:sz w:val="22"/>
              </w:rPr>
              <w:t>D3. Xarajatlar / daromadlar, %</w:t>
            </w:r>
          </w:p>
        </w:tc>
        <w:tc>
          <w:tcPr>
            <w:tcW w:type="dxa" w:w="1361"/>
          </w:tcPr>
          <w:p>
            <w:pPr>
              <w:jc w:val="center"/>
            </w:pPr>
            <w:r>
              <w:rPr>
                <w:b w:val="0"/>
                <w:sz w:val="22"/>
              </w:rPr>
              <w:t>XVJ</w:t>
            </w:r>
          </w:p>
        </w:tc>
        <w:tc>
          <w:tcPr>
            <w:tcW w:type="dxa" w:w="907"/>
          </w:tcPr>
          <w:p>
            <w:pPr>
              <w:jc w:val="center"/>
            </w:pPr>
            <w:r>
              <w:rPr>
                <w:b w:val="0"/>
                <w:sz w:val="22"/>
              </w:rPr>
              <w:t>≥ 100</w:t>
            </w:r>
          </w:p>
        </w:tc>
        <w:tc>
          <w:tcPr>
            <w:tcW w:type="dxa" w:w="907"/>
          </w:tcPr>
          <w:p>
            <w:pPr>
              <w:jc w:val="center"/>
            </w:pPr>
            <w:r>
              <w:rPr>
                <w:b w:val="0"/>
                <w:sz w:val="22"/>
              </w:rPr>
              <w:t>80</w:t>
            </w:r>
          </w:p>
        </w:tc>
        <w:tc>
          <w:tcPr>
            <w:tcW w:type="dxa" w:w="907"/>
          </w:tcPr>
          <w:p>
            <w:pPr>
              <w:jc w:val="center"/>
            </w:pPr>
            <w:r>
              <w:rPr>
                <w:b w:val="0"/>
                <w:sz w:val="22"/>
              </w:rPr>
              <w:t>60</w:t>
            </w:r>
          </w:p>
        </w:tc>
        <w:tc>
          <w:tcPr>
            <w:tcW w:type="dxa" w:w="907"/>
          </w:tcPr>
          <w:p>
            <w:pPr>
              <w:jc w:val="center"/>
            </w:pPr>
            <w:r>
              <w:rPr>
                <w:b w:val="0"/>
                <w:sz w:val="22"/>
              </w:rPr>
              <w:t>≤ 45</w:t>
            </w:r>
          </w:p>
        </w:tc>
      </w:tr>
      <w:tr>
        <w:tc>
          <w:tcPr>
            <w:tcW w:type="dxa" w:w="624"/>
          </w:tcPr>
          <w:p>
            <w:pPr>
              <w:jc w:val="center"/>
            </w:pPr>
            <w:r>
              <w:rPr>
                <w:b/>
                <w:color w:val="FF0000"/>
                <w:sz w:val="22"/>
              </w:rPr>
              <w:t>5.</w:t>
            </w:r>
          </w:p>
        </w:tc>
        <w:tc>
          <w:tcPr>
            <w:tcW w:type="dxa" w:w="907"/>
            <w:gridSpan w:val="6"/>
          </w:tcPr>
          <w:p>
            <w:r>
              <w:rPr>
                <w:b/>
                <w:sz w:val="22"/>
              </w:rPr>
              <w:t>Valyuta riskiga sezgirlik</w:t>
            </w:r>
          </w:p>
        </w:tc>
      </w:tr>
      <w:tr>
        <w:tc>
          <w:tcPr>
            <w:tcW w:type="dxa" w:w="624"/>
          </w:tcPr>
          <w:p>
            <w:pPr>
              <w:jc w:val="center"/>
            </w:pPr>
            <w:r>
              <w:rPr>
                <w:b w:val="0"/>
                <w:color w:val="FF0000"/>
                <w:sz w:val="22"/>
              </w:rPr>
              <w:t>5.1</w:t>
            </w:r>
          </w:p>
        </w:tc>
        <w:tc>
          <w:tcPr>
            <w:tcW w:type="dxa" w:w="3402"/>
          </w:tcPr>
          <w:p>
            <w:r>
              <w:rPr>
                <w:b w:val="0"/>
                <w:sz w:val="22"/>
              </w:rPr>
              <w:t>V1. Xorijiy valyutadagi kreditlar ulushi, %</w:t>
            </w:r>
          </w:p>
        </w:tc>
        <w:tc>
          <w:tcPr>
            <w:tcW w:type="dxa" w:w="1361"/>
          </w:tcPr>
          <w:p>
            <w:pPr>
              <w:jc w:val="center"/>
            </w:pPr>
            <w:r>
              <w:rPr>
                <w:b w:val="0"/>
                <w:sz w:val="22"/>
              </w:rPr>
              <w:t>XVJ</w:t>
            </w:r>
          </w:p>
        </w:tc>
        <w:tc>
          <w:tcPr>
            <w:tcW w:type="dxa" w:w="907"/>
          </w:tcPr>
          <w:p>
            <w:pPr>
              <w:jc w:val="center"/>
            </w:pPr>
            <w:r>
              <w:rPr>
                <w:b w:val="0"/>
                <w:sz w:val="22"/>
              </w:rPr>
              <w:t>≥ 65</w:t>
            </w:r>
          </w:p>
        </w:tc>
        <w:tc>
          <w:tcPr>
            <w:tcW w:type="dxa" w:w="907"/>
          </w:tcPr>
          <w:p>
            <w:pPr>
              <w:jc w:val="center"/>
            </w:pPr>
            <w:r>
              <w:rPr>
                <w:b w:val="0"/>
                <w:sz w:val="22"/>
              </w:rPr>
              <w:t>50</w:t>
            </w:r>
          </w:p>
        </w:tc>
        <w:tc>
          <w:tcPr>
            <w:tcW w:type="dxa" w:w="907"/>
          </w:tcPr>
          <w:p>
            <w:pPr>
              <w:jc w:val="center"/>
            </w:pPr>
            <w:r>
              <w:rPr>
                <w:b w:val="0"/>
                <w:sz w:val="22"/>
              </w:rPr>
              <w:t>35</w:t>
            </w:r>
          </w:p>
        </w:tc>
        <w:tc>
          <w:tcPr>
            <w:tcW w:type="dxa" w:w="907"/>
          </w:tcPr>
          <w:p>
            <w:pPr>
              <w:jc w:val="center"/>
            </w:pPr>
            <w:r>
              <w:rPr>
                <w:b w:val="0"/>
                <w:sz w:val="22"/>
              </w:rPr>
              <w:t>≤ 20</w:t>
            </w:r>
          </w:p>
        </w:tc>
      </w:tr>
      <w:tr>
        <w:tc>
          <w:tcPr>
            <w:tcW w:type="dxa" w:w="624"/>
          </w:tcPr>
          <w:p>
            <w:pPr>
              <w:jc w:val="center"/>
            </w:pPr>
            <w:r>
              <w:rPr>
                <w:b w:val="0"/>
                <w:color w:val="FF0000"/>
                <w:sz w:val="22"/>
              </w:rPr>
              <w:t>5.2</w:t>
            </w:r>
          </w:p>
        </w:tc>
        <w:tc>
          <w:tcPr>
            <w:tcW w:type="dxa" w:w="3402"/>
          </w:tcPr>
          <w:p>
            <w:r>
              <w:rPr>
                <w:b w:val="0"/>
                <w:sz w:val="22"/>
              </w:rPr>
              <w:t>V2. Xorijiy valyutadagi majburiyatlar ulushi, %</w:t>
            </w:r>
          </w:p>
        </w:tc>
        <w:tc>
          <w:tcPr>
            <w:tcW w:type="dxa" w:w="1361"/>
          </w:tcPr>
          <w:p>
            <w:pPr>
              <w:jc w:val="center"/>
            </w:pPr>
            <w:r>
              <w:rPr>
                <w:b w:val="0"/>
                <w:sz w:val="22"/>
              </w:rPr>
              <w:t>XVJ</w:t>
            </w:r>
          </w:p>
        </w:tc>
        <w:tc>
          <w:tcPr>
            <w:tcW w:type="dxa" w:w="907"/>
          </w:tcPr>
          <w:p>
            <w:pPr>
              <w:jc w:val="center"/>
            </w:pPr>
            <w:r>
              <w:rPr>
                <w:b w:val="0"/>
                <w:sz w:val="22"/>
              </w:rPr>
              <w:t>≥ 70</w:t>
            </w:r>
          </w:p>
        </w:tc>
        <w:tc>
          <w:tcPr>
            <w:tcW w:type="dxa" w:w="907"/>
          </w:tcPr>
          <w:p>
            <w:pPr>
              <w:jc w:val="center"/>
            </w:pPr>
            <w:r>
              <w:rPr>
                <w:b w:val="0"/>
                <w:sz w:val="22"/>
              </w:rPr>
              <w:t>55</w:t>
            </w:r>
          </w:p>
        </w:tc>
        <w:tc>
          <w:tcPr>
            <w:tcW w:type="dxa" w:w="907"/>
          </w:tcPr>
          <w:p>
            <w:pPr>
              <w:jc w:val="center"/>
            </w:pPr>
            <w:r>
              <w:rPr>
                <w:b w:val="0"/>
                <w:sz w:val="22"/>
              </w:rPr>
              <w:t>40</w:t>
            </w:r>
          </w:p>
        </w:tc>
        <w:tc>
          <w:tcPr>
            <w:tcW w:type="dxa" w:w="907"/>
          </w:tcPr>
          <w:p>
            <w:pPr>
              <w:jc w:val="center"/>
            </w:pPr>
            <w:r>
              <w:rPr>
                <w:b w:val="0"/>
                <w:sz w:val="22"/>
              </w:rPr>
              <w:t>≤ 25</w:t>
            </w:r>
          </w:p>
        </w:tc>
      </w:tr>
    </w:tbl>
    <w:p>
      <w:r>
        <w:rPr>
          <w:b w:val="0"/>
          <w:sz w:val="24"/>
        </w:rPr>
        <w:t>Izoh: oraliq qiymatlar uchun ball chiziqli interpolyatsiya orqali aniqlanadi; 4 ball – eng yuqori barqarorlik.</w:t>
      </w:r>
    </w:p>
    <w:p/>
    <w:p>
      <w:r>
        <w:rPr>
          <w:b/>
          <w:sz w:val="24"/>
        </w:rPr>
        <w:t>Jadvaldan keyingi matnga qo‘shiladigan yangi xatboshi (3.1-§, “Likvidlik blokida…” xatboshisidan keyin):</w:t>
      </w:r>
    </w:p>
    <w:p>
      <w:pPr>
        <w:spacing w:line="360" w:lineRule="auto"/>
        <w:ind w:firstLine="709"/>
        <w:jc w:val="both"/>
      </w:pPr>
      <w:r>
        <w:rPr>
          <w:b w:val="0"/>
          <w:color w:val="FF0000"/>
          <w:sz w:val="28"/>
        </w:rPr>
        <w:t xml:space="preserve">Me’yoriy yoki xalqaro tayanch qiymat mavjud bo‘lmagan chegaralar esa ikki tamoyil asosida belgilandi: birinchidan, ular mavjud tayanch qiymatdan teng qadam bilan uzoqlashtirildi; ikkinchidan, shkalaning tahlil davridagi haqiqiy qiymatlarni qamrab olishi ikkinchi bob ma’lumotlari bilan tekshirildi. Xususan, kapitalning aktivlarga nisbati uchun 8 foizlik 4 ball chegarasi milliy leverage talabidan (6 foiz) 2 foiz punkt yuqori bo‘lib, 4 va 6 foiz o‘rtasidagi qadamni takrorlaydi. 3-bosqich kreditlari ulushining 15 foizlik 1 ball chegarasi 5 va 10 foizlik chegaralar qadamini davom ettiradi, 3 foizlik 4 ball chegarasi esa bank tizimida rasmiy muammoli kreditlar ulushining tahlil davridagi eng past darajasiga mos keladi. Zaxira bilan qoplanmagan muammoli kreditlarning kapitalga nisbati uchun 0 foiz muammoli kreditlar to‘liq zaxira bilan qoplangan holatni bildiradi, 10, 20 va 30 foizlik chegaralar esa teng qadamli bo‘lib, bank tizimida bu ko‘rsatkich 2021–2025-yillarda 5,7–13,1 foiz oralig‘ida bo‘lgani, “Mikrokreditbank” ATB da esa MHXS bo‘yicha 2025-yilda 29,1 foizga yetgani hisobga olindi. </w:t>
      </w:r>
      <w:r>
        <w:rPr>
          <w:b w:val="0"/>
          <w:color w:val="FF0000"/>
          <w:sz w:val="28"/>
        </w:rPr>
        <w:t>Yuqori likvid aktivlar ulushi uchun chegaralar Markaziy bankning 10 foizlik minimal talabidan 5 foiz punktlik qadam bilan belgilandi, bank tizimida bu ko‘rsatkich tahlil davrida 14,9–21,1 foiz oralig‘ida bo‘lgan. Kreditlarning depozitlarga nisbati uchun 150 va 200 foizlik chegaralar 100 foizdan keyingi 50 foiz punktlik qadamni ifodalaydi: 200 foizdan yuqori qiymat kreditlarning yarmidan ko‘pi depozit bo‘lmagan manbalar hisobiga moliyalashtirilishini bildiradi, bunday holat “O‘zsanoatqurilishbank” va “Mikrokreditbank” ATBlarida kuzatilgan (206,5–414,0 foiz). Aktivlar rentabelligining 2 foizlik 4 ball chegarasi Rossiya Banki shkalasidagi qadamni taxminan davom ettiradi. Kapital rentabelligining 10 foizlik 3 ball chegarasi tahlil davridagi yillik inflyatsiya darajasiga (7,3–12,3 foiz) mos keladi</w:t>
      </w:r>
      <w:r>
        <w:rPr>
          <w:b w:val="0"/>
          <w:color w:val="FF0000"/>
          <w:sz w:val="28"/>
          <w:vertAlign w:val="superscript"/>
        </w:rPr>
        <w:t>¹</w:t>
      </w:r>
      <w:r>
        <w:rPr>
          <w:b w:val="0"/>
          <w:color w:val="FF0000"/>
          <w:sz w:val="28"/>
        </w:rPr>
        <w:t>, 15 foizlik 4 ball chegarasi esa real ijobiy rentabellikni bildiradi. Xarajatlarning daromadlarga nisbati uchun 100 foiz bank zararsizlik nuqtasida turgan holatni bildiradi, 80 va 45 foizlik chegaralar esa Rossiya Banki amaliyotidagi 60 foizlik chegaradan ikki tomonga qo‘yilgan oraliq qadamlardir. Valyuta riskiga sezgirlik bloki uchun me’yoriy chegara mavjud emas, shu sababli chegaralar 15 foiz punktlik teng qadam bilan belgilanib, bank tizimidagi qiymatlar bilan bog‘landi: xorijiy valyutadagi kreditlar ulushi 2021-yilda 49,2 foiz, 2025-yilda 38,4 foiz bo‘lgan, ya’ni 50 foizlik 2 ball chegarasi tahlil davri boshidagi, 35 foizlik 3 ball chegarasi esa tizimning hozirgi darajasiga yaqin, 20 foizdan past ulush esa past dollarlashuvni bildiradi. Xorijiy valyutadagi majburiyatlar bo‘yicha chegaralar kreditlarnikidan 5 foiz punkt yuqori belgilandi, chunki bu majburiyatlar nafaqat kreditlarni, balki xorijiy valyutadagi likvid aktivlarni ham moliyalashtiradi.</w:t>
      </w:r>
    </w:p>
    <w:p>
      <w:r>
        <w:rPr>
          <w:b w:val="0"/>
          <w:color w:val="FF0000"/>
          <w:sz w:val="20"/>
        </w:rPr>
        <w:t>¹ O‘zbekiston Respublikasi Markaziy banki. Statistik byulleten: 2026-yil mart. – Toshkent, 2026. – 1.2-jadval. – https://cbu.uz/uz/statistics/buleten/</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