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i w:val="0"/>
          <w:sz w:val="28"/>
        </w:rPr>
        <w:t>2.2-§ ni qayta tuzish (namuna, 2-variant)</w:t>
      </w:r>
    </w:p>
    <w:p>
      <w:pPr>
        <w:ind w:firstLine="0"/>
        <w:jc w:val="both"/>
      </w:pPr>
      <w:r>
        <w:rPr>
          <w:b w:val="0"/>
          <w:i/>
          <w:color w:val="595959"/>
          <w:sz w:val="24"/>
        </w:rPr>
        <w:t>Qizil – yangi/o‘zgartirilgan matn; ko‘k – “Aloqabank” ATB bo‘yicha; kulrang kursiv – o‘zgarmaydigan yoki faqat so‘z almashadigan qismlar ko‘rsatmasi.</w:t>
      </w:r>
    </w:p>
    <w:p>
      <w:pPr>
        <w:ind w:firstLine="0"/>
        <w:jc w:val="left"/>
      </w:pPr>
      <w:r>
        <w:rPr>
          <w:b/>
          <w:i w:val="0"/>
          <w:sz w:val="26"/>
        </w:rPr>
        <w:t>1. Bank tizimi rasmlari: takror emas, mezon chiziqlari bilan</w:t>
      </w:r>
    </w:p>
    <w:p>
      <w:pPr>
        <w:ind w:firstLine="0"/>
        <w:jc w:val="both"/>
      </w:pPr>
      <w:r>
        <w:rPr>
          <w:b w:val="0"/>
          <w:i/>
          <w:color w:val="595959"/>
          <w:sz w:val="24"/>
        </w:rPr>
        <w:t>2.2.2-rasmda 13 foizlik minimum chizig‘i allaqachon bor. 2.2.3 va 2.2.4-rasmlar ham chiziqli shaklga o‘tkazilib, mezon chiziqlari qo‘shiladi – shunda rasm 2.2.1-jadvalni takrorlamaydi, ko‘rsatkichlarni mezon bilan solishtiradi.</w:t>
      </w:r>
    </w:p>
    <w:p>
      <w:pPr>
        <w:jc w:val="center"/>
      </w:pPr>
      <w:r xmlns:a="http://schemas.openxmlformats.org/drawingml/2006/main" xmlns:c="http://schemas.openxmlformats.org/drawingml/2006/chart">
        <w:rPr>
          <w:noProof/>
        </w:rPr>
        <w:drawing>
          <wp:inline distT="0" distB="0" distL="0" distR="0">
            <wp:extent cx="5760000" cy="3060000"/>
            <wp:effectExtent l="0" t="0" r="0" b="0"/>
            <wp:docPr id="1001" name="2.2.3-rasm"/>
            <wp:cNvGraphicFramePr/>
            <a:graphic>
              <a:graphicData uri="http://schemas.openxmlformats.org/drawingml/2006/chart">
                <c:chart r:id="rId9"/>
              </a:graphicData>
            </a:graphic>
          </wp:inline>
        </w:drawing>
      </w:r>
    </w:p>
    <w:p>
      <w:pPr>
        <w:ind w:firstLine="0"/>
        <w:jc w:val="center"/>
      </w:pPr>
      <w:r>
        <w:rPr>
          <w:b/>
          <w:i w:val="0"/>
          <w:sz w:val="28"/>
        </w:rPr>
        <w:t>2.2.3-rasm. O‘zbekiston bank tizimida aktivlar sifati ko‘rsatkichlari, %</w:t>
      </w:r>
    </w:p>
    <w:p>
      <w:pPr>
        <w:ind w:firstLine="709"/>
        <w:jc w:val="both"/>
      </w:pPr>
      <w:r>
        <w:rPr>
          <w:b w:val="0"/>
          <w:i/>
          <w:color w:val="595959"/>
          <w:sz w:val="26"/>
        </w:rPr>
        <w:t xml:space="preserve">Matnga qo‘shiladi: </w:t>
      </w:r>
      <w:r>
        <w:rPr>
          <w:b w:val="0"/>
          <w:i w:val="0"/>
          <w:color w:val="FF0000"/>
          <w:sz w:val="26"/>
        </w:rPr>
        <w:t>Rasmda ko‘rinadiki, rasmiy muammoli kreditlar ulushi 5 foizlik erta ogohlantirish chegarasidan past bo‘lsa-da, substandart kreditlar bilan birgalikda bu ko‘rsatkich chegaradan 2,5–4,2 barobar yuqori.</w:t>
      </w:r>
    </w:p>
    <w:p>
      <w:pPr>
        <w:jc w:val="center"/>
      </w:pPr>
      <w:r xmlns:a="http://schemas.openxmlformats.org/drawingml/2006/main" xmlns:c="http://schemas.openxmlformats.org/drawingml/2006/chart">
        <w:rPr>
          <w:noProof/>
        </w:rPr>
        <w:drawing>
          <wp:inline distT="0" distB="0" distL="0" distR="0">
            <wp:extent cx="5760000" cy="3060000"/>
            <wp:effectExtent l="0" t="0" r="0" b="0"/>
            <wp:docPr id="1002" name="2.2.4-rasm"/>
            <wp:cNvGraphicFramePr/>
            <a:graphic>
              <a:graphicData uri="http://schemas.openxmlformats.org/drawingml/2006/chart">
                <c:chart r:id="rId10"/>
              </a:graphicData>
            </a:graphic>
          </wp:inline>
        </w:drawing>
      </w:r>
    </w:p>
    <w:p>
      <w:pPr>
        <w:ind w:firstLine="0"/>
        <w:jc w:val="center"/>
      </w:pPr>
      <w:r>
        <w:rPr>
          <w:b/>
          <w:i w:val="0"/>
          <w:sz w:val="28"/>
        </w:rPr>
        <w:t>2.2.4-rasm. O‘zbekiston bank tizimida aktivlar va kapital rentabelligi dinamikasi, %</w:t>
      </w:r>
    </w:p>
    <w:p>
      <w:pPr>
        <w:ind w:firstLine="709"/>
        <w:jc w:val="both"/>
      </w:pPr>
      <w:r>
        <w:rPr>
          <w:b w:val="0"/>
          <w:i/>
          <w:color w:val="595959"/>
          <w:sz w:val="26"/>
        </w:rPr>
        <w:t xml:space="preserve">Matnga qo‘shiladi: </w:t>
      </w:r>
      <w:r>
        <w:rPr>
          <w:b w:val="0"/>
          <w:i w:val="0"/>
          <w:color w:val="FF0000"/>
          <w:sz w:val="26"/>
        </w:rPr>
        <w:t>Aktivlar rentabelligi butun davrda CAMELS tizimidagi eng yuqori reyting mezoni – 1 foizdan yuqori bo‘lgan, biroq 2021 va 2024-yillarda (1,3 va 1,4 foiz) bu mezonga yaqinlashgan.</w:t>
      </w:r>
    </w:p>
    <w:p>
      <w:pPr>
        <w:ind w:firstLine="0"/>
        <w:jc w:val="left"/>
      </w:pPr>
      <w:r>
        <w:rPr>
          <w:b/>
          <w:i w:val="0"/>
          <w:sz w:val="26"/>
        </w:rPr>
        <w:t>2. Banklar: uchta alohida jadval</w:t>
      </w:r>
    </w:p>
    <w:p>
      <w:pPr>
        <w:ind w:firstLine="709"/>
        <w:jc w:val="both"/>
      </w:pPr>
      <w:r>
        <w:rPr>
          <w:b w:val="0"/>
          <w:i w:val="0"/>
          <w:color w:val="FF0000"/>
          <w:sz w:val="28"/>
        </w:rPr>
        <w:t>Tizim darajasidagi agregat ko‘rsatkichlar alohida banklar o‘rtasidagi farqlarni yashiradi. Shu sababli tahlilni uchta davlat banki – yirik korporativ va infratuzilma loyihalarini moliyalashtiruvchi tizimli ahamiyatga molik “O‘zsanoatqurilishbank” ATB, davlat dasturlari doirasida mikrokreditlash bilan shug‘ullanuvchi “Mikrokreditbank” ATB va tizimli ahamiyatga molik banklar qatoriga kirmaydigan “Aloqabank” ATB misolida chuqurlashtirish maqsadga muvofiq. Avval har bir bankning 2021–2025-yillardagi asosiy ko‘rsatkichlari alohida (2.2.2–2.2.4-jadvallar), so‘ngra ular o‘zaro qiyosiy tahlil qilinadi.</w:t>
      </w:r>
    </w:p>
    <w:p>
      <w:pPr>
        <w:ind w:firstLine="0"/>
        <w:jc w:val="both"/>
      </w:pPr>
      <w:r>
        <w:rPr>
          <w:b w:val="0"/>
          <w:i/>
          <w:color w:val="595959"/>
          <w:sz w:val="24"/>
        </w:rPr>
        <w:t>2.2.2-jadval (“O‘zsanoatqurilishbank” ATB), 2.2.3-jadval (“Mikrokreditbank” ATB), 2.2.4-jadval (“Aloqabank” ATB) – avvalgi namunadagi kabi.</w:t>
      </w:r>
    </w:p>
    <w:p>
      <w:pPr>
        <w:ind w:firstLine="709"/>
        <w:jc w:val="both"/>
      </w:pPr>
      <w:r>
        <w:rPr>
          <w:b w:val="0"/>
          <w:i/>
          <w:color w:val="595959"/>
          <w:sz w:val="28"/>
        </w:rPr>
        <w:t xml:space="preserve">2.2.2-jadvaldan keyin: </w:t>
      </w:r>
      <w:r>
        <w:rPr>
          <w:b w:val="0"/>
          <w:i w:val="0"/>
          <w:color w:val="FF0000"/>
          <w:sz w:val="28"/>
        </w:rPr>
        <w:t>“O‘zsanoatqurilishbank” ATB uch bank ichida eng yirigi: uning aktivlari 2021–2025-yillarda 56,5 trln so‘mdan 102,4 trln so‘mga, ya’ni 1,8 barobar o‘sgan. Jadval bu bankning asosiy xususiyatini ko‘rsatadi: rasmiy ko‘rsatkichlar – kapital, muammoli kreditlar, daromadlilik va likvidlik – barqaror va me’yoriy talablardan yuqori, ammo asosiy kapital monandligi izchil pasayib, substandart kreditlar ulushi tez o‘sgan, ya’ni barqarorlik zaxirasi asta-sekin qisqarib bormoqda.</w:t>
      </w:r>
    </w:p>
    <w:p>
      <w:pPr>
        <w:ind w:firstLine="709"/>
        <w:jc w:val="both"/>
      </w:pPr>
      <w:r>
        <w:rPr>
          <w:b w:val="0"/>
          <w:i/>
          <w:color w:val="595959"/>
          <w:sz w:val="28"/>
        </w:rPr>
        <w:t xml:space="preserve">2.2.3-jadvaldan keyin: </w:t>
      </w:r>
      <w:r>
        <w:rPr>
          <w:b w:val="0"/>
          <w:i w:val="0"/>
          <w:color w:val="FF0000"/>
          <w:sz w:val="28"/>
        </w:rPr>
        <w:t>“Mikrokreditbank” ATB ning aktivlari 13,5 trln so‘mdan 30,7 trln so‘mga, ya’ni 2,3 barobar o‘sgan. Bu bankning asosiy xususiyati – ijtimoiy yo‘naltirilgan kreditlash bilan bog‘liq past daromadlilik va yuqori kredit riski: ROA butun davrda 1 foizdan past bo‘lib, 2024-yilda bank yirik zarar ko‘rgan, muammoli kreditlar ulushi esa uch bank ichida eng yuqori.</w:t>
      </w:r>
    </w:p>
    <w:p>
      <w:pPr>
        <w:ind w:firstLine="709"/>
        <w:jc w:val="both"/>
      </w:pPr>
      <w:r>
        <w:rPr>
          <w:b w:val="0"/>
          <w:i/>
          <w:color w:val="595959"/>
          <w:sz w:val="28"/>
        </w:rPr>
        <w:t xml:space="preserve">2.2.4-jadvaldan keyin: </w:t>
      </w:r>
      <w:r>
        <w:rPr>
          <w:b w:val="0"/>
          <w:i w:val="0"/>
          <w:color w:val="0070C0"/>
          <w:sz w:val="28"/>
        </w:rPr>
        <w:t>“Aloqabank” ATB tizimli ahamiyatga molik banklar qatoriga kirmaydi va tahlilga natijalarning umumiyligini tekshirish uchun kiritildi. Bankning aktivlari 12,6 trln so‘mdan 31,5 trln so‘mga, ya’ni 2,5 barobar o‘sgan. Yuqoridagi ikki bankdan farqli ravishda u kreditlarni asosan mijozlar depozitlari hisobiga moliyalashtiradi (kreditlarning depozitlarga nisbati 93,7–121,1 foiz), biroq kapital va likvidlik bo‘yicha zaxirasi uch bank ichida eng kichik.</w:t>
      </w:r>
    </w:p>
    <w:p>
      <w:pPr>
        <w:ind w:firstLine="0"/>
        <w:jc w:val="left"/>
      </w:pPr>
      <w:r>
        <w:rPr>
          <w:b/>
          <w:i w:val="0"/>
          <w:sz w:val="26"/>
        </w:rPr>
        <w:t>3. Uch bankni bir-biriga bog‘lab tahlil (2.2.5, 2.2.6, 2.2.8-rasmlar olib tashlanadi)</w:t>
      </w:r>
    </w:p>
    <w:p>
      <w:pPr>
        <w:ind w:firstLine="709"/>
        <w:jc w:val="both"/>
      </w:pPr>
      <w:r>
        <w:rPr>
          <w:b w:val="0"/>
          <w:i w:val="0"/>
          <w:color w:val="FF0000"/>
          <w:sz w:val="28"/>
        </w:rPr>
        <w:t xml:space="preserve">Uch jadvalni solishtirish banklarning moliyaviy barqarorlik profili turlicha bo‘lsa-da, ularda umumiy qonuniyatlar ham borligini ko‘rsatadi. Kapital bo‘yicha uchala bankda ham regulyativ kapital monandligi minimumga yaqin yoki beqaror: “O‘zsanoatqurilishbank” ATB da zaxira 2,3–4,0 foiz punktni tashkil etgan, asosiy kapital monandligi esa 2022-yildagi 12,1 foizdan 2025-yilda 10,2 foizgacha pasayib, 8 foizlik minimumga yaqinlashgan; 2025-yilda birinchi darajali kapital monandligining 14 foizgacha oshishi asosan xalqaro bozorda joylashtirilgan qo‘shimcha birinchi darajali kapital obligatsiyalari hisobiga ta’minlangan. </w:t>
      </w:r>
      <w:r>
        <w:rPr>
          <w:b w:val="0"/>
          <w:i w:val="0"/>
          <w:color w:val="0070C0"/>
          <w:sz w:val="28"/>
        </w:rPr>
        <w:t xml:space="preserve">“Aloqabank” ATB da zaxira 2023-yildan tashqari 1,1 foiz punktdan oshmagan, 2022-yilda esa hisoblangan qiymat minimumdan 0,5 foiz punkt past bo‘lgan. </w:t>
      </w:r>
      <w:r>
        <w:rPr>
          <w:b w:val="0"/>
          <w:i w:val="0"/>
          <w:color w:val="FF0000"/>
          <w:sz w:val="28"/>
        </w:rPr>
        <w:t>“Mikrokreditbank” ATB da ko‘rsatkich keskin tebranadi: 2021-yilda 13,8 foiz bilan minimum chegarasida bo‘lgan ko‘rsatkich 2022-yilda 20,7 foizga ko‘tarilgan, 2024-yilda 15,4 foizgacha tushib, 2025-yilda yana 18,5 foizga yetgan (2.2.2–2.2.4-jadvallar).</w:t>
      </w:r>
    </w:p>
    <w:p>
      <w:pPr>
        <w:ind w:firstLine="709"/>
        <w:jc w:val="both"/>
      </w:pPr>
      <w:r>
        <w:rPr>
          <w:b w:val="0"/>
          <w:i w:val="0"/>
          <w:color w:val="FF0000"/>
          <w:sz w:val="28"/>
        </w:rPr>
        <w:t xml:space="preserve">Bu tebranishlarning sababi kapital manbalarini tahlil qilganda ayon bo‘ladi. </w:t>
      </w:r>
      <w:r>
        <w:rPr>
          <w:b w:val="0"/>
          <w:i w:val="0"/>
          <w:sz w:val="28"/>
        </w:rPr>
        <w:t xml:space="preserve">“Mikrokreditbank” ATB ning xususiy kapitali 2022-yilda 2,3 trln so‘mdan 3,6 trln so‘mga oshgan … (xatboshining davomi o‘zgarmaydi) … CAMELS reytingini yomonlashtirishini ko‘rsatgan edi. </w:t>
      </w:r>
      <w:r>
        <w:rPr>
          <w:b w:val="0"/>
          <w:i w:val="0"/>
          <w:color w:val="0070C0"/>
          <w:sz w:val="28"/>
        </w:rPr>
        <w:t>“Aloqabank” ATB da esa kapitalning 2023-yildagi o‘sishi (847,8 mlrd so‘m) asosan o‘z foydasi (607,7 mlrd so‘m) hisobiga ta’minlangan, 2024–2025-yillarda esa kapital o‘sishining yarmidan ko‘pi tashqi manbalarga to‘g‘ri kelgan.</w:t>
      </w:r>
    </w:p>
    <w:p>
      <w:pPr>
        <w:ind w:firstLine="709"/>
        <w:jc w:val="both"/>
      </w:pPr>
      <w:r>
        <w:rPr>
          <w:b w:val="0"/>
          <w:i w:val="0"/>
          <w:color w:val="FF0000"/>
          <w:sz w:val="28"/>
        </w:rPr>
        <w:t xml:space="preserve">Aktivlar sifati bo‘yicha ham uch bank turlicha manzarani namoyon etadi (2.2.2–2.2.4-jadvallar). </w:t>
      </w:r>
      <w:r>
        <w:rPr>
          <w:b w:val="0"/>
          <w:i w:val="0"/>
          <w:sz w:val="28"/>
        </w:rPr>
        <w:t xml:space="preserve">“O‘zsanoatqurilishbank” ATB da rasmiy muammoli kreditlar ulushi 2,2–3,8 foiz oralig‘ida past darajada saqlangan, biroq substandart kreditlar ulushi … 24,5 foizga yetgan (hozirgi matn o‘zgarmaydi). </w:t>
      </w:r>
      <w:r>
        <w:rPr>
          <w:b w:val="0"/>
          <w:i w:val="0"/>
          <w:color w:val="0070C0"/>
          <w:sz w:val="28"/>
        </w:rPr>
        <w:t xml:space="preserve">“Aloqabank” ATB da rasmiy muammoli kreditlar ulushi uch bank ichida eng past (1,5–4,1 foiz), ammo substandart kreditlar ulushi 2023-yilda 11,8 foizga ko‘tarilgan. </w:t>
      </w:r>
      <w:r>
        <w:rPr>
          <w:b w:val="0"/>
          <w:i w:val="0"/>
          <w:color w:val="FF0000"/>
          <w:sz w:val="28"/>
        </w:rPr>
        <w:t>Rasmiy ko‘rsatkichlarning bu manzarasini uchala bankning auditdan o‘tgan MHXS bo‘yicha moliyaviy hisobotlari bilan solishtirish kredit riskining haqiqiy ko‘lamini aniqroq ko‘rsatadi (2.2.5-rasm).</w:t>
      </w:r>
    </w:p>
    <w:p>
      <w:pPr>
        <w:ind w:firstLine="0"/>
        <w:jc w:val="both"/>
      </w:pPr>
      <w:r>
        <w:rPr>
          <w:b w:val="0"/>
          <w:i/>
          <w:color w:val="595959"/>
          <w:sz w:val="24"/>
        </w:rPr>
        <w:t>2.2.5-rasm (hozirgi 2.2.7-rasm – MHXS 9 bo‘yicha 3-bosqich va rasmiy muammoli kreditlar, o‘zgarmaydi)</w:t>
      </w:r>
    </w:p>
    <w:p>
      <w:pPr>
        <w:ind w:firstLine="709"/>
        <w:jc w:val="both"/>
      </w:pPr>
      <w:r>
        <w:rPr>
          <w:b w:val="0"/>
          <w:i/>
          <w:color w:val="595959"/>
          <w:sz w:val="28"/>
        </w:rPr>
        <w:t>Rasmdan ko‘rinib turibdiki, uchala bankda ham … (hozirgi matn; “ikkala bankda ham” → “uchala bankda ham”, “Rasmda taqqoslash uchun keltirilgan uchinchi davlat banki – “Aloqabank” ATB da ham” → ““Aloqabank” ATB da ham”, “har ikki bankda ham” → “uchala bankda ham”).</w:t>
      </w:r>
    </w:p>
    <w:p>
      <w:pPr>
        <w:ind w:firstLine="709"/>
        <w:jc w:val="both"/>
      </w:pPr>
      <w:r>
        <w:rPr>
          <w:b w:val="0"/>
          <w:i w:val="0"/>
          <w:color w:val="FF0000"/>
          <w:sz w:val="28"/>
        </w:rPr>
        <w:t xml:space="preserve">Aktivlar sifatidagi bu muammolar banklarning daromadliligida ham aks etgan (2.2.2–2.2.4-jadvallar). </w:t>
      </w:r>
      <w:r>
        <w:rPr>
          <w:b w:val="0"/>
          <w:i w:val="0"/>
          <w:sz w:val="28"/>
        </w:rPr>
        <w:t xml:space="preserve">“O‘zsanoatqurilishbank” ATB ning kapital rentabelligi 2022-yildagi pasayishdan keyin tiklanib … keyin esa yana davlat kapitali hisobiga to‘ldirilgan (hozirgi matn o‘zgarmaydi). </w:t>
      </w:r>
      <w:r>
        <w:rPr>
          <w:b w:val="0"/>
          <w:i w:val="0"/>
          <w:color w:val="0070C0"/>
          <w:sz w:val="28"/>
        </w:rPr>
        <w:t>“Aloqabank” ATB da ROE 2023-yilda 27,4 foizga yetgan bo‘lsa-da, keyingi yillarda 6,6–7,3 foizgacha pasaygan; 2025-yilda esa bank milliy hisobot bo‘yicha 251,5 mlrd so‘m foyda ko‘rsatgan bir paytda MHXS bo‘yicha 193,9 mlrd so‘m zarar qayd etgan (batafsil – 2.3-paragrafda).</w:t>
      </w:r>
    </w:p>
    <w:p>
      <w:pPr>
        <w:ind w:firstLine="709"/>
        <w:jc w:val="both"/>
      </w:pPr>
      <w:r>
        <w:rPr>
          <w:b w:val="0"/>
          <w:i/>
          <w:color w:val="595959"/>
          <w:sz w:val="28"/>
        </w:rPr>
        <w:t xml:space="preserve">Likvidlik bo‘yicha “O‘zsanoatqurilishbank” ATB va “Mikrokreditbank” ATB Bazel III talablarini bajargan: … depozitlardan qariyb 1,1 barobar ko‘p bo‘lgan. Bunday tuzilma tashqi moliyalashtirish sharoiti yomonlashganda likvidlik va valyuta riskini oshiradi (“ikkala bank” iboralari shu tarzda aniqlashtiriladi). </w:t>
      </w:r>
      <w:r>
        <w:rPr>
          <w:b w:val="0"/>
          <w:i w:val="0"/>
          <w:color w:val="0070C0"/>
          <w:sz w:val="28"/>
        </w:rPr>
        <w:t>“Aloqabank” ATB da esa likvidlik zaxirasi torroq: LCR 2023-yilda 103,1 foizgacha, NSFR 2022-yilda 100,9 foizgacha tushgan, biroq kreditlarning depozitlarga nisbati 93,7–121,1 foiz bo‘lib, bank tashqi qarzlarga emas, depozit bazasiga tayanadi.</w:t>
      </w:r>
    </w:p>
    <w:p>
      <w:pPr>
        <w:ind w:firstLine="0"/>
        <w:jc w:val="left"/>
      </w:pPr>
      <w:r>
        <w:rPr>
          <w:b/>
          <w:i w:val="0"/>
          <w:sz w:val="26"/>
        </w:rPr>
        <w:t>4. Umumlashtiruvchi jadval (hozirgi 2.2.3-jadval → 2.2.5-jadval)</w:t>
      </w:r>
    </w:p>
    <w:p>
      <w:pPr>
        <w:ind w:firstLine="709"/>
        <w:jc w:val="both"/>
      </w:pPr>
      <w:r>
        <w:rPr>
          <w:b w:val="0"/>
          <w:i w:val="0"/>
          <w:color w:val="FF0000"/>
          <w:sz w:val="28"/>
        </w:rPr>
        <w:t>Tahlil natijalarini umumlashtirish uchun bank tizimi va uch bankning so‘nggi ko‘rsatkichlari xalqaro mezonlar bilan solishtirildi (2.2.5-jadval).</w:t>
      </w:r>
    </w:p>
    <w:p>
      <w:pPr>
        <w:ind w:firstLine="0"/>
        <w:jc w:val="right"/>
      </w:pPr>
      <w:r>
        <w:rPr>
          <w:b w:val="0"/>
          <w:i/>
          <w:color w:val="FF0000"/>
          <w:sz w:val="28"/>
        </w:rPr>
        <w:t>2.2.5-jadval</w:t>
      </w:r>
    </w:p>
    <w:p>
      <w:pPr>
        <w:spacing w:line="240" w:lineRule="auto"/>
        <w:ind w:firstLine="0"/>
        <w:jc w:val="center"/>
      </w:pPr>
      <w:r>
        <w:rPr>
          <w:b/>
          <w:i w:val="0"/>
          <w:sz w:val="28"/>
        </w:rPr>
        <w:t>Bank tizimi va tanlangan banklarning moliyaviy barqarorlik ko‘rsatkichlari: xalqaro mezonlar bo‘yicha baho, 2025-yil</w:t>
      </w:r>
    </w:p>
    <w:tbl>
      <w:tblPr>
        <w:tblStyle w:val="TableGrid"/>
        <w:tblW w:type="auto" w:w="0"/>
        <w:tblLayout w:type="fixed"/>
        <w:tblLook w:firstColumn="1" w:firstRow="1" w:lastColumn="0" w:lastRow="0" w:noHBand="0" w:noVBand="1" w:val="04A0"/>
      </w:tblPr>
      <w:tblGrid>
        <w:gridCol w:w="1928"/>
        <w:gridCol w:w="964"/>
        <w:gridCol w:w="907"/>
        <w:gridCol w:w="907"/>
        <w:gridCol w:w="1077"/>
        <w:gridCol w:w="1531"/>
        <w:gridCol w:w="2041"/>
      </w:tblGrid>
      <w:tr>
        <w:tc>
          <w:tcPr>
            <w:tcW w:type="dxa" w:w="1928"/>
          </w:tcPr>
          <w:p>
            <w:pPr>
              <w:spacing w:line="240" w:lineRule="auto"/>
              <w:jc w:val="center"/>
            </w:pPr>
            <w:r>
              <w:rPr>
                <w:b/>
                <w:sz w:val="20"/>
              </w:rPr>
              <w:t>Ko‘rsatkich</w:t>
            </w:r>
          </w:p>
        </w:tc>
        <w:tc>
          <w:tcPr>
            <w:tcW w:type="dxa" w:w="964"/>
          </w:tcPr>
          <w:p>
            <w:pPr>
              <w:spacing w:line="240" w:lineRule="auto"/>
              <w:jc w:val="center"/>
            </w:pPr>
            <w:r>
              <w:rPr>
                <w:b/>
                <w:sz w:val="20"/>
              </w:rPr>
              <w:t>Bank tizimi</w:t>
            </w:r>
          </w:p>
        </w:tc>
        <w:tc>
          <w:tcPr>
            <w:tcW w:type="dxa" w:w="907"/>
          </w:tcPr>
          <w:p>
            <w:pPr>
              <w:spacing w:line="240" w:lineRule="auto"/>
              <w:jc w:val="center"/>
            </w:pPr>
            <w:r>
              <w:rPr>
                <w:b/>
                <w:sz w:val="20"/>
              </w:rPr>
              <w:t>SQB</w:t>
            </w:r>
          </w:p>
        </w:tc>
        <w:tc>
          <w:tcPr>
            <w:tcW w:type="dxa" w:w="907"/>
          </w:tcPr>
          <w:p>
            <w:pPr>
              <w:spacing w:line="240" w:lineRule="auto"/>
              <w:jc w:val="center"/>
            </w:pPr>
            <w:r>
              <w:rPr>
                <w:b/>
                <w:sz w:val="20"/>
              </w:rPr>
              <w:t>MKB</w:t>
            </w:r>
          </w:p>
        </w:tc>
        <w:tc>
          <w:tcPr>
            <w:tcW w:type="dxa" w:w="1077"/>
          </w:tcPr>
          <w:p>
            <w:pPr>
              <w:spacing w:line="240" w:lineRule="auto"/>
              <w:jc w:val="center"/>
            </w:pPr>
            <w:r>
              <w:rPr>
                <w:b/>
                <w:color w:val="0070C0"/>
                <w:sz w:val="20"/>
              </w:rPr>
              <w:t>Aloqabank</w:t>
            </w:r>
          </w:p>
        </w:tc>
        <w:tc>
          <w:tcPr>
            <w:tcW w:type="dxa" w:w="1531"/>
          </w:tcPr>
          <w:p>
            <w:pPr>
              <w:spacing w:line="240" w:lineRule="auto"/>
              <w:jc w:val="center"/>
            </w:pPr>
            <w:r>
              <w:rPr>
                <w:b/>
                <w:sz w:val="20"/>
              </w:rPr>
              <w:t>Xalqaro mezon</w:t>
            </w:r>
          </w:p>
        </w:tc>
        <w:tc>
          <w:tcPr>
            <w:tcW w:type="dxa" w:w="2041"/>
          </w:tcPr>
          <w:p>
            <w:pPr>
              <w:spacing w:line="240" w:lineRule="auto"/>
              <w:jc w:val="center"/>
            </w:pPr>
            <w:r>
              <w:rPr>
                <w:b/>
                <w:sz w:val="20"/>
              </w:rPr>
              <w:t>Baho</w:t>
            </w:r>
          </w:p>
        </w:tc>
      </w:tr>
      <w:tr>
        <w:tc>
          <w:tcPr>
            <w:tcW w:type="dxa" w:w="1928"/>
          </w:tcPr>
          <w:p>
            <w:pPr>
              <w:spacing w:line="240" w:lineRule="auto"/>
              <w:jc w:val="left"/>
            </w:pPr>
            <w:r>
              <w:rPr>
                <w:b w:val="0"/>
                <w:sz w:val="20"/>
              </w:rPr>
              <w:t>Regulyativ kapital monandligi, %</w:t>
            </w:r>
          </w:p>
        </w:tc>
        <w:tc>
          <w:tcPr>
            <w:tcW w:type="dxa" w:w="964"/>
          </w:tcPr>
          <w:p>
            <w:pPr>
              <w:spacing w:line="240" w:lineRule="auto"/>
              <w:jc w:val="center"/>
            </w:pPr>
            <w:r>
              <w:rPr>
                <w:b w:val="0"/>
                <w:sz w:val="20"/>
              </w:rPr>
              <w:t>18,3</w:t>
            </w:r>
          </w:p>
        </w:tc>
        <w:tc>
          <w:tcPr>
            <w:tcW w:type="dxa" w:w="907"/>
          </w:tcPr>
          <w:p>
            <w:pPr>
              <w:spacing w:line="240" w:lineRule="auto"/>
              <w:jc w:val="center"/>
            </w:pPr>
            <w:r>
              <w:rPr>
                <w:b w:val="0"/>
                <w:sz w:val="20"/>
              </w:rPr>
              <w:t>17,0</w:t>
            </w:r>
          </w:p>
        </w:tc>
        <w:tc>
          <w:tcPr>
            <w:tcW w:type="dxa" w:w="907"/>
          </w:tcPr>
          <w:p>
            <w:pPr>
              <w:spacing w:line="240" w:lineRule="auto"/>
              <w:jc w:val="center"/>
            </w:pPr>
            <w:r>
              <w:rPr>
                <w:b w:val="0"/>
                <w:sz w:val="20"/>
              </w:rPr>
              <w:t>18,5</w:t>
            </w:r>
          </w:p>
        </w:tc>
        <w:tc>
          <w:tcPr>
            <w:tcW w:type="dxa" w:w="1077"/>
          </w:tcPr>
          <w:p>
            <w:pPr>
              <w:spacing w:line="240" w:lineRule="auto"/>
              <w:jc w:val="center"/>
            </w:pPr>
            <w:r>
              <w:rPr>
                <w:b w:val="0"/>
                <w:color w:val="0070C0"/>
                <w:sz w:val="20"/>
              </w:rPr>
              <w:t>14,1</w:t>
            </w:r>
          </w:p>
        </w:tc>
        <w:tc>
          <w:tcPr>
            <w:tcW w:type="dxa" w:w="1531"/>
          </w:tcPr>
          <w:p>
            <w:pPr>
              <w:spacing w:line="240" w:lineRule="auto"/>
              <w:jc w:val="center"/>
            </w:pPr>
            <w:r>
              <w:rPr>
                <w:b w:val="0"/>
                <w:sz w:val="20"/>
              </w:rPr>
              <w:t>≥ 10,5 (Bazel III, bufer bilan)</w:t>
            </w:r>
          </w:p>
        </w:tc>
        <w:tc>
          <w:tcPr>
            <w:tcW w:type="dxa" w:w="2041"/>
          </w:tcPr>
          <w:p>
            <w:pPr>
              <w:spacing w:line="240" w:lineRule="auto"/>
              <w:jc w:val="left"/>
            </w:pPr>
            <w:r>
              <w:rPr>
                <w:b w:val="0"/>
                <w:sz w:val="20"/>
              </w:rPr>
              <w:t>Yetarli, ammo zaxira kichik va davlat kapitaliga bog‘liq</w:t>
            </w:r>
          </w:p>
        </w:tc>
      </w:tr>
      <w:tr>
        <w:tc>
          <w:tcPr>
            <w:tcW w:type="dxa" w:w="1928"/>
          </w:tcPr>
          <w:p>
            <w:pPr>
              <w:spacing w:line="240" w:lineRule="auto"/>
              <w:jc w:val="left"/>
            </w:pPr>
            <w:r>
              <w:rPr>
                <w:b w:val="0"/>
                <w:sz w:val="20"/>
              </w:rPr>
              <w:t>Asosiy kapital monandligi, %</w:t>
            </w:r>
          </w:p>
        </w:tc>
        <w:tc>
          <w:tcPr>
            <w:tcW w:type="dxa" w:w="964"/>
          </w:tcPr>
          <w:p>
            <w:pPr>
              <w:spacing w:line="240" w:lineRule="auto"/>
              <w:jc w:val="center"/>
            </w:pPr>
            <w:r>
              <w:rPr>
                <w:b w:val="0"/>
                <w:sz w:val="20"/>
              </w:rPr>
              <w:t>14,7</w:t>
            </w:r>
          </w:p>
        </w:tc>
        <w:tc>
          <w:tcPr>
            <w:tcW w:type="dxa" w:w="907"/>
          </w:tcPr>
          <w:p>
            <w:pPr>
              <w:spacing w:line="240" w:lineRule="auto"/>
              <w:jc w:val="center"/>
            </w:pPr>
            <w:r>
              <w:rPr>
                <w:b w:val="0"/>
                <w:sz w:val="20"/>
              </w:rPr>
              <w:t>10,2</w:t>
            </w:r>
          </w:p>
        </w:tc>
        <w:tc>
          <w:tcPr>
            <w:tcW w:type="dxa" w:w="907"/>
          </w:tcPr>
          <w:p>
            <w:pPr>
              <w:spacing w:line="240" w:lineRule="auto"/>
              <w:jc w:val="center"/>
            </w:pPr>
            <w:r>
              <w:rPr>
                <w:b w:val="0"/>
                <w:sz w:val="20"/>
              </w:rPr>
              <w:t>16,4</w:t>
            </w:r>
          </w:p>
        </w:tc>
        <w:tc>
          <w:tcPr>
            <w:tcW w:type="dxa" w:w="1077"/>
          </w:tcPr>
          <w:p>
            <w:pPr>
              <w:spacing w:line="240" w:lineRule="auto"/>
              <w:jc w:val="center"/>
            </w:pPr>
            <w:r>
              <w:rPr>
                <w:b w:val="0"/>
                <w:color w:val="0070C0"/>
                <w:sz w:val="20"/>
              </w:rPr>
              <w:t>10,1</w:t>
            </w:r>
          </w:p>
        </w:tc>
        <w:tc>
          <w:tcPr>
            <w:tcW w:type="dxa" w:w="1531"/>
          </w:tcPr>
          <w:p>
            <w:pPr>
              <w:spacing w:line="240" w:lineRule="auto"/>
              <w:jc w:val="center"/>
            </w:pPr>
            <w:r>
              <w:rPr>
                <w:b w:val="0"/>
                <w:sz w:val="20"/>
              </w:rPr>
              <w:t>≥ 7 (Bazel III, bufer bilan)</w:t>
            </w:r>
          </w:p>
        </w:tc>
        <w:tc>
          <w:tcPr>
            <w:tcW w:type="dxa" w:w="2041"/>
          </w:tcPr>
          <w:p>
            <w:pPr>
              <w:spacing w:line="240" w:lineRule="auto"/>
              <w:jc w:val="left"/>
            </w:pPr>
            <w:r>
              <w:rPr>
                <w:b w:val="0"/>
                <w:color w:val="0070C0"/>
                <w:sz w:val="20"/>
              </w:rPr>
              <w:t>Yetarli, SQB va Aloqabank da zaxira kichik</w:t>
            </w:r>
          </w:p>
        </w:tc>
      </w:tr>
      <w:tr>
        <w:tc>
          <w:tcPr>
            <w:tcW w:type="dxa" w:w="1928"/>
          </w:tcPr>
          <w:p>
            <w:pPr>
              <w:spacing w:line="240" w:lineRule="auto"/>
              <w:jc w:val="left"/>
            </w:pPr>
            <w:r>
              <w:rPr>
                <w:b w:val="0"/>
                <w:sz w:val="20"/>
              </w:rPr>
              <w:t>Muammoli kreditlar ulushi, %</w:t>
            </w:r>
          </w:p>
        </w:tc>
        <w:tc>
          <w:tcPr>
            <w:tcW w:type="dxa" w:w="964"/>
          </w:tcPr>
          <w:p>
            <w:pPr>
              <w:spacing w:line="240" w:lineRule="auto"/>
              <w:jc w:val="center"/>
            </w:pPr>
            <w:r>
              <w:rPr>
                <w:b w:val="0"/>
                <w:sz w:val="20"/>
              </w:rPr>
              <w:t>3,0</w:t>
            </w:r>
          </w:p>
        </w:tc>
        <w:tc>
          <w:tcPr>
            <w:tcW w:type="dxa" w:w="907"/>
          </w:tcPr>
          <w:p>
            <w:pPr>
              <w:spacing w:line="240" w:lineRule="auto"/>
              <w:jc w:val="center"/>
            </w:pPr>
            <w:r>
              <w:rPr>
                <w:b w:val="0"/>
                <w:sz w:val="20"/>
              </w:rPr>
              <w:t>2,5</w:t>
            </w:r>
          </w:p>
        </w:tc>
        <w:tc>
          <w:tcPr>
            <w:tcW w:type="dxa" w:w="907"/>
          </w:tcPr>
          <w:p>
            <w:pPr>
              <w:spacing w:line="240" w:lineRule="auto"/>
              <w:jc w:val="center"/>
            </w:pPr>
            <w:r>
              <w:rPr>
                <w:b w:val="0"/>
                <w:sz w:val="20"/>
              </w:rPr>
              <w:t>4,4</w:t>
            </w:r>
          </w:p>
        </w:tc>
        <w:tc>
          <w:tcPr>
            <w:tcW w:type="dxa" w:w="1077"/>
          </w:tcPr>
          <w:p>
            <w:pPr>
              <w:spacing w:line="240" w:lineRule="auto"/>
              <w:jc w:val="center"/>
            </w:pPr>
            <w:r>
              <w:rPr>
                <w:b w:val="0"/>
                <w:color w:val="0070C0"/>
                <w:sz w:val="20"/>
              </w:rPr>
              <w:t>2,5</w:t>
            </w:r>
          </w:p>
        </w:tc>
        <w:tc>
          <w:tcPr>
            <w:tcW w:type="dxa" w:w="1531"/>
          </w:tcPr>
          <w:p>
            <w:pPr>
              <w:spacing w:line="240" w:lineRule="auto"/>
              <w:jc w:val="center"/>
            </w:pPr>
            <w:r>
              <w:rPr>
                <w:b w:val="0"/>
                <w:sz w:val="20"/>
              </w:rPr>
              <w:t>&lt; 5 (erta ogohlantirish)</w:t>
            </w:r>
          </w:p>
        </w:tc>
        <w:tc>
          <w:tcPr>
            <w:tcW w:type="dxa" w:w="2041"/>
          </w:tcPr>
          <w:p>
            <w:pPr>
              <w:spacing w:line="240" w:lineRule="auto"/>
              <w:jc w:val="left"/>
            </w:pPr>
            <w:r>
              <w:rPr>
                <w:b w:val="0"/>
                <w:sz w:val="20"/>
              </w:rPr>
              <w:t>Rasmiy jihatdan qoniqarli</w:t>
            </w:r>
          </w:p>
        </w:tc>
      </w:tr>
      <w:tr>
        <w:tc>
          <w:tcPr>
            <w:tcW w:type="dxa" w:w="1928"/>
          </w:tcPr>
          <w:p>
            <w:pPr>
              <w:spacing w:line="240" w:lineRule="auto"/>
              <w:jc w:val="left"/>
            </w:pPr>
            <w:r>
              <w:rPr>
                <w:b w:val="0"/>
                <w:sz w:val="20"/>
              </w:rPr>
              <w:t>MHXS 9 bo‘yicha 3-bosqich, %</w:t>
            </w:r>
          </w:p>
        </w:tc>
        <w:tc>
          <w:tcPr>
            <w:tcW w:type="dxa" w:w="964"/>
          </w:tcPr>
          <w:p>
            <w:pPr>
              <w:spacing w:line="240" w:lineRule="auto"/>
              <w:jc w:val="center"/>
            </w:pPr>
            <w:r>
              <w:rPr>
                <w:b w:val="0"/>
                <w:sz w:val="20"/>
              </w:rPr>
              <w:t>7,8 (2023)</w:t>
            </w:r>
          </w:p>
        </w:tc>
        <w:tc>
          <w:tcPr>
            <w:tcW w:type="dxa" w:w="907"/>
          </w:tcPr>
          <w:p>
            <w:pPr>
              <w:spacing w:line="240" w:lineRule="auto"/>
              <w:jc w:val="center"/>
            </w:pPr>
            <w:r>
              <w:rPr>
                <w:b w:val="0"/>
                <w:sz w:val="20"/>
              </w:rPr>
              <w:t>7,5</w:t>
            </w:r>
          </w:p>
        </w:tc>
        <w:tc>
          <w:tcPr>
            <w:tcW w:type="dxa" w:w="907"/>
          </w:tcPr>
          <w:p>
            <w:pPr>
              <w:spacing w:line="240" w:lineRule="auto"/>
              <w:jc w:val="center"/>
            </w:pPr>
            <w:r>
              <w:rPr>
                <w:b w:val="0"/>
                <w:sz w:val="20"/>
              </w:rPr>
              <w:t>12,3</w:t>
            </w:r>
          </w:p>
        </w:tc>
        <w:tc>
          <w:tcPr>
            <w:tcW w:type="dxa" w:w="1077"/>
          </w:tcPr>
          <w:p>
            <w:pPr>
              <w:spacing w:line="240" w:lineRule="auto"/>
              <w:jc w:val="center"/>
            </w:pPr>
            <w:r>
              <w:rPr>
                <w:b w:val="0"/>
                <w:color w:val="0070C0"/>
                <w:sz w:val="20"/>
              </w:rPr>
              <w:t>7,2</w:t>
            </w:r>
          </w:p>
        </w:tc>
        <w:tc>
          <w:tcPr>
            <w:tcW w:type="dxa" w:w="1531"/>
          </w:tcPr>
          <w:p>
            <w:pPr>
              <w:spacing w:line="240" w:lineRule="auto"/>
              <w:jc w:val="center"/>
            </w:pPr>
            <w:r>
              <w:rPr>
                <w:b w:val="0"/>
                <w:sz w:val="20"/>
              </w:rPr>
              <w:t>&lt; 5</w:t>
            </w:r>
          </w:p>
        </w:tc>
        <w:tc>
          <w:tcPr>
            <w:tcW w:type="dxa" w:w="2041"/>
          </w:tcPr>
          <w:p>
            <w:pPr>
              <w:spacing w:line="240" w:lineRule="auto"/>
              <w:jc w:val="left"/>
            </w:pPr>
            <w:r>
              <w:rPr>
                <w:b w:val="0"/>
                <w:sz w:val="20"/>
              </w:rPr>
              <w:t>Zaif</w:t>
            </w:r>
          </w:p>
        </w:tc>
      </w:tr>
      <w:tr>
        <w:tc>
          <w:tcPr>
            <w:tcW w:type="dxa" w:w="1928"/>
          </w:tcPr>
          <w:p>
            <w:pPr>
              <w:spacing w:line="240" w:lineRule="auto"/>
              <w:jc w:val="left"/>
            </w:pPr>
            <w:r>
              <w:rPr>
                <w:b w:val="0"/>
                <w:sz w:val="20"/>
              </w:rPr>
              <w:t>Substandart va muammoli kreditlar, %</w:t>
            </w:r>
          </w:p>
        </w:tc>
        <w:tc>
          <w:tcPr>
            <w:tcW w:type="dxa" w:w="964"/>
          </w:tcPr>
          <w:p>
            <w:pPr>
              <w:spacing w:line="240" w:lineRule="auto"/>
              <w:jc w:val="center"/>
            </w:pPr>
            <w:r>
              <w:rPr>
                <w:b w:val="0"/>
                <w:sz w:val="20"/>
              </w:rPr>
              <w:t>15</w:t>
            </w:r>
          </w:p>
        </w:tc>
        <w:tc>
          <w:tcPr>
            <w:tcW w:type="dxa" w:w="907"/>
          </w:tcPr>
          <w:p>
            <w:pPr>
              <w:spacing w:line="240" w:lineRule="auto"/>
              <w:jc w:val="center"/>
            </w:pPr>
            <w:r>
              <w:rPr>
                <w:b w:val="0"/>
                <w:sz w:val="20"/>
              </w:rPr>
              <w:t>20,9</w:t>
            </w:r>
          </w:p>
        </w:tc>
        <w:tc>
          <w:tcPr>
            <w:tcW w:type="dxa" w:w="907"/>
          </w:tcPr>
          <w:p>
            <w:pPr>
              <w:spacing w:line="240" w:lineRule="auto"/>
              <w:jc w:val="center"/>
            </w:pPr>
            <w:r>
              <w:rPr>
                <w:b w:val="0"/>
                <w:sz w:val="20"/>
              </w:rPr>
              <w:t>13,4</w:t>
            </w:r>
          </w:p>
        </w:tc>
        <w:tc>
          <w:tcPr>
            <w:tcW w:type="dxa" w:w="1077"/>
          </w:tcPr>
          <w:p>
            <w:pPr>
              <w:spacing w:line="240" w:lineRule="auto"/>
              <w:jc w:val="center"/>
            </w:pPr>
            <w:r>
              <w:rPr>
                <w:b w:val="0"/>
                <w:color w:val="0070C0"/>
                <w:sz w:val="20"/>
              </w:rPr>
              <w:t>9,0</w:t>
            </w:r>
          </w:p>
        </w:tc>
        <w:tc>
          <w:tcPr>
            <w:tcW w:type="dxa" w:w="1531"/>
          </w:tcPr>
          <w:p>
            <w:pPr>
              <w:spacing w:line="240" w:lineRule="auto"/>
              <w:jc w:val="center"/>
            </w:pPr>
            <w:r>
              <w:rPr>
                <w:b w:val="0"/>
                <w:sz w:val="20"/>
              </w:rPr>
              <w:t>&lt; 10</w:t>
            </w:r>
          </w:p>
        </w:tc>
        <w:tc>
          <w:tcPr>
            <w:tcW w:type="dxa" w:w="2041"/>
          </w:tcPr>
          <w:p>
            <w:pPr>
              <w:spacing w:line="240" w:lineRule="auto"/>
              <w:jc w:val="left"/>
            </w:pPr>
            <w:r>
              <w:rPr>
                <w:b w:val="0"/>
                <w:sz w:val="20"/>
              </w:rPr>
              <w:t>SQB va MK da zaif</w:t>
            </w:r>
          </w:p>
        </w:tc>
      </w:tr>
      <w:tr>
        <w:tc>
          <w:tcPr>
            <w:tcW w:type="dxa" w:w="1928"/>
          </w:tcPr>
          <w:p>
            <w:pPr>
              <w:spacing w:line="240" w:lineRule="auto"/>
              <w:jc w:val="left"/>
            </w:pPr>
            <w:r>
              <w:rPr>
                <w:b w:val="0"/>
                <w:sz w:val="20"/>
              </w:rPr>
              <w:t>ROA, %</w:t>
            </w:r>
          </w:p>
        </w:tc>
        <w:tc>
          <w:tcPr>
            <w:tcW w:type="dxa" w:w="964"/>
          </w:tcPr>
          <w:p>
            <w:pPr>
              <w:spacing w:line="240" w:lineRule="auto"/>
              <w:jc w:val="center"/>
            </w:pPr>
            <w:r>
              <w:rPr>
                <w:b w:val="0"/>
                <w:sz w:val="20"/>
              </w:rPr>
              <w:t>2,2</w:t>
            </w:r>
          </w:p>
        </w:tc>
        <w:tc>
          <w:tcPr>
            <w:tcW w:type="dxa" w:w="907"/>
          </w:tcPr>
          <w:p>
            <w:pPr>
              <w:spacing w:line="240" w:lineRule="auto"/>
              <w:jc w:val="center"/>
            </w:pPr>
            <w:r>
              <w:rPr>
                <w:b w:val="0"/>
                <w:sz w:val="20"/>
              </w:rPr>
              <w:t>2,0</w:t>
            </w:r>
          </w:p>
        </w:tc>
        <w:tc>
          <w:tcPr>
            <w:tcW w:type="dxa" w:w="907"/>
          </w:tcPr>
          <w:p>
            <w:pPr>
              <w:spacing w:line="240" w:lineRule="auto"/>
              <w:jc w:val="center"/>
            </w:pPr>
            <w:r>
              <w:rPr>
                <w:b w:val="0"/>
                <w:sz w:val="20"/>
              </w:rPr>
              <w:t>0,6</w:t>
            </w:r>
          </w:p>
        </w:tc>
        <w:tc>
          <w:tcPr>
            <w:tcW w:type="dxa" w:w="1077"/>
          </w:tcPr>
          <w:p>
            <w:pPr>
              <w:spacing w:line="240" w:lineRule="auto"/>
              <w:jc w:val="center"/>
            </w:pPr>
            <w:r>
              <w:rPr>
                <w:b w:val="0"/>
                <w:color w:val="0070C0"/>
                <w:sz w:val="20"/>
              </w:rPr>
              <w:t>0,9</w:t>
            </w:r>
          </w:p>
        </w:tc>
        <w:tc>
          <w:tcPr>
            <w:tcW w:type="dxa" w:w="1531"/>
          </w:tcPr>
          <w:p>
            <w:pPr>
              <w:spacing w:line="240" w:lineRule="auto"/>
              <w:jc w:val="center"/>
            </w:pPr>
            <w:r>
              <w:rPr>
                <w:b w:val="0"/>
                <w:sz w:val="20"/>
              </w:rPr>
              <w:t>&gt; 1 (CAMELS 1-reyting)</w:t>
            </w:r>
          </w:p>
        </w:tc>
        <w:tc>
          <w:tcPr>
            <w:tcW w:type="dxa" w:w="2041"/>
          </w:tcPr>
          <w:p>
            <w:pPr>
              <w:spacing w:line="240" w:lineRule="auto"/>
              <w:jc w:val="left"/>
            </w:pPr>
            <w:r>
              <w:rPr>
                <w:b w:val="0"/>
                <w:color w:val="0070C0"/>
                <w:sz w:val="20"/>
              </w:rPr>
              <w:t>Tizim va SQB yuqori, MK va Aloqabank past</w:t>
            </w:r>
          </w:p>
        </w:tc>
      </w:tr>
      <w:tr>
        <w:tc>
          <w:tcPr>
            <w:tcW w:type="dxa" w:w="1928"/>
          </w:tcPr>
          <w:p>
            <w:pPr>
              <w:spacing w:line="240" w:lineRule="auto"/>
              <w:jc w:val="left"/>
            </w:pPr>
            <w:r>
              <w:rPr>
                <w:b w:val="0"/>
                <w:sz w:val="20"/>
              </w:rPr>
              <w:t>LCR, %</w:t>
            </w:r>
          </w:p>
        </w:tc>
        <w:tc>
          <w:tcPr>
            <w:tcW w:type="dxa" w:w="964"/>
          </w:tcPr>
          <w:p>
            <w:pPr>
              <w:spacing w:line="240" w:lineRule="auto"/>
              <w:jc w:val="center"/>
            </w:pPr>
            <w:r>
              <w:rPr>
                <w:b w:val="0"/>
                <w:sz w:val="20"/>
              </w:rPr>
              <w:t>207,5</w:t>
            </w:r>
          </w:p>
        </w:tc>
        <w:tc>
          <w:tcPr>
            <w:tcW w:type="dxa" w:w="907"/>
          </w:tcPr>
          <w:p>
            <w:pPr>
              <w:spacing w:line="240" w:lineRule="auto"/>
              <w:jc w:val="center"/>
            </w:pPr>
            <w:r>
              <w:rPr>
                <w:b w:val="0"/>
                <w:sz w:val="20"/>
              </w:rPr>
              <w:t>222,9</w:t>
            </w:r>
          </w:p>
        </w:tc>
        <w:tc>
          <w:tcPr>
            <w:tcW w:type="dxa" w:w="907"/>
          </w:tcPr>
          <w:p>
            <w:pPr>
              <w:spacing w:line="240" w:lineRule="auto"/>
              <w:jc w:val="center"/>
            </w:pPr>
            <w:r>
              <w:rPr>
                <w:b w:val="0"/>
                <w:sz w:val="20"/>
              </w:rPr>
              <w:t>231,9</w:t>
            </w:r>
          </w:p>
        </w:tc>
        <w:tc>
          <w:tcPr>
            <w:tcW w:type="dxa" w:w="1077"/>
          </w:tcPr>
          <w:p>
            <w:pPr>
              <w:spacing w:line="240" w:lineRule="auto"/>
              <w:jc w:val="center"/>
            </w:pPr>
            <w:r>
              <w:rPr>
                <w:b w:val="0"/>
                <w:color w:val="0070C0"/>
                <w:sz w:val="20"/>
              </w:rPr>
              <w:t>142,0</w:t>
            </w:r>
          </w:p>
        </w:tc>
        <w:tc>
          <w:tcPr>
            <w:tcW w:type="dxa" w:w="1531"/>
          </w:tcPr>
          <w:p>
            <w:pPr>
              <w:spacing w:line="240" w:lineRule="auto"/>
              <w:jc w:val="center"/>
            </w:pPr>
            <w:r>
              <w:rPr>
                <w:b w:val="0"/>
                <w:sz w:val="20"/>
              </w:rPr>
              <w:t>≥ 100 (Bazel III)</w:t>
            </w:r>
          </w:p>
        </w:tc>
        <w:tc>
          <w:tcPr>
            <w:tcW w:type="dxa" w:w="2041"/>
          </w:tcPr>
          <w:p>
            <w:pPr>
              <w:spacing w:line="240" w:lineRule="auto"/>
              <w:jc w:val="left"/>
            </w:pPr>
            <w:r>
              <w:rPr>
                <w:b w:val="0"/>
                <w:sz w:val="20"/>
              </w:rPr>
              <w:t>Yuqori</w:t>
            </w:r>
          </w:p>
        </w:tc>
      </w:tr>
      <w:tr>
        <w:tc>
          <w:tcPr>
            <w:tcW w:type="dxa" w:w="1928"/>
          </w:tcPr>
          <w:p>
            <w:pPr>
              <w:spacing w:line="240" w:lineRule="auto"/>
              <w:jc w:val="left"/>
            </w:pPr>
            <w:r>
              <w:rPr>
                <w:b w:val="0"/>
                <w:sz w:val="20"/>
              </w:rPr>
              <w:t>NSFR, %</w:t>
            </w:r>
          </w:p>
        </w:tc>
        <w:tc>
          <w:tcPr>
            <w:tcW w:type="dxa" w:w="964"/>
          </w:tcPr>
          <w:p>
            <w:pPr>
              <w:spacing w:line="240" w:lineRule="auto"/>
              <w:jc w:val="center"/>
            </w:pPr>
            <w:r>
              <w:rPr>
                <w:b w:val="0"/>
                <w:sz w:val="20"/>
              </w:rPr>
              <w:t>119,9</w:t>
            </w:r>
          </w:p>
        </w:tc>
        <w:tc>
          <w:tcPr>
            <w:tcW w:type="dxa" w:w="907"/>
          </w:tcPr>
          <w:p>
            <w:pPr>
              <w:spacing w:line="240" w:lineRule="auto"/>
              <w:jc w:val="center"/>
            </w:pPr>
            <w:r>
              <w:rPr>
                <w:b w:val="0"/>
                <w:sz w:val="20"/>
              </w:rPr>
              <w:t>122,2</w:t>
            </w:r>
          </w:p>
        </w:tc>
        <w:tc>
          <w:tcPr>
            <w:tcW w:type="dxa" w:w="907"/>
          </w:tcPr>
          <w:p>
            <w:pPr>
              <w:spacing w:line="240" w:lineRule="auto"/>
              <w:jc w:val="center"/>
            </w:pPr>
            <w:r>
              <w:rPr>
                <w:b w:val="0"/>
                <w:sz w:val="20"/>
              </w:rPr>
              <w:t>113,0</w:t>
            </w:r>
          </w:p>
        </w:tc>
        <w:tc>
          <w:tcPr>
            <w:tcW w:type="dxa" w:w="1077"/>
          </w:tcPr>
          <w:p>
            <w:pPr>
              <w:spacing w:line="240" w:lineRule="auto"/>
              <w:jc w:val="center"/>
            </w:pPr>
            <w:r>
              <w:rPr>
                <w:b w:val="0"/>
                <w:color w:val="0070C0"/>
                <w:sz w:val="20"/>
              </w:rPr>
              <w:t>103,0</w:t>
            </w:r>
          </w:p>
        </w:tc>
        <w:tc>
          <w:tcPr>
            <w:tcW w:type="dxa" w:w="1531"/>
          </w:tcPr>
          <w:p>
            <w:pPr>
              <w:spacing w:line="240" w:lineRule="auto"/>
              <w:jc w:val="center"/>
            </w:pPr>
            <w:r>
              <w:rPr>
                <w:b w:val="0"/>
                <w:sz w:val="20"/>
              </w:rPr>
              <w:t>≥ 100 (Bazel III)</w:t>
            </w:r>
          </w:p>
        </w:tc>
        <w:tc>
          <w:tcPr>
            <w:tcW w:type="dxa" w:w="2041"/>
          </w:tcPr>
          <w:p>
            <w:pPr>
              <w:spacing w:line="240" w:lineRule="auto"/>
              <w:jc w:val="left"/>
            </w:pPr>
            <w:r>
              <w:rPr>
                <w:b w:val="0"/>
                <w:color w:val="0070C0"/>
                <w:sz w:val="20"/>
              </w:rPr>
              <w:t>Yetarli, Aloqabank da zaxira kichik</w:t>
            </w:r>
          </w:p>
        </w:tc>
      </w:tr>
      <w:tr>
        <w:tc>
          <w:tcPr>
            <w:tcW w:type="dxa" w:w="1928"/>
          </w:tcPr>
          <w:p>
            <w:pPr>
              <w:spacing w:line="240" w:lineRule="auto"/>
              <w:jc w:val="left"/>
            </w:pPr>
            <w:r>
              <w:rPr>
                <w:b w:val="0"/>
                <w:sz w:val="20"/>
              </w:rPr>
              <w:t>Kreditlar / depozitlar, %</w:t>
            </w:r>
          </w:p>
        </w:tc>
        <w:tc>
          <w:tcPr>
            <w:tcW w:type="dxa" w:w="964"/>
          </w:tcPr>
          <w:p>
            <w:pPr>
              <w:spacing w:line="240" w:lineRule="auto"/>
              <w:jc w:val="center"/>
            </w:pPr>
            <w:r>
              <w:rPr>
                <w:b w:val="0"/>
                <w:sz w:val="20"/>
              </w:rPr>
              <w:t>158</w:t>
            </w:r>
          </w:p>
        </w:tc>
        <w:tc>
          <w:tcPr>
            <w:tcW w:type="dxa" w:w="907"/>
          </w:tcPr>
          <w:p>
            <w:pPr>
              <w:spacing w:line="240" w:lineRule="auto"/>
              <w:jc w:val="center"/>
            </w:pPr>
            <w:r>
              <w:rPr>
                <w:b w:val="0"/>
                <w:sz w:val="20"/>
              </w:rPr>
              <w:t>206,5</w:t>
            </w:r>
          </w:p>
        </w:tc>
        <w:tc>
          <w:tcPr>
            <w:tcW w:type="dxa" w:w="907"/>
          </w:tcPr>
          <w:p>
            <w:pPr>
              <w:spacing w:line="240" w:lineRule="auto"/>
              <w:jc w:val="center"/>
            </w:pPr>
            <w:r>
              <w:rPr>
                <w:b w:val="0"/>
                <w:sz w:val="20"/>
              </w:rPr>
              <w:t>208,5</w:t>
            </w:r>
          </w:p>
        </w:tc>
        <w:tc>
          <w:tcPr>
            <w:tcW w:type="dxa" w:w="1077"/>
          </w:tcPr>
          <w:p>
            <w:pPr>
              <w:spacing w:line="240" w:lineRule="auto"/>
              <w:jc w:val="center"/>
            </w:pPr>
            <w:r>
              <w:rPr>
                <w:b w:val="0"/>
                <w:color w:val="0070C0"/>
                <w:sz w:val="20"/>
              </w:rPr>
              <w:t>121,1</w:t>
            </w:r>
          </w:p>
        </w:tc>
        <w:tc>
          <w:tcPr>
            <w:tcW w:type="dxa" w:w="1531"/>
          </w:tcPr>
          <w:p>
            <w:pPr>
              <w:spacing w:line="240" w:lineRule="auto"/>
              <w:jc w:val="center"/>
            </w:pPr>
            <w:r>
              <w:rPr>
                <w:b w:val="0"/>
                <w:sz w:val="20"/>
              </w:rPr>
              <w:t>≤ 100</w:t>
            </w:r>
          </w:p>
        </w:tc>
        <w:tc>
          <w:tcPr>
            <w:tcW w:type="dxa" w:w="2041"/>
          </w:tcPr>
          <w:p>
            <w:pPr>
              <w:spacing w:line="240" w:lineRule="auto"/>
              <w:jc w:val="left"/>
            </w:pPr>
            <w:r>
              <w:rPr>
                <w:b w:val="0"/>
                <w:sz w:val="20"/>
              </w:rPr>
              <w:t>SQB va MK da yuqori risk</w:t>
            </w:r>
          </w:p>
        </w:tc>
      </w:tr>
    </w:tbl>
    <w:p>
      <w:pPr>
        <w:spacing w:line="240" w:lineRule="auto"/>
        <w:ind w:firstLine="0"/>
        <w:jc w:val="both"/>
      </w:pPr>
      <w:r>
        <w:rPr>
          <w:b w:val="0"/>
          <w:i/>
          <w:sz w:val="22"/>
        </w:rPr>
        <w:t>Izoh: SQB – “O‘zsanoatqurilishbank” ATB, MKB – “Mikrokreditbank” ATB.</w:t>
      </w:r>
    </w:p>
    <w:p>
      <w:pPr>
        <w:ind w:firstLine="709"/>
        <w:jc w:val="both"/>
      </w:pPr>
      <w:r>
        <w:rPr>
          <w:b w:val="0"/>
          <w:i/>
          <w:color w:val="595959"/>
          <w:sz w:val="26"/>
        </w:rPr>
        <w:t xml:space="preserve">Jadvaldan keyingi xatboshi va paragraf xulosasida “ikki bank” → “uch bank”; xulosaga qo‘shiladi: </w:t>
      </w:r>
      <w:r>
        <w:rPr>
          <w:b w:val="0"/>
          <w:i w:val="0"/>
          <w:color w:val="0070C0"/>
          <w:sz w:val="26"/>
        </w:rPr>
        <w:t>tizimli ahamiyatga molik bo‘lmagan “Aloqabank” ATB misolida esa bu qonuniyatlar faqat yirik davlat banklariga xos emasligi tasdiqlandi.</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hart" Target="charts/chart1.xml"/><Relationship Id="rId10"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lineChart>
        <c:grouping val="standard"/>
        <c:varyColors val="0"/>
        <c:ser>
          <c:idx val="0"/>
          <c:order val="0"/>
          <c:tx>
            <c:strRef>
              <c:f>Sheet1!$B$1</c:f>
              <c:strCache>
                <c:ptCount val="1"/>
                <c:pt idx="0">
                  <c:v>Substandart va muammoli kreditlar</c:v>
                </c:pt>
              </c:strCache>
            </c:strRef>
          </c:tx>
          <c:spPr>
            <a:ln w="31750">
              <a:solidFill>
                <a:srgbClr val="7030A0"/>
              </a:solidFill>
            </a:ln>
          </c:spPr>
          <c:marker>
            <c:symbol val="circle"/>
            <c:size val="6"/>
            <c:spPr>
              <a:solidFill>
                <a:srgbClr val="7030A0"/>
              </a:solidFill>
              <a:ln>
                <a:noFill/>
              </a:ln>
            </c:spPr>
          </c:marker>
          <c:dLbls>
            <c:numFmt formatCode="0.0" sourceLinked="0"/>
            <c:spPr>
              <a:noFill/>
              <a:ln>
                <a:noFill/>
              </a:ln>
            </c:spPr>
            <c:txPr>
              <a:bodyPr/>
              <a:lstStyle/>
              <a:p>
                <a:pPr>
                  <a:defRPr sz="1000" b="1">
                    <a:solidFill>
                      <a:srgbClr val="7030A0"/>
                    </a:solidFill>
                    <a:latin typeface="Times New Roman"/>
                    <a:cs typeface="Times New Roman"/>
                  </a:defRPr>
                </a:pPr>
                <a:endParaRPr lang="uz-Latn-UZ"/>
              </a:p>
            </c:txPr>
            <c:dLblPos val="t"/>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0.0</c:formatCode>
                <c:ptCount val="5"/>
                <c:pt idx="0">
                  <c:v>12.5</c:v>
                </c:pt>
                <c:pt idx="1">
                  <c:v>15.9</c:v>
                </c:pt>
                <c:pt idx="2">
                  <c:v>19.5</c:v>
                </c:pt>
                <c:pt idx="3">
                  <c:v>21.0</c:v>
                </c:pt>
                <c:pt idx="4">
                  <c:v>15.0</c:v>
                </c:pt>
              </c:numCache>
            </c:numRef>
          </c:val>
          <c:smooth val="0"/>
        </c:ser>
        <c:ser>
          <c:idx val="1"/>
          <c:order val="1"/>
          <c:tx>
            <c:strRef>
              <c:f>Sheet1!$C$1</c:f>
              <c:strCache>
                <c:ptCount val="1"/>
                <c:pt idx="0">
                  <c:v>Muammoli kreditlar, davlat ulushi mavjud banklar</c:v>
                </c:pt>
              </c:strCache>
            </c:strRef>
          </c:tx>
          <c:spPr>
            <a:ln w="31750">
              <a:solidFill>
                <a:srgbClr val="EB6834"/>
              </a:solidFill>
            </a:ln>
          </c:spPr>
          <c:marker>
            <c:symbol val="circle"/>
            <c:size val="6"/>
            <c:spPr>
              <a:solidFill>
                <a:srgbClr val="EB6834"/>
              </a:solidFill>
              <a:ln>
                <a:noFill/>
              </a:ln>
            </c:spPr>
          </c:marker>
          <c:cat>
            <c:strRef>
              <c:f>Sheet1!$A$2:$A$6</c:f>
              <c:strCache>
                <c:ptCount val="5"/>
                <c:pt idx="0">
                  <c:v>2021</c:v>
                </c:pt>
                <c:pt idx="1">
                  <c:v>2022</c:v>
                </c:pt>
                <c:pt idx="2">
                  <c:v>2023</c:v>
                </c:pt>
                <c:pt idx="3">
                  <c:v>2024</c:v>
                </c:pt>
                <c:pt idx="4">
                  <c:v>2025</c:v>
                </c:pt>
              </c:strCache>
            </c:strRef>
          </c:cat>
          <c:val>
            <c:numRef>
              <c:f>Sheet1!$C$2:$C$6</c:f>
              <c:numCache>
                <c:formatCode>0.0</c:formatCode>
                <c:ptCount val="5"/>
                <c:pt idx="0">
                  <c:v>5.4</c:v>
                </c:pt>
                <c:pt idx="1">
                  <c:v>3.9</c:v>
                </c:pt>
                <c:pt idx="2">
                  <c:v>4.0</c:v>
                </c:pt>
                <c:pt idx="3">
                  <c:v>3.9</c:v>
                </c:pt>
                <c:pt idx="4">
                  <c:v>3.2</c:v>
                </c:pt>
              </c:numCache>
            </c:numRef>
          </c:val>
          <c:smooth val="0"/>
        </c:ser>
        <c:ser>
          <c:idx val="2"/>
          <c:order val="2"/>
          <c:tx>
            <c:strRef>
              <c:f>Sheet1!$D$1</c:f>
              <c:strCache>
                <c:ptCount val="1"/>
                <c:pt idx="0">
                  <c:v>Muammoli kreditlar, jami</c:v>
                </c:pt>
              </c:strCache>
            </c:strRef>
          </c:tx>
          <c:spPr>
            <a:ln w="31750">
              <a:solidFill>
                <a:srgbClr val="2A78D6"/>
              </a:solidFill>
            </a:ln>
          </c:spPr>
          <c:marker>
            <c:symbol val="circle"/>
            <c:size val="6"/>
            <c:spPr>
              <a:solidFill>
                <a:srgbClr val="2A78D6"/>
              </a:solidFill>
              <a:ln>
                <a:noFill/>
              </a:ln>
            </c:spPr>
          </c:marker>
          <c:dLbls>
            <c:numFmt formatCode="0.0" sourceLinked="0"/>
            <c:spPr>
              <a:noFill/>
              <a:ln>
                <a:noFill/>
              </a:ln>
            </c:spPr>
            <c:txPr>
              <a:bodyPr/>
              <a:lstStyle/>
              <a:p>
                <a:pPr>
                  <a:defRPr sz="1000" b="1">
                    <a:solidFill>
                      <a:srgbClr val="2A78D6"/>
                    </a:solidFill>
                    <a:latin typeface="Times New Roman"/>
                    <a:cs typeface="Times New Roman"/>
                  </a:defRPr>
                </a:pPr>
                <a:endParaRPr lang="uz-Latn-UZ"/>
              </a:p>
            </c:txPr>
            <c:dLblPos val="b"/>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Sheet1!$D$2:$D$6</c:f>
              <c:numCache>
                <c:formatCode>0.0</c:formatCode>
                <c:ptCount val="5"/>
                <c:pt idx="0">
                  <c:v>5.2</c:v>
                </c:pt>
                <c:pt idx="1">
                  <c:v>3.6</c:v>
                </c:pt>
                <c:pt idx="2">
                  <c:v>3.5</c:v>
                </c:pt>
                <c:pt idx="3">
                  <c:v>4.0</c:v>
                </c:pt>
                <c:pt idx="4">
                  <c:v>3.0</c:v>
                </c:pt>
              </c:numCache>
            </c:numRef>
          </c:val>
          <c:smooth val="0"/>
        </c:ser>
        <c:ser>
          <c:idx val="3"/>
          <c:order val="3"/>
          <c:tx>
            <c:strRef>
              <c:f>Sheet1!$E$1</c:f>
              <c:strCache>
                <c:ptCount val="1"/>
                <c:pt idx="0">
                  <c:v>Muammoli kreditlar, boshqa banklar</c:v>
                </c:pt>
              </c:strCache>
            </c:strRef>
          </c:tx>
          <c:spPr>
            <a:ln w="31750">
              <a:solidFill>
                <a:srgbClr val="70AD47"/>
              </a:solidFill>
            </a:ln>
          </c:spPr>
          <c:marker>
            <c:symbol val="circle"/>
            <c:size val="6"/>
            <c:spPr>
              <a:solidFill>
                <a:srgbClr val="70AD47"/>
              </a:solidFill>
              <a:ln>
                <a:noFill/>
              </a:ln>
            </c:spPr>
          </c:marker>
          <c:cat>
            <c:strRef>
              <c:f>Sheet1!$A$2:$A$6</c:f>
              <c:strCache>
                <c:ptCount val="5"/>
                <c:pt idx="0">
                  <c:v>2021</c:v>
                </c:pt>
                <c:pt idx="1">
                  <c:v>2022</c:v>
                </c:pt>
                <c:pt idx="2">
                  <c:v>2023</c:v>
                </c:pt>
                <c:pt idx="3">
                  <c:v>2024</c:v>
                </c:pt>
                <c:pt idx="4">
                  <c:v>2025</c:v>
                </c:pt>
              </c:strCache>
            </c:strRef>
          </c:cat>
          <c:val>
            <c:numRef>
              <c:f>Sheet1!$E$2:$E$6</c:f>
              <c:numCache>
                <c:formatCode>0.0</c:formatCode>
                <c:ptCount val="5"/>
                <c:pt idx="0">
                  <c:v>4.1</c:v>
                </c:pt>
                <c:pt idx="1">
                  <c:v>2.1</c:v>
                </c:pt>
                <c:pt idx="2">
                  <c:v>2.4</c:v>
                </c:pt>
                <c:pt idx="3">
                  <c:v>4.1</c:v>
                </c:pt>
                <c:pt idx="4">
                  <c:v>2.6</c:v>
                </c:pt>
              </c:numCache>
            </c:numRef>
          </c:val>
          <c:smooth val="0"/>
        </c:ser>
        <c:ser>
          <c:idx val="4"/>
          <c:order val="4"/>
          <c:tx>
            <c:strRef>
              <c:f>Sheet1!$F$1</c:f>
              <c:strCache>
                <c:ptCount val="1"/>
                <c:pt idx="0">
                  <c:v>Erta ogohlantirish chegarasi (5%)</c:v>
                </c:pt>
              </c:strCache>
            </c:strRef>
          </c:tx>
          <c:spPr>
            <a:ln w="31750">
              <a:solidFill>
                <a:srgbClr val="C00000"/>
              </a:solidFill>
              <a:prstDash val="dash"/>
            </a:ln>
          </c:spPr>
          <c:marker>
            <c:symbol val="none"/>
          </c:marker>
          <c:cat>
            <c:strRef>
              <c:f>Sheet1!$A$2:$A$6</c:f>
              <c:strCache>
                <c:ptCount val="5"/>
                <c:pt idx="0">
                  <c:v>2021</c:v>
                </c:pt>
                <c:pt idx="1">
                  <c:v>2022</c:v>
                </c:pt>
                <c:pt idx="2">
                  <c:v>2023</c:v>
                </c:pt>
                <c:pt idx="3">
                  <c:v>2024</c:v>
                </c:pt>
                <c:pt idx="4">
                  <c:v>2025</c:v>
                </c:pt>
              </c:strCache>
            </c:strRef>
          </c:cat>
          <c:val>
            <c:numRef>
              <c:f>Sheet1!$F$2:$F$6</c:f>
              <c:numCache>
                <c:formatCode>0.0</c:formatCode>
                <c:ptCount val="5"/>
                <c:pt idx="0">
                  <c:v>5.0</c:v>
                </c:pt>
                <c:pt idx="1">
                  <c:v>5.0</c:v>
                </c:pt>
                <c:pt idx="2">
                  <c:v>5.0</c:v>
                </c:pt>
                <c:pt idx="3">
                  <c:v>5.0</c:v>
                </c:pt>
                <c:pt idx="4">
                  <c:v>5.0</c:v>
                </c:pt>
              </c:numCache>
            </c:numRef>
          </c:val>
          <c:smooth val="0"/>
        </c:ser>
        <c:marker val="1"/>
        <c:axId val="111"/>
        <c:axId val="222"/>
      </c:line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5"/>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Kreditlardagi ulushi, %</a:t>
                </a:r>
              </a:p>
            </c:rich>
          </c:tx>
          <c:overlay val="0"/>
        </c:title>
        <c:numFmt formatCode="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lineChart>
        <c:grouping val="standard"/>
        <c:varyColors val="0"/>
        <c:ser>
          <c:idx val="0"/>
          <c:order val="0"/>
          <c:tx>
            <c:strRef>
              <c:f>Sheet1!$B$1</c:f>
              <c:strCache>
                <c:ptCount val="1"/>
                <c:pt idx="0">
                  <c:v>ROE</c:v>
                </c:pt>
              </c:strCache>
            </c:strRef>
          </c:tx>
          <c:spPr>
            <a:ln w="31750">
              <a:solidFill>
                <a:srgbClr val="EB6834"/>
              </a:solidFill>
            </a:ln>
          </c:spPr>
          <c:marker>
            <c:symbol val="circle"/>
            <c:size val="6"/>
            <c:spPr>
              <a:solidFill>
                <a:srgbClr val="EB6834"/>
              </a:solidFill>
              <a:ln>
                <a:noFill/>
              </a:ln>
            </c:spPr>
          </c:marker>
          <c:dLbls>
            <c:numFmt formatCode="0.0" sourceLinked="0"/>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0.0</c:formatCode>
                <c:ptCount val="5"/>
                <c:pt idx="0">
                  <c:v>6.1</c:v>
                </c:pt>
                <c:pt idx="1">
                  <c:v>13.3</c:v>
                </c:pt>
                <c:pt idx="2">
                  <c:v>14.2</c:v>
                </c:pt>
                <c:pt idx="3">
                  <c:v>6.6</c:v>
                </c:pt>
                <c:pt idx="4">
                  <c:v>12.4</c:v>
                </c:pt>
              </c:numCache>
            </c:numRef>
          </c:val>
          <c:smooth val="0"/>
        </c:ser>
        <c:ser>
          <c:idx val="1"/>
          <c:order val="1"/>
          <c:tx>
            <c:strRef>
              <c:f>Sheet1!$C$1</c:f>
              <c:strCache>
                <c:ptCount val="1"/>
                <c:pt idx="0">
                  <c:v>ROA</c:v>
                </c:pt>
              </c:strCache>
            </c:strRef>
          </c:tx>
          <c:spPr>
            <a:ln w="31750">
              <a:solidFill>
                <a:srgbClr val="2A78D6"/>
              </a:solidFill>
            </a:ln>
          </c:spPr>
          <c:marker>
            <c:symbol val="circle"/>
            <c:size val="6"/>
            <c:spPr>
              <a:solidFill>
                <a:srgbClr val="2A78D6"/>
              </a:solidFill>
              <a:ln>
                <a:noFill/>
              </a:ln>
            </c:spPr>
          </c:marker>
          <c:dLbls>
            <c:numFmt formatCode="0.0" sourceLinked="0"/>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0.0</c:formatCode>
                <c:ptCount val="5"/>
                <c:pt idx="0">
                  <c:v>1.3</c:v>
                </c:pt>
                <c:pt idx="1">
                  <c:v>2.5</c:v>
                </c:pt>
                <c:pt idx="2">
                  <c:v>2.6</c:v>
                </c:pt>
                <c:pt idx="3">
                  <c:v>1.4</c:v>
                </c:pt>
                <c:pt idx="4">
                  <c:v>2.2</c:v>
                </c:pt>
              </c:numCache>
            </c:numRef>
          </c:val>
          <c:smooth val="0"/>
        </c:ser>
        <c:ser>
          <c:idx val="2"/>
          <c:order val="2"/>
          <c:tx>
            <c:strRef>
              <c:f>Sheet1!$D$1</c:f>
              <c:strCache>
                <c:ptCount val="1"/>
                <c:pt idx="0">
                  <c:v>ROA mezoni – CAMELS 1-reyting (1%)</c:v>
                </c:pt>
              </c:strCache>
            </c:strRef>
          </c:tx>
          <c:spPr>
            <a:ln w="31750">
              <a:solidFill>
                <a:srgbClr val="C00000"/>
              </a:solidFill>
              <a:prstDash val="dash"/>
            </a:ln>
          </c:spPr>
          <c:marker>
            <c:symbol val="none"/>
          </c:marker>
          <c:cat>
            <c:strRef>
              <c:f>Sheet1!$A$2:$A$6</c:f>
              <c:strCache>
                <c:ptCount val="5"/>
                <c:pt idx="0">
                  <c:v>2021</c:v>
                </c:pt>
                <c:pt idx="1">
                  <c:v>2022</c:v>
                </c:pt>
                <c:pt idx="2">
                  <c:v>2023</c:v>
                </c:pt>
                <c:pt idx="3">
                  <c:v>2024</c:v>
                </c:pt>
                <c:pt idx="4">
                  <c:v>2025</c:v>
                </c:pt>
              </c:strCache>
            </c:strRef>
          </c:cat>
          <c:val>
            <c:numRef>
              <c:f>Sheet1!$D$2:$D$6</c:f>
              <c:numCache>
                <c:formatCode>0.0</c:formatCode>
                <c:ptCount val="5"/>
                <c:pt idx="0">
                  <c:v>1.0</c:v>
                </c:pt>
                <c:pt idx="1">
                  <c:v>1.0</c:v>
                </c:pt>
                <c:pt idx="2">
                  <c:v>1.0</c:v>
                </c:pt>
                <c:pt idx="3">
                  <c:v>1.0</c:v>
                </c:pt>
                <c:pt idx="4">
                  <c:v>1.0</c:v>
                </c:pt>
              </c:numCache>
            </c:numRef>
          </c:val>
          <c:smooth val="0"/>
        </c:ser>
        <c:marker val="1"/>
        <c:axId val="111"/>
        <c:axId val="222"/>
      </c:line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6"/>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Rentabellik, %</a:t>
                </a:r>
              </a:p>
            </c:rich>
          </c:tx>
          <c:overlay val="0"/>
        </c:title>
        <c:numFmt formatCode="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