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177</w:t>
      </w:r>
    </w:p>
    <w:p w:rsidR="005603EC" w:rsidRDefault="00AB61AC">
      <w:pPr>
        <w:tabs>
          <w:tab w:val="right" w:leader="dot" w:pos="9354"/>
        </w:tabs>
        <w:spacing w:after="80" w:line="240" w:lineRule="auto"/>
        <w:ind w:left="454"/>
      </w:pPr>
      <w:r>
        <w:rPr>
          <w:sz w:val="26"/>
        </w:rPr>
        <w:t>III bob bo‘yicha xulosalar</w:t>
      </w:r>
      <w:r>
        <w:rPr>
          <w:sz w:val="26"/>
        </w:rPr>
        <w:tab/>
        <w:t>195</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198</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198</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214</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226</w:t>
      </w:r>
    </w:p>
    <w:p w:rsidR="005603EC" w:rsidRDefault="00AB61AC">
      <w:pPr>
        <w:tabs>
          <w:tab w:val="right" w:leader="dot" w:pos="9354"/>
        </w:tabs>
        <w:spacing w:after="80" w:line="240" w:lineRule="auto"/>
        <w:ind w:left="454"/>
      </w:pPr>
      <w:r>
        <w:rPr>
          <w:sz w:val="26"/>
        </w:rPr>
        <w:t>IV bob bo‘yicha xulosalar</w:t>
      </w:r>
      <w:r>
        <w:rPr>
          <w:sz w:val="26"/>
        </w:rPr>
        <w:tab/>
        <w:t>239</w:t>
      </w:r>
    </w:p>
    <w:p w:rsidR="005603EC" w:rsidRDefault="00AB61AC">
      <w:pPr>
        <w:tabs>
          <w:tab w:val="right" w:leader="dot" w:pos="9354"/>
        </w:tabs>
        <w:spacing w:after="80" w:line="240" w:lineRule="auto"/>
      </w:pPr>
      <w:r>
        <w:rPr>
          <w:b/>
          <w:sz w:val="26"/>
        </w:rPr>
        <w:t>XULOSA</w:t>
      </w:r>
      <w:r>
        <w:rPr>
          <w:b/>
          <w:sz w:val="26"/>
        </w:rPr>
        <w:tab/>
        <w:t>242</w:t>
      </w:r>
    </w:p>
    <w:p w:rsidR="005603EC" w:rsidRDefault="00AB61AC">
      <w:pPr>
        <w:tabs>
          <w:tab w:val="right" w:leader="dot" w:pos="9354"/>
        </w:tabs>
        <w:spacing w:after="80" w:line="240" w:lineRule="auto"/>
      </w:pPr>
      <w:r>
        <w:rPr>
          <w:b/>
          <w:sz w:val="26"/>
        </w:rPr>
        <w:t>FOYDALANILGAN ADABIYOTLAR RO‘YXATI</w:t>
      </w:r>
      <w:r>
        <w:rPr>
          <w:b/>
          <w:sz w:val="26"/>
        </w:rPr>
        <w:tab/>
        <w:t>248</w:t>
      </w:r>
    </w:p>
    <w:p w:rsidR="005603EC" w:rsidRDefault="00AB61AC">
      <w:pPr>
        <w:tabs>
          <w:tab w:val="right" w:leader="dot" w:pos="9354"/>
        </w:tabs>
        <w:spacing w:after="80" w:line="240" w:lineRule="auto"/>
      </w:pPr>
      <w:r>
        <w:rPr>
          <w:b/>
          <w:sz w:val="26"/>
        </w:rPr>
        <w:t>ILOVALAR</w:t>
      </w:r>
      <w:r>
        <w:rPr>
          <w:b/>
          <w:sz w:val="26"/>
        </w:rPr>
        <w:tab/>
        <w:t>269</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xml:space="preserve">. Shu davrda xalqaro standartlarni joriy etish ham davom etdi</w:t>
      </w:r>
      <w:r>
        <w:rPr>
          <w:color w:val="0070C0"/>
        </w:rPr>
        <w:t xml:space="preserve">. Jumladan,</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244</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xml:space="preserve">. J.M. Hendrickson ta’rifida esa asosiy o‘rinni ishonch egallaydi</w:t>
      </w:r>
      <w:r>
        <w:rPr>
          <w:color w:val="0070C0"/>
        </w:rPr>
        <w:t xml:space="preserve">. M</w:t>
      </w:r>
      <w:r>
        <w:t xml:space="preserve">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 xml:space="preserve">Keyingi yillardagi tadqiqotlarda ta’riflarning urg‘usi sezilarli darajada o‘zgargan. I.G. Sadikov ta’rifida bozor mavqei va daromadlilik birinchi o‘ringa chiqadi</w:t>
      </w:r>
      <w:r>
        <w:rPr>
          <w:color w:val="0070C0"/>
        </w:rPr>
        <w:t xml:space="preserve">. M</w:t>
      </w:r>
      <w:r>
        <w:t xml:space="preserve">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r>
      <w:r>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w:t>
      </w:r>
      <w:r>
        <w:rPr>
          <w:color w:val="0070C0"/>
        </w:rPr>
        <w:t xml:space="preserve">, u butun tizimga tarqalishi mumkin. Shu sababli</w:t>
      </w:r>
      <w:r>
        <w:t xml:space="preserve">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r>
      <w:r>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xml:space="preserve">. Koeffitsiyentli yondashuv normativlar bilan bog‘liq bo‘lsa-da, ko‘rsatkichlarni yagona bahoga keltirmaydi</w:t>
      </w:r>
      <w:r>
        <w:rPr>
          <w:color w:val="0070C0"/>
        </w:rPr>
        <w:t xml:space="preserve">. M</w:t>
      </w:r>
      <w:r>
        <w:t xml:space="preserve">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w:t>
      </w:r>
      <w:r>
        <w:rPr>
          <w:color w:val="0070C0"/>
        </w:rPr>
        <w:t xml:space="preserve">. Masalan, N.E.</w:t>
      </w:r>
      <w:r>
        <w:t xml:space="preserve"> Sokolinskaya prognoziga ko‘ra, MHXS 9 ga o‘tish natijasida Rossiya banklarida zaxiralar kredit portfelining 19,1 foiziga yetishi mumkin bo‘lgan</w:t>
      </w:r>
      <w:r>
        <w:rPr>
          <w:rStyle w:val="aff8"/>
        </w:rPr>
        <w:footnoteReference w:id="159"/>
      </w:r>
      <w:r>
        <w:t xml:space="preserve">. Ikkinchidan, milliy hisobot va MHXS bo‘yicha hisoblangan ko‘rsatkichlar farqi bankning haqiqiy holatini aniqlashda qo‘shimcha axborot manbai bo‘ladi</w:t>
      </w:r>
      <w:r>
        <w:rPr>
          <w:color w:val="0070C0"/>
        </w:rPr>
        <w:t xml:space="preserve">. Jumladan, N.E. Sokolinskaya</w:t>
      </w:r>
      <w:r>
        <w:t xml:space="preserve">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r>
      <w:r>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r>
      <w:r>
        <w:t xml:space="preserve">T.F. Cargill fikricha, yig‘ma ball komponentlarning oddiy o‘rtachasi emas, balki tekshiruv guruhining umumiy bahosidir</w:t>
      </w:r>
      <w:r>
        <w:rPr>
          <w:color w:val="0070C0"/>
        </w:rPr>
        <w:t xml:space="preserve">. Bunda</w:t>
      </w:r>
      <w:r>
        <w:t xml:space="preserve">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r>
      <w:r>
        <w:rPr/>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xml:space="preserve">. Nihoyat, 2026-yil martida Bazel III ning yakuniy standartlarini joriy etish bo‘yicha qayta ishlangan takliflar e’lon qilindi</w:t>
      </w:r>
      <w:r>
        <w:rPr>
          <w:color w:val="0070C0"/>
        </w:rPr>
        <w:t xml:space="preserve">. Bu taklif</w:t>
      </w:r>
      <w:r>
        <w:t xml:space="preserve">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 xml:space="preserve">Yevropa Ittifoqida Bazel III ning yakuniy standartlarini joriy etish ham so‘nggi yillarda nihoyasiga yetmoqda. 2025-yil 1-yanvardan kapital talablari bo‘yicha yangi reglament (CRR3) amalga kirdi</w:t>
      </w:r>
      <w:r>
        <w:rPr>
          <w:color w:val="0070C0"/>
        </w:rPr>
        <w:t xml:space="preserve">. U</w:t>
      </w:r>
      <w:r>
        <w:t xml:space="preserve">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w:t>
      </w:r>
      <w:r>
        <w:rPr>
          <w:color w:val="0070C0"/>
        </w:rPr>
        <w:t xml:space="preserve">. Bundan tashqari,</w:t>
      </w:r>
      <w:r>
        <w:t xml:space="preserve">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w:t>
      </w:r>
      <w:r>
        <w:rPr>
          <w:color w:val="0070C0"/>
        </w:rPr>
        <w:t xml:space="preserve">. Biroq</w:t>
      </w:r>
      <w:r>
        <w:rPr/>
        <w:t xml:space="preserve">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w:t>
      </w:r>
      <w:r>
        <w:rPr>
          <w:color w:val="0070C0"/>
        </w:rPr>
        <w:t xml:space="preserve">. U</w:t>
      </w:r>
      <w:r>
        <w:t xml:space="preserve">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rPr>
          <w:color w:val="0070C0"/>
        </w:rPr>
        <w:t xml:space="preserve">. I</w:t>
      </w:r>
      <w:r>
        <w:t xml:space="preserve">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w:t>
      </w:r>
      <w:r>
        <w:rPr>
          <w:color w:val="0070C0"/>
        </w:rPr>
        <w:t xml:space="preserve">. Ikkala toifa qo‘shilganda es</w:t>
      </w:r>
      <w:r>
        <w:rPr/>
        <w:t xml:space="preserve">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xml:space="preserve">. 2023-yildan boshlab tizimli ahamiyatga molik banklar har yili aniqlanadi</w:t>
      </w:r>
      <w:r>
        <w:rPr>
          <w:color w:val="0070C0"/>
        </w:rPr>
        <w:t xml:space="preserve">. Xususan,</w:t>
      </w:r>
      <w:r>
        <w:t xml:space="preserve">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w:t>
      </w:r>
      <w:r>
        <w:rPr>
          <w:color w:val="0070C0"/>
        </w:rPr>
        <w:t xml:space="preserve">. B</w:t>
      </w:r>
      <w:r>
        <w:t xml:space="preserve">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w:t>
      </w:r>
      <w:r>
        <w:rPr>
          <w:color w:val="0070C0"/>
        </w:rPr>
        <w:t xml:space="preserve">. Shu sababli</w:t>
      </w:r>
      <w:r>
        <w:t xml:space="preserve">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w:t>
      </w:r>
      <w:r>
        <w:rPr>
          <w:color w:val="0070C0"/>
        </w:rPr>
        <w:t xml:space="preserve"> bilan bog‘liq. Xususan,</w:t>
      </w:r>
      <w:r>
        <w:rPr/>
        <w:t xml:space="preserve"> bankning xususiy kapitali 2022-yilda 2,3 trln so‘mdan 3,6 trln so‘mga oshgan, holbuki shu yili bank atigi 21,3 mlrd so‘m sof foyda olgan</w:t>
      </w:r>
      <w:r>
        <w:rPr>
          <w:color w:val="0070C0"/>
        </w:rPr>
        <w:t xml:space="preserve">. Xuddi shu holat 2025-yilda ham kuzatilgan:</w:t>
      </w:r>
      <w:r>
        <w:rPr/>
        <w:t xml:space="preserve">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w:t>
      </w:r>
      <w:r>
        <w:rPr>
          <w:color w:val="0070C0"/>
        </w:rPr>
        <w:t xml:space="preserve">. Unda</w:t>
      </w:r>
      <w:r>
        <w:rPr/>
        <w:t xml:space="preserve">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w:t>
      </w:r>
      <w:r>
        <w:rPr>
          <w:color w:val="0070C0"/>
        </w:rPr>
        <w:t xml:space="preserve">, asosiy kapital monandligi esa</w:t>
      </w:r>
      <w:r>
        <w:rPr/>
        <w:t xml:space="preserve">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w:t>
      </w:r>
      <w:r>
        <w:rPr>
          <w:color w:val="0070C0"/>
        </w:rPr>
        <w:t xml:space="preserve">. Ayniqsa,</w:t>
      </w:r>
      <w:r>
        <w:rPr/>
        <w:t xml:space="preserve">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w:t>
      </w:r>
      <w:r>
        <w:rPr>
          <w:color w:val="0070C0"/>
        </w:rPr>
        <w:t xml:space="preserve">, chunki</w:t>
      </w:r>
      <w:r>
        <w:t xml:space="preserve">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w:t>
      </w:r>
      <w:r>
        <w:rPr>
          <w:color w:val="0070C0"/>
        </w:rPr>
        <w:t xml:space="preserve">. Bunday davrlar</w:t>
      </w:r>
      <w:r>
        <w:rPr>
          <w:color w:val="FF0000"/>
        </w:rPr>
        <w:t xml:space="preserve">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color w:val="FF0000"/>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7"/>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w:t>
      </w:r>
      <w:r>
        <w:rPr>
          <w:color w:val="0070C0"/>
        </w:rPr>
        <w:t xml:space="preserve">. Uning yetakchiligi esa</w:t>
      </w:r>
      <w:r>
        <w:rPr/>
        <w:t xml:space="preserve">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w:t>
      </w:r>
      <w:r>
        <w:rPr>
          <w:color w:val="FF0000"/>
        </w:rPr>
        <w:t xml:space="preserve">Ular 3.1-paragrafda 1–4 ballik shkalani teng to‘rt oraliqqa bo‘lish yo‘li bilan oldindan belgilangan edi.</w:t>
      </w:r>
      <w:r>
        <w:t xml:space="preserve"> Ularni empirik tekshirish uchun 25 ta bank panelida</w:t>
      </w:r>
      <w:r>
        <w:rPr>
          <w:color w:val="FF0000"/>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w:t>
      </w:r>
      <w:r>
        <w:rPr>
          <w:color w:val="FF0000"/>
          <w:sz w:val="24"/>
        </w:rPr>
        <w:t xml:space="preserve"> (MBII-8)</w:t>
      </w:r>
      <w:r>
        <w:rPr>
          <w:color w:val="FF0000"/>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r>
        <w:rPr>
          <w:color w:val="FF0000"/>
        </w:rPr>
        <w:t xml:space="preserve"> Sinflar chegaralari MBII-13 va MBII-8 uchun bir xil bo‘lib, ular MBII-8 bo‘yicha tekshirildi, chunki 25 ta bank panelida kuzatuvlar soni yetarli. MBII-13 bo‘yicha beshta bankning 2021–2024-yillardagi 20 ta kuzatuvida ham natija shu yo‘nalishda: keyingi yilda muammo hodisasi I sinfdagi 2 ta kuzatuvda kuzatilmagan, II sinfdagi 12 ta kuzatuvning 2 tasida (17 foiz), III sinfdagi 6 ta kuzatuvning 2 tasida (33 foiz) yuz bergan. Masalan, 2023-yilda III sinfda bo‘lgan “Mikrokreditbank” va “Biznesni rivojlantirish banki” ATBlarida 2024-yilda yirik zarar qayd etilgan. Kuzatuvlar soni kamligi sababli bu natija statistik dalil emas, balki MBII-8 bo‘yicha olingan xulosani tasdiqlovchi qo‘shimcha tekshiruv hisoblanadi.</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70AD47"/>
                <w:sz w:val="20"/>
              </w:rPr>
              <w:t xml:space="preserve">━━ </w:t>
            </w:r>
            <w:r>
              <w:rPr>
                <w:rFonts w:ascii="Times New Roman" w:hAnsi="Times New Roman" w:eastAsia="Times New Roman" w:cs="Times New Roman"/>
                <w:b w:val="0"/>
                <w:color w:val="FF0000"/>
                <w:sz w:val="22"/>
              </w:rPr>
              <w:t>“Xalq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2,96</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3,38</w:t>
            </w:r>
          </w:p>
        </w:tc>
      </w:tr>
      <w:tr>
        <w:tc>
          <w:tcPr>
            <w:tcW w:type="dxa" w:w="3685"/>
          </w:tcPr>
          <w:p>
            <w:pPr>
              <w:spacing w:before="0" w:after="0" w:line="240" w:lineRule="auto"/>
              <w:ind w:firstLine="0"/>
              <w:jc w:val="left"/>
            </w:pPr>
            <w:r>
              <w:rPr>
                <w:rFonts w:ascii="Times New Roman" w:hAnsi="Times New Roman" w:eastAsia="Times New Roman" w:cs="Times New Roman"/>
                <w:b/>
                <w:color w:val="FFC000"/>
                <w:sz w:val="20"/>
              </w:rPr>
              <w:t xml:space="preserve">━━ </w:t>
            </w:r>
            <w:r>
              <w:rPr>
                <w:rFonts w:ascii="Times New Roman" w:hAnsi="Times New Roman" w:eastAsia="Times New Roman" w:cs="Times New Roman"/>
                <w:b w:val="0"/>
                <w:color w:val="FF0000"/>
                <w:sz w:val="22"/>
              </w:rPr>
              <w:t>“Biznesni rivojlantirish banki”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2,03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3,23</w:t>
            </w:r>
          </w:p>
        </w:tc>
      </w:tr>
      <w:tr>
        <w:tc>
          <w:tcPr>
            <w:tcW w:type="dxa" w:w="3685"/>
          </w:tcPr>
          <w:p>
            <w:pPr>
              <w:spacing w:before="0" w:after="0" w:line="240" w:lineRule="auto"/>
              <w:ind w:firstLine="0"/>
              <w:jc w:val="left"/>
            </w:pPr>
            <w:r>
              <w:rPr>
                <w:rFonts w:ascii="Times New Roman" w:hAnsi="Times New Roman" w:eastAsia="Times New Roman" w:cs="Times New Roman"/>
                <w:b/>
                <w:color w:val="7030A0"/>
                <w:sz w:val="20"/>
              </w:rPr>
              <w:t xml:space="preserve">━━ </w:t>
            </w:r>
            <w:r>
              <w:rPr>
                <w:rFonts w:ascii="Times New Roman" w:hAnsi="Times New Roman" w:eastAsia="Times New Roman" w:cs="Times New Roman"/>
                <w:b w:val="0"/>
                <w:color w:val="FF0000"/>
                <w:sz w:val="22"/>
              </w:rPr>
              <w:t>“Ipoteka-bank”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3,11</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00A3A3"/>
                <w:sz w:val="20"/>
              </w:rPr>
              <w:t xml:space="preserve">╍╍ </w:t>
            </w:r>
            <w:r>
              <w:rPr>
                <w:rFonts w:ascii="Times New Roman" w:hAnsi="Times New Roman" w:eastAsia="Times New Roman" w:cs="Times New Roman"/>
                <w:b w:val="0"/>
                <w:color w:val="FF0000"/>
                <w:sz w:val="22"/>
              </w:rPr>
              <w:t>“Aloqabank” (tanlanmadan tashqari)</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line="240" w:lineRule="auto"/>
        <w:jc w:val="both"/>
      </w:pPr>
      <w:r>
        <w:rPr>
          <w:color w:val="FF0000"/>
          <w:sz w:val="24"/>
        </w:rPr>
        <w:t xml:space="preserve">Izoh: qizil uzuq chiziqlar – I va II sinflar (3,25 ball) hamda II va III sinflar (2,50 ball) chegaralari.</w:t>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w:t>
      </w:r>
      <w:r>
        <w:rPr>
          <w:color w:val="0070C0"/>
        </w:rPr>
        <w:t xml:space="preserve">. Jumladan,</w:t>
      </w:r>
      <w:r>
        <w:t xml:space="preserve">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 xml:space="preserve">Jadvalda keltirilgan gipotezalarning har biri xalqaro tadqiqotlarda tasdiqlangan mexanizmga tayanadi. Birinchi gipoteza davlat banklarining siyosiy maqsadlarda kreditlash va yumshoq byudjet cheklovi sharoitida faoliyat yuritishi bilan izohlanadi</w:t>
      </w:r>
      <w:r>
        <w:rPr>
          <w:color w:val="0070C0"/>
        </w:rPr>
        <w:t xml:space="preserve">. Xususan,</w:t>
      </w:r>
      <w:r>
        <w:t xml:space="preserve">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w:t>
      </w:r>
      <w:r>
        <w:rPr>
          <w:color w:val="0070C0"/>
        </w:rPr>
        <w:t xml:space="preserve">. Jumladan,</w:t>
      </w:r>
      <w:r>
        <w:t xml:space="preserve">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color w:val="FF0000"/>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r>
      <w:r>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w:t>
      </w:r>
      <w:r>
        <w:rPr>
          <w:color w:val="0070C0"/>
        </w:rPr>
        <w:t xml:space="preserve">.</w:t>
      </w:r>
      <w:r>
        <w:t xml:space="preserve">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w:t>
      </w:r>
      <w:r>
        <w:rPr>
          <w:color w:val="0070C0"/>
        </w:rPr>
        <w:t xml:space="preserve">. O‘sha paytda</w:t>
      </w:r>
      <w:r>
        <w:t xml:space="preserve">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w:t>
      </w:r>
      <w:r>
        <w:rPr>
          <w:color w:val="0070C0"/>
        </w:rPr>
        <w:t xml:space="preserve">. To‘liq,</w:t>
      </w:r>
      <w:r>
        <w:rPr/>
        <w:t xml:space="preserve">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“Xalq banki”</c:v>
                </c:pt>
              </c:strCache>
            </c:strRef>
          </c:tx>
          <c:spPr>
            <a:ln w="28575">
              <a:solidFill>
                <a:srgbClr val="70AD47"/>
              </a:solidFill>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2.66</c:v>
                </c:pt>
                <c:pt idx="1">
                  <c:v>2.71</c:v>
                </c:pt>
                <c:pt idx="2">
                  <c:v>2.96</c:v>
                </c:pt>
                <c:pt idx="3">
                  <c:v>3.2</c:v>
                </c:pt>
                <c:pt idx="4">
                  <c:v>3.38</c:v>
                </c:pt>
              </c:numCache>
            </c:numRef>
          </c:val>
          <c:smooth val="0"/>
        </c:ser>
        <c:ser>
          <c:idx val="1"/>
          <c:order val="1"/>
          <c:tx>
            <c:strRef>
              <c:f>Sheet1!$C$1</c:f>
              <c:strCache>
                <c:ptCount val="1"/>
                <c:pt idx="0">
                  <c:v>“Biznesni rivojlantirish banki”</c:v>
                </c:pt>
              </c:strCache>
            </c:strRef>
          </c:tx>
          <c:spPr>
            <a:ln w="28575">
              <a:solidFill>
                <a:srgbClr val="FFC000"/>
              </a:solidFill>
            </a:ln>
          </c:spPr>
          <c:marker>
            <c:symbol val="circle"/>
            <c:size val="5"/>
            <c:spPr>
              <a:solidFill>
                <a:srgbClr val="FFC000"/>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2.51</c:v>
                </c:pt>
                <c:pt idx="1">
                  <c:v>2.25</c:v>
                </c:pt>
                <c:pt idx="2">
                  <c:v>2.03</c:v>
                </c:pt>
                <c:pt idx="3">
                  <c:v>2.58</c:v>
                </c:pt>
                <c:pt idx="4">
                  <c:v>3.23</c:v>
                </c:pt>
              </c:numCache>
            </c:numRef>
          </c:val>
          <c:smooth val="0"/>
        </c:ser>
        <c:ser>
          <c:idx val="2"/>
          <c:order val="2"/>
          <c:tx>
            <c:strRef>
              <c:f>Sheet1!$D$1</c:f>
              <c:strCache>
                <c:ptCount val="1"/>
                <c:pt idx="0">
                  <c:v>“Ipoteka-bank”</c:v>
                </c:pt>
              </c:strCache>
            </c:strRef>
          </c:tx>
          <c:spPr>
            <a:ln w="28575">
              <a:solidFill>
                <a:srgbClr val="7030A0"/>
              </a:solidFill>
            </a:ln>
          </c:spPr>
          <c:marker>
            <c:symbol val="circle"/>
            <c:size val="5"/>
            <c:spPr>
              <a:solidFill>
                <a:srgbClr val="7030A0"/>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3.32</c:v>
                </c:pt>
                <c:pt idx="1">
                  <c:v>3.37</c:v>
                </c:pt>
                <c:pt idx="2">
                  <c:v>2.69</c:v>
                </c:pt>
                <c:pt idx="3">
                  <c:v>3.13</c:v>
                </c:pt>
                <c:pt idx="4">
                  <c:v>3.11</c:v>
                </c:pt>
              </c:numCache>
            </c:numRef>
          </c:val>
          <c:smooth val="0"/>
        </c:ser>
        <c:ser>
          <c:idx val="3"/>
          <c:order val="3"/>
          <c:tx>
            <c:strRef>
              <c:f>Sheet1!$E$1</c:f>
              <c:strCache>
                <c:ptCount val="1"/>
                <c:pt idx="0">
                  <c:v>“O‘zsanoatqurilishbank”</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2.92</c:v>
                </c:pt>
                <c:pt idx="1">
                  <c:v>2.81</c:v>
                </c:pt>
                <c:pt idx="2">
                  <c:v>2.91</c:v>
                </c:pt>
                <c:pt idx="3">
                  <c:v>2.72</c:v>
                </c:pt>
                <c:pt idx="4">
                  <c:v>2.81</c:v>
                </c:pt>
              </c:numCache>
            </c:numRef>
          </c:val>
          <c:smooth val="0"/>
        </c:ser>
        <c:ser>
          <c:idx val="4"/>
          <c:order val="4"/>
          <c:tx>
            <c:strRef>
              <c:f>Sheet1!$F$1</c:f>
              <c:strCache>
                <c:ptCount val="1"/>
                <c:pt idx="0">
                  <c:v>“Mikrokreditbank”</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2.18</c:v>
                </c:pt>
                <c:pt idx="1">
                  <c:v>2.31</c:v>
                </c:pt>
                <c:pt idx="2">
                  <c:v>2.22</c:v>
                </c:pt>
                <c:pt idx="3">
                  <c:v>2.25</c:v>
                </c:pt>
                <c:pt idx="4">
                  <c:v>2.47</c:v>
                </c:pt>
              </c:numCache>
            </c:numRef>
          </c:val>
          <c:smooth val="0"/>
        </c:ser>
        <c:ser>
          <c:idx val="5"/>
          <c:order val="5"/>
          <c:tx>
            <c:strRef>
              <c:f>Sheet1!$G$1</c:f>
              <c:strCache>
                <c:ptCount val="1"/>
                <c:pt idx="0">
                  <c:v>“Aloqabank” (tanlanmadan tashqari)</c:v>
                </c:pt>
              </c:strCache>
            </c:strRef>
          </c:tx>
          <c:spPr>
            <a:ln w="28575">
              <a:solidFill>
                <a:srgbClr val="00A3A3"/>
              </a:solidFill>
              <a:prstDash val="dash"/>
            </a:ln>
          </c:spPr>
          <c:marker>
            <c:symbol val="circle"/>
            <c:size val="5"/>
            <c:spPr>
              <a:solidFill>
                <a:srgbClr val="00A3A3"/>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layout>
                <c:manualLayout>
                  <c:x val="0"/>
                  <c:y val="-0.1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layout>
                <c:manualLayout>
                  <c:x val="-0.06"/>
                  <c:y val="0"/>
                </c:manualLayout>
              </c:layout>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