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3.1.1-jadval</w:t>
      </w:r>
    </w:p>
    <w:p>
      <w:pPr>
        <w:jc w:val="center"/>
      </w:pPr>
      <w:r>
        <w:rPr>
          <w:b/>
        </w:rPr>
        <w:t>Amaldagi baholash tizimi muammolari va ularni hal etuvchi metodika elementlari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2"/>
              </w:rPr>
              <w:t>Aniqlangan muammo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2"/>
              </w:rPr>
              <w:t>Dalil (II bob)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2"/>
              </w:rPr>
              <w:t>Metodika elementi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2"/>
              </w:rPr>
              <w:t>Ko‘rsatkichlar turli yo‘nalishda signal beradi, yagona baho yo‘q</w:t>
            </w:r>
          </w:p>
        </w:tc>
        <w:tc>
          <w:tcPr>
            <w:tcW w:type="dxa" w:w="3118"/>
          </w:tcPr>
          <w:p>
            <w:r>
              <w:rPr>
                <w:strike/>
                <w:color w:val="7F7F7F"/>
                <w:sz w:val="22"/>
              </w:rPr>
              <w:t>2.3-§: yashirin kredit riski koeffitsiyenti 1,65–3,30</w:t>
            </w:r>
          </w:p>
          <w:p>
            <w:r>
              <w:rPr>
                <w:color w:val="FF0000"/>
                <w:sz w:val="22"/>
              </w:rPr>
              <w:t>2.3-§: yashirin kredit riski koeffitsiyenti 1,65–4,90</w:t>
            </w:r>
          </w:p>
        </w:tc>
        <w:tc>
          <w:tcPr>
            <w:tcW w:type="dxa" w:w="3402"/>
          </w:tcPr>
          <w:p>
            <w:r>
              <w:rPr>
                <w:b w:val="0"/>
                <w:sz w:val="22"/>
              </w:rPr>
              <w:t>Bloklar baholarini vaznlab birlashtiruvchi integral indeks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2"/>
              </w:rPr>
              <w:t>Milliy muammoli kreditlar ko‘rsatkichi kredit riskini kamsitadi</w:t>
            </w:r>
          </w:p>
        </w:tc>
        <w:tc>
          <w:tcPr>
            <w:tcW w:type="dxa" w:w="3118"/>
          </w:tcPr>
          <w:p>
            <w:r>
              <w:rPr>
                <w:b w:val="0"/>
                <w:sz w:val="22"/>
              </w:rPr>
              <w:t>2.3-§: yashirin kredit riski koeffitsiyenti 1,65–3,30</w:t>
            </w:r>
          </w:p>
        </w:tc>
        <w:tc>
          <w:tcPr>
            <w:tcW w:type="dxa" w:w="3402"/>
          </w:tcPr>
          <w:p>
            <w:r>
              <w:rPr>
                <w:b w:val="0"/>
                <w:sz w:val="22"/>
              </w:rPr>
              <w:t>Aktivlar sifati MHXS 9 bosqichlari bo‘yicha baholanadi, milliy ma’lumotlar tuzatiladi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2"/>
              </w:rPr>
              <w:t>Kapital MHXS bo‘yicha kam, tafovut ortib bormoqda</w:t>
            </w:r>
          </w:p>
        </w:tc>
        <w:tc>
          <w:tcPr>
            <w:tcW w:type="dxa" w:w="3118"/>
          </w:tcPr>
          <w:p>
            <w:r>
              <w:rPr>
                <w:b w:val="0"/>
                <w:sz w:val="22"/>
              </w:rPr>
              <w:t>2.3-§: CET1 10,21% o‘rniga 8,87%</w:t>
            </w:r>
          </w:p>
        </w:tc>
        <w:tc>
          <w:tcPr>
            <w:tcW w:type="dxa" w:w="3402"/>
          </w:tcPr>
          <w:p>
            <w:r>
              <w:rPr>
                <w:b w:val="0"/>
                <w:sz w:val="22"/>
              </w:rPr>
              <w:t>Kapital bloki MHXS asosida qayta hisoblangan koeffitsiyentlarni qamraydi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2"/>
              </w:rPr>
              <w:t>Likvidlik me’yorlari Bazel III dan soddalashtirilgan va ochiq e’lon qilinmaydi</w:t>
            </w:r>
          </w:p>
        </w:tc>
        <w:tc>
          <w:tcPr>
            <w:tcW w:type="dxa" w:w="3118"/>
          </w:tcPr>
          <w:p>
            <w:r>
              <w:rPr>
                <w:strike/>
                <w:color w:val="7F7F7F"/>
                <w:sz w:val="22"/>
              </w:rPr>
              <w:t>2.1-§: normativlar faqat bajarilgan yoki bajarilmagani bo‘yicha nazorat qilinadi</w:t>
            </w:r>
          </w:p>
          <w:p>
            <w:r>
              <w:rPr>
                <w:color w:val="FF0000"/>
                <w:sz w:val="22"/>
              </w:rPr>
              <w:t>2.1-§: erta ogohlantirish va tezkor tuzatuvchi choralar tizimi mavjud emas, chora normativ buzilgandan keyingina ko‘riladi</w:t>
            </w:r>
          </w:p>
        </w:tc>
        <w:tc>
          <w:tcPr>
            <w:tcW w:type="dxa" w:w="3402"/>
          </w:tcPr>
          <w:p>
            <w:r>
              <w:rPr>
                <w:b w:val="0"/>
                <w:sz w:val="22"/>
              </w:rPr>
              <w:t>Likvidlik bloki barcha banklar uchun hisoblanadigan XVJ ko‘rsatkichlari bo‘yicha baholanadi, LCR va NSFR Bazel III bo‘yicha tekshiruv uchun qayta hisoblanadi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2"/>
              </w:rPr>
              <w:t>Chegaralar faqat “bajarildi – bajarilmadi” shaklida</w:t>
            </w:r>
          </w:p>
        </w:tc>
        <w:tc>
          <w:tcPr>
            <w:tcW w:type="dxa" w:w="3118"/>
          </w:tcPr>
          <w:p>
            <w:r>
              <w:rPr>
                <w:b w:val="0"/>
                <w:sz w:val="22"/>
              </w:rPr>
              <w:t>2.1-§: normativlar faqat bajarilgan yoki bajarilmagani bo‘yicha nazorat qilinadi</w:t>
            </w:r>
          </w:p>
        </w:tc>
        <w:tc>
          <w:tcPr>
            <w:tcW w:type="dxa" w:w="3402"/>
          </w:tcPr>
          <w:p>
            <w:r>
              <w:rPr>
                <w:b w:val="0"/>
                <w:sz w:val="22"/>
              </w:rPr>
              <w:t>Har bir ko‘rsatkich uchun to‘rt darajali chegaralar va uzluksiz ball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2"/>
              </w:rPr>
              <w:t>Dollarlashuv yuqori, valyuta riski baholanmaydi</w:t>
            </w:r>
          </w:p>
        </w:tc>
        <w:tc>
          <w:tcPr>
            <w:tcW w:type="dxa" w:w="3118"/>
          </w:tcPr>
          <w:p>
            <w:r>
              <w:rPr>
                <w:b w:val="0"/>
                <w:sz w:val="22"/>
              </w:rPr>
              <w:t>2.2-§: xorijiy valyutadagi kreditlar ulushi 38–49%</w:t>
            </w:r>
          </w:p>
        </w:tc>
        <w:tc>
          <w:tcPr>
            <w:tcW w:type="dxa" w:w="3402"/>
          </w:tcPr>
          <w:p>
            <w:r>
              <w:rPr>
                <w:b w:val="0"/>
                <w:sz w:val="22"/>
              </w:rPr>
              <w:t>Valyuta riskiga sezgirlik bloki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2"/>
              </w:rPr>
              <w:t>Davlat banklarida kapital davlat ko‘magiga bog‘liq</w:t>
            </w:r>
          </w:p>
        </w:tc>
        <w:tc>
          <w:tcPr>
            <w:tcW w:type="dxa" w:w="3118"/>
          </w:tcPr>
          <w:p>
            <w:r>
              <w:rPr>
                <w:b w:val="0"/>
                <w:sz w:val="22"/>
              </w:rPr>
              <w:t>2.2-§: “Mikrokreditbank” ATB qayta kapitallashtirilgan</w:t>
            </w:r>
          </w:p>
        </w:tc>
        <w:tc>
          <w:tcPr>
            <w:tcW w:type="dxa" w:w="3402"/>
          </w:tcPr>
          <w:p>
            <w:r>
              <w:rPr>
                <w:b w:val="0"/>
                <w:sz w:val="22"/>
              </w:rPr>
              <w:t>Indeksni davlat ko‘magisiz hisoblash imkoniyati (3.2-§)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