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96</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114</w:t>
      </w:r>
    </w:p>
    <w:p w:rsidR="005603EC" w:rsidRDefault="00AB61AC">
      <w:pPr>
        <w:tabs>
          <w:tab w:val="right" w:leader="dot" w:pos="9354"/>
        </w:tabs>
        <w:spacing w:after="80" w:line="240" w:lineRule="auto"/>
        <w:ind w:left="454"/>
      </w:pPr>
      <w:r>
        <w:rPr>
          <w:sz w:val="26"/>
        </w:rPr>
        <w:t>II bob bo‘yicha xulosalar</w:t>
      </w:r>
      <w:r>
        <w:rPr>
          <w:sz w:val="26"/>
        </w:rPr>
        <w:tab/>
        <w:t>138</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141</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141</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pPr>
      <w:r>
        <w:rPr>
          <w:sz w:val="26"/>
        </w:rPr>
        <w:t>III bob bo‘yicha xulosalar</w:t>
      </w:r>
      <w:r>
        <w:rPr>
          <w:sz w:val="26"/>
        </w:rPr>
        <w:tab/>
        <w:t>188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207</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219</w:t>
      </w:r>
    </w:p>
    <w:p w:rsidR="005603EC" w:rsidRDefault="00AB61AC">
      <w:pPr>
        <w:tabs>
          <w:tab w:val="right" w:leader="dot" w:pos="9354"/>
        </w:tabs>
        <w:spacing w:after="80" w:line="240" w:lineRule="auto"/>
        <w:ind w:left="454"/>
      </w:pPr>
      <w:r>
        <w:rPr>
          <w:sz w:val="26"/>
        </w:rPr>
        <w:t>IV bob bo‘yicha xulosalar</w:t>
      </w:r>
      <w:r>
        <w:rPr>
          <w:sz w:val="26"/>
        </w:rPr>
        <w:tab/>
        <w:t>232</w:t>
      </w:r>
    </w:p>
    <w:p w:rsidR="005603EC" w:rsidRDefault="00AB61AC">
      <w:pPr>
        <w:tabs>
          <w:tab w:val="right" w:leader="dot" w:pos="9354"/>
        </w:tabs>
        <w:spacing w:after="80" w:line="240" w:lineRule="auto"/>
      </w:pPr>
      <w:r>
        <w:rPr>
          <w:b/>
          <w:sz w:val="26"/>
        </w:rPr>
        <w:t>XULOSA</w:t>
      </w:r>
      <w:r>
        <w:rPr>
          <w:b/>
          <w:sz w:val="26"/>
        </w:rPr>
        <w:tab/>
        <w:t>235</w:t>
      </w:r>
    </w:p>
    <w:p w:rsidR="005603EC" w:rsidRDefault="00AB61AC">
      <w:pPr>
        <w:tabs>
          <w:tab w:val="right" w:leader="dot" w:pos="9354"/>
        </w:tabs>
        <w:spacing w:after="80" w:line="240" w:lineRule="auto"/>
      </w:pPr>
      <w:r>
        <w:rPr>
          <w:b/>
          <w:sz w:val="26"/>
        </w:rPr>
        <w:t>FOYDALANILGAN ADABIYOTLAR RO‘YXATI</w:t>
      </w:r>
      <w:r>
        <w:rPr>
          <w:b/>
          <w:sz w:val="26"/>
        </w:rPr>
        <w:tab/>
        <w:t>240</w:t>
      </w:r>
    </w:p>
    <w:p w:rsidR="005603EC" w:rsidRDefault="00AB61AC">
      <w:pPr>
        <w:tabs>
          <w:tab w:val="right" w:leader="dot" w:pos="9354"/>
        </w:tabs>
        <w:spacing w:after="80" w:line="240" w:lineRule="auto"/>
      </w:pPr>
      <w:r>
        <w:rPr>
          <w:b/>
          <w:sz w:val="26"/>
        </w:rPr>
        <w:t>ILOVALAR</w:t>
      </w:r>
      <w:r>
        <w:rPr>
          <w:b/>
          <w:sz w:val="26"/>
        </w:rPr>
        <w:tab/>
        <w:t>260</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w:t>
      </w:r>
      <w:r>
        <w:rPr>
          <w:color w:val="FF0000"/>
        </w:rPr>
        <w:t xml:space="preserve">236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color w:val="FF0000"/>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color w:val="FF0000"/>
        </w:rPr>
        <w:t xml:space="preserve">(1.2.5-jadval)</w:t>
      </w:r>
      <w:r>
        <w:t xml:space="preserve">.</w:t>
      </w:r>
    </w:p>
    <w:p w:rsidR="005603EC" w:rsidRDefault="00AB61AC">
      <w:pPr>
        <w:pStyle w:val="af"/>
        <w:keepNext/>
        <w:spacing w:before="120" w:after="0" w:line="360" w:lineRule="auto"/>
        <w:jc w:val="right"/>
      </w:pPr>
      <w:r>
        <w:rPr>
          <w:i/>
          <w:color w:val="FF0000"/>
        </w:rPr>
        <w:t>1.2.5-jadval</w:t>
      </w:r>
    </w:p>
    <w:p w:rsidR="005603EC" w:rsidRDefault="00AB61AC">
      <w:pPr>
        <w:pStyle w:val="af"/>
        <w:keepNext/>
        <w:spacing w:line="240" w:lineRule="auto"/>
        <w:jc w:val="center"/>
      </w:pPr>
      <w:r>
        <w:rPr>
          <w:b/>
          <w:color w:val="FF0000"/>
        </w:rPr>
        <w:t xml:space="preserve">Xalqaro standartlarning moliyaviy barqarorlikni integral baholash bloklari bilan bog‘liqligi</w:t>
      </w:r>
      <w:r>
        <w:rPr>
          <w:rStyle w:val="aff8"/>
          <w:color w:val="FF0000"/>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color w:val="FF0000"/>
                <w:sz w:val="22"/>
              </w:rPr>
              <w:t>Standart / blok</w:t>
            </w:r>
          </w:p>
        </w:tc>
        <w:tc>
          <w:tcPr>
            <w:tcW w:type="dxa" w:w="1531"/>
            <w:vAlign w:val="center"/>
            <w:shd w:val="clear" w:color="auto" w:fill="DEEBF7"/>
          </w:tcPr>
          <w:p>
            <w:pPr>
              <w:spacing w:line="240" w:lineRule="auto" w:before="0" w:after="0"/>
              <w:ind w:firstLine="0"/>
              <w:jc w:val="center"/>
            </w:pPr>
            <w:r>
              <w:rPr>
                <w:b/>
                <w:color w:val="FF0000"/>
                <w:sz w:val="21"/>
              </w:rPr>
              <w:t>Kapital yetarliligi</w:t>
            </w:r>
          </w:p>
        </w:tc>
        <w:tc>
          <w:tcPr>
            <w:tcW w:type="dxa" w:w="1531"/>
            <w:vAlign w:val="center"/>
            <w:shd w:val="clear" w:color="auto" w:fill="DEEBF7"/>
          </w:tcPr>
          <w:p>
            <w:pPr>
              <w:spacing w:line="240" w:lineRule="auto" w:before="0" w:after="0"/>
              <w:ind w:firstLine="0"/>
              <w:jc w:val="center"/>
            </w:pPr>
            <w:r>
              <w:rPr>
                <w:b/>
                <w:color w:val="FF0000"/>
                <w:sz w:val="21"/>
              </w:rPr>
              <w:t>Aktivlar sifati</w:t>
            </w:r>
          </w:p>
        </w:tc>
        <w:tc>
          <w:tcPr>
            <w:tcW w:type="dxa" w:w="1531"/>
            <w:vAlign w:val="center"/>
            <w:shd w:val="clear" w:color="auto" w:fill="DEEBF7"/>
          </w:tcPr>
          <w:p>
            <w:pPr>
              <w:spacing w:line="240" w:lineRule="auto" w:before="0" w:after="0"/>
              <w:ind w:firstLine="0"/>
              <w:jc w:val="center"/>
            </w:pPr>
            <w:r>
              <w:rPr>
                <w:b/>
                <w:color w:val="FF0000"/>
                <w:sz w:val="21"/>
              </w:rPr>
              <w:t>Daromadlilik</w:t>
            </w:r>
          </w:p>
        </w:tc>
        <w:tc>
          <w:tcPr>
            <w:tcW w:type="dxa" w:w="1531"/>
            <w:vAlign w:val="center"/>
            <w:shd w:val="clear" w:color="auto" w:fill="DEEBF7"/>
          </w:tcPr>
          <w:p>
            <w:pPr>
              <w:spacing w:line="240" w:lineRule="auto" w:before="0" w:after="0"/>
              <w:ind w:firstLine="0"/>
              <w:jc w:val="center"/>
            </w:pPr>
            <w:r>
              <w:rPr>
                <w:b/>
                <w:color w:val="FF0000"/>
                <w:sz w:val="21"/>
              </w:rPr>
              <w:t>Likvidlik</w:t>
            </w:r>
          </w:p>
        </w:tc>
        <w:tc>
          <w:tcPr>
            <w:tcW w:type="dxa" w:w="1531"/>
            <w:vAlign w:val="center"/>
            <w:shd w:val="clear" w:color="auto" w:fill="DEEBF7"/>
          </w:tcPr>
          <w:p>
            <w:pPr>
              <w:spacing w:line="240" w:lineRule="auto" w:before="0" w:after="0"/>
              <w:ind w:firstLine="0"/>
              <w:jc w:val="center"/>
            </w:pPr>
            <w:r>
              <w:rPr>
                <w:b/>
                <w:color w:val="FF0000"/>
                <w:sz w:val="21"/>
              </w:rPr>
              <w:t>Bozor (valyuta) riskiga sezgirlik</w:t>
            </w:r>
          </w:p>
        </w:tc>
      </w:tr>
      <w:tr>
        <w:tc>
          <w:tcPr>
            <w:tcW w:type="dxa" w:w="1700"/>
            <w:vAlign w:val="center"/>
            <w:shd w:val="clear" w:color="auto" w:fill="F2F2F2"/>
          </w:tcPr>
          <w:p>
            <w:pPr>
              <w:spacing w:line="240" w:lineRule="auto" w:before="0" w:after="0"/>
              <w:ind w:firstLine="0"/>
              <w:jc w:val="left"/>
            </w:pPr>
            <w:r>
              <w:rPr>
                <w:b/>
                <w:color w:val="FF0000"/>
                <w:sz w:val="22"/>
              </w:rPr>
              <w:t>Bazel III</w:t>
            </w:r>
          </w:p>
        </w:tc>
        <w:tc>
          <w:tcPr>
            <w:tcW w:type="dxa" w:w="1531"/>
            <w:vAlign w:val="center"/>
          </w:tcPr>
          <w:p>
            <w:pPr>
              <w:spacing w:line="240" w:lineRule="auto" w:before="0" w:after="0"/>
              <w:ind w:firstLine="0"/>
              <w:jc w:val="center"/>
            </w:pPr>
            <w:r>
              <w:rPr>
                <w:b w:val="0"/>
                <w:color w:val="FF0000"/>
                <w:sz w:val="20"/>
              </w:rPr>
              <w:t>● CET1 ≥ 4,5%, jami ≥ 8% (+2,5% bufer), leverej ≥ 3%</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 LCR ≥ 100%, NSFR ≥ 100%</w:t>
            </w:r>
          </w:p>
        </w:tc>
        <w:tc>
          <w:tcPr>
            <w:tcW w:type="dxa" w:w="1531"/>
            <w:vAlign w:val="center"/>
          </w:tcPr>
          <w:p>
            <w:pPr>
              <w:spacing w:line="240" w:lineRule="auto" w:before="0" w:after="0"/>
              <w:ind w:firstLine="0"/>
              <w:jc w:val="center"/>
            </w:pPr>
            <w:r>
              <w:rPr>
                <w:b w:val="0"/>
                <w:color w:val="FF0000"/>
                <w:sz w:val="20"/>
              </w:rPr>
              <w:t>○ bozor riski uchun kapital talabi</w:t>
            </w:r>
          </w:p>
        </w:tc>
      </w:tr>
      <w:tr>
        <w:tc>
          <w:tcPr>
            <w:tcW w:type="dxa" w:w="1700"/>
            <w:vAlign w:val="center"/>
            <w:shd w:val="clear" w:color="auto" w:fill="F2F2F2"/>
          </w:tcPr>
          <w:p>
            <w:pPr>
              <w:spacing w:line="240" w:lineRule="auto" w:before="0" w:after="0"/>
              <w:ind w:firstLine="0"/>
              <w:jc w:val="left"/>
            </w:pPr>
            <w:r>
              <w:rPr>
                <w:b/>
                <w:color w:val="FF0000"/>
                <w:sz w:val="22"/>
              </w:rPr>
              <w:t>MHXS 9</w:t>
            </w:r>
          </w:p>
        </w:tc>
        <w:tc>
          <w:tcPr>
            <w:tcW w:type="dxa" w:w="1531"/>
            <w:vAlign w:val="center"/>
          </w:tcPr>
          <w:p>
            <w:pPr>
              <w:spacing w:line="240" w:lineRule="auto" w:before="0" w:after="0"/>
              <w:ind w:firstLine="0"/>
              <w:jc w:val="center"/>
            </w:pPr>
            <w:r>
              <w:rPr>
                <w:b w:val="0"/>
                <w:color w:val="FF0000"/>
                <w:sz w:val="20"/>
              </w:rPr>
              <w:t>○ kutilgan zarar zaxiralari orqali</w:t>
            </w:r>
          </w:p>
        </w:tc>
        <w:tc>
          <w:tcPr>
            <w:tcW w:type="dxa" w:w="1531"/>
            <w:vAlign w:val="center"/>
          </w:tcPr>
          <w:p>
            <w:pPr>
              <w:spacing w:line="240" w:lineRule="auto" w:before="0" w:after="0"/>
              <w:ind w:firstLine="0"/>
              <w:jc w:val="center"/>
            </w:pPr>
            <w:r>
              <w:rPr>
                <w:b w:val="0"/>
                <w:color w:val="FF0000"/>
                <w:sz w:val="20"/>
              </w:rPr>
              <w:t>● kutilgan kredit zararlari, 3 bosqichli tasnif</w:t>
            </w:r>
          </w:p>
        </w:tc>
        <w:tc>
          <w:tcPr>
            <w:tcW w:type="dxa" w:w="1531"/>
            <w:vAlign w:val="center"/>
          </w:tcPr>
          <w:p>
            <w:pPr>
              <w:spacing w:line="240" w:lineRule="auto" w:before="0" w:after="0"/>
              <w:ind w:firstLine="0"/>
              <w:jc w:val="center"/>
            </w:pPr>
            <w:r>
              <w:rPr>
                <w:b w:val="0"/>
                <w:color w:val="FF0000"/>
                <w:sz w:val="20"/>
              </w:rPr>
              <w:t>○ zaxira xarajatlari orqali</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w:t>
            </w:r>
          </w:p>
        </w:tc>
      </w:tr>
      <w:tr>
        <w:tc>
          <w:tcPr>
            <w:tcW w:type="dxa" w:w="1700"/>
            <w:vAlign w:val="center"/>
            <w:shd w:val="clear" w:color="auto" w:fill="F2F2F2"/>
          </w:tcPr>
          <w:p>
            <w:pPr>
              <w:spacing w:line="240" w:lineRule="auto" w:before="0" w:after="0"/>
              <w:ind w:firstLine="0"/>
              <w:jc w:val="left"/>
            </w:pPr>
            <w:r>
              <w:rPr>
                <w:b/>
                <w:color w:val="FF0000"/>
                <w:sz w:val="22"/>
              </w:rPr>
              <w:t>XVJ moliyaviy barqarorlik ko‘rsatkichlari</w:t>
            </w:r>
          </w:p>
        </w:tc>
        <w:tc>
          <w:tcPr>
            <w:tcW w:type="dxa" w:w="1531"/>
            <w:vAlign w:val="center"/>
          </w:tcPr>
          <w:p>
            <w:pPr>
              <w:spacing w:line="240" w:lineRule="auto" w:before="0" w:after="0"/>
              <w:ind w:firstLine="0"/>
              <w:jc w:val="center"/>
            </w:pPr>
            <w:r>
              <w:rPr>
                <w:b w:val="0"/>
                <w:color w:val="FF0000"/>
                <w:sz w:val="20"/>
              </w:rPr>
              <w:t>● regulyativ kapital / RWA</w:t>
            </w:r>
          </w:p>
        </w:tc>
        <w:tc>
          <w:tcPr>
            <w:tcW w:type="dxa" w:w="1531"/>
            <w:vAlign w:val="center"/>
          </w:tcPr>
          <w:p>
            <w:pPr>
              <w:spacing w:line="240" w:lineRule="auto" w:before="0" w:after="0"/>
              <w:ind w:firstLine="0"/>
              <w:jc w:val="center"/>
            </w:pPr>
            <w:r>
              <w:rPr>
                <w:b w:val="0"/>
                <w:color w:val="FF0000"/>
                <w:sz w:val="20"/>
              </w:rPr>
              <w:t>● muammoli kreditlar / jami kreditlar</w:t>
            </w:r>
          </w:p>
        </w:tc>
        <w:tc>
          <w:tcPr>
            <w:tcW w:type="dxa" w:w="1531"/>
            <w:vAlign w:val="center"/>
          </w:tcPr>
          <w:p>
            <w:pPr>
              <w:spacing w:line="240" w:lineRule="auto" w:before="0" w:after="0"/>
              <w:ind w:firstLine="0"/>
              <w:jc w:val="center"/>
            </w:pPr>
            <w:r>
              <w:rPr>
                <w:b w:val="0"/>
                <w:color w:val="FF0000"/>
                <w:sz w:val="20"/>
              </w:rPr>
              <w:t>● ROA, ROE</w:t>
            </w:r>
          </w:p>
        </w:tc>
        <w:tc>
          <w:tcPr>
            <w:tcW w:type="dxa" w:w="1531"/>
            <w:vAlign w:val="center"/>
          </w:tcPr>
          <w:p>
            <w:pPr>
              <w:spacing w:line="240" w:lineRule="auto" w:before="0" w:after="0"/>
              <w:ind w:firstLine="0"/>
              <w:jc w:val="center"/>
            </w:pPr>
            <w:r>
              <w:rPr>
                <w:b w:val="0"/>
                <w:color w:val="FF0000"/>
                <w:sz w:val="20"/>
              </w:rPr>
              <w:t>● likvid aktivlar / jami aktivlar</w:t>
            </w:r>
          </w:p>
        </w:tc>
        <w:tc>
          <w:tcPr>
            <w:tcW w:type="dxa" w:w="1531"/>
            <w:vAlign w:val="center"/>
          </w:tcPr>
          <w:p>
            <w:pPr>
              <w:spacing w:line="240" w:lineRule="auto" w:before="0" w:after="0"/>
              <w:ind w:firstLine="0"/>
              <w:jc w:val="center"/>
            </w:pPr>
            <w:r>
              <w:rPr>
                <w:b w:val="0"/>
                <w:color w:val="FF0000"/>
                <w:sz w:val="20"/>
              </w:rPr>
              <w:t>● sof ochiq valyuta pozitsiyasi / kapital</w:t>
            </w:r>
          </w:p>
        </w:tc>
      </w:tr>
      <w:tr>
        <w:tc>
          <w:tcPr>
            <w:tcW w:type="dxa" w:w="1700"/>
            <w:vAlign w:val="center"/>
            <w:shd w:val="clear" w:color="auto" w:fill="F2F2F2"/>
          </w:tcPr>
          <w:p>
            <w:pPr>
              <w:spacing w:line="240" w:lineRule="auto" w:before="0" w:after="0"/>
              <w:ind w:firstLine="0"/>
              <w:jc w:val="left"/>
            </w:pPr>
            <w:r>
              <w:rPr>
                <w:b/>
                <w:color w:val="FF0000"/>
                <w:sz w:val="22"/>
              </w:rPr>
              <w:t>CAMELS</w:t>
            </w:r>
          </w:p>
        </w:tc>
        <w:tc>
          <w:tcPr>
            <w:tcW w:type="dxa" w:w="1531"/>
            <w:vAlign w:val="center"/>
          </w:tcPr>
          <w:p>
            <w:pPr>
              <w:spacing w:line="240" w:lineRule="auto" w:before="0" w:after="0"/>
              <w:ind w:firstLine="0"/>
              <w:jc w:val="center"/>
            </w:pPr>
            <w:r>
              <w:rPr>
                <w:b w:val="0"/>
                <w:color w:val="FF0000"/>
                <w:sz w:val="20"/>
              </w:rPr>
              <w:t>● C – kapital</w:t>
            </w:r>
          </w:p>
        </w:tc>
        <w:tc>
          <w:tcPr>
            <w:tcW w:type="dxa" w:w="1531"/>
            <w:vAlign w:val="center"/>
          </w:tcPr>
          <w:p>
            <w:pPr>
              <w:spacing w:line="240" w:lineRule="auto" w:before="0" w:after="0"/>
              <w:ind w:firstLine="0"/>
              <w:jc w:val="center"/>
            </w:pPr>
            <w:r>
              <w:rPr>
                <w:b w:val="0"/>
                <w:color w:val="FF0000"/>
                <w:sz w:val="20"/>
              </w:rPr>
              <w:t>● A – aktivlar sifati</w:t>
            </w:r>
          </w:p>
        </w:tc>
        <w:tc>
          <w:tcPr>
            <w:tcW w:type="dxa" w:w="1531"/>
            <w:vAlign w:val="center"/>
          </w:tcPr>
          <w:p>
            <w:pPr>
              <w:spacing w:line="240" w:lineRule="auto" w:before="0" w:after="0"/>
              <w:ind w:firstLine="0"/>
              <w:jc w:val="center"/>
            </w:pPr>
            <w:r>
              <w:rPr>
                <w:b w:val="0"/>
                <w:color w:val="FF0000"/>
                <w:sz w:val="20"/>
              </w:rPr>
              <w:t>● E – daromadlilik</w:t>
            </w:r>
          </w:p>
        </w:tc>
        <w:tc>
          <w:tcPr>
            <w:tcW w:type="dxa" w:w="1531"/>
            <w:vAlign w:val="center"/>
          </w:tcPr>
          <w:p>
            <w:pPr>
              <w:spacing w:line="240" w:lineRule="auto" w:before="0" w:after="0"/>
              <w:ind w:firstLine="0"/>
              <w:jc w:val="center"/>
            </w:pPr>
            <w:r>
              <w:rPr>
                <w:b w:val="0"/>
                <w:color w:val="FF0000"/>
                <w:sz w:val="20"/>
              </w:rPr>
              <w:t>● L – likvidlik</w:t>
            </w:r>
          </w:p>
        </w:tc>
        <w:tc>
          <w:tcPr>
            <w:tcW w:type="dxa" w:w="1531"/>
            <w:vAlign w:val="center"/>
          </w:tcPr>
          <w:p>
            <w:pPr>
              <w:spacing w:line="240" w:lineRule="auto" w:before="0" w:after="0"/>
              <w:ind w:firstLine="0"/>
              <w:jc w:val="center"/>
            </w:pPr>
            <w:r>
              <w:rPr>
                <w:b w:val="0"/>
                <w:color w:val="FF0000"/>
                <w:sz w:val="20"/>
              </w:rPr>
              <w:t>● S – bozor riskiga sezgirlik</w:t>
            </w:r>
          </w:p>
        </w:tc>
      </w:tr>
      <w:tr>
        <w:tc>
          <w:tcPr>
            <w:tcW w:type="dxa" w:w="1700"/>
            <w:vAlign w:val="center"/>
            <w:shd w:val="clear" w:color="auto" w:fill="F2F2F2"/>
          </w:tcPr>
          <w:p>
            <w:pPr>
              <w:spacing w:line="240" w:lineRule="auto" w:before="0" w:after="0"/>
              <w:ind w:firstLine="0"/>
              <w:jc w:val="left"/>
            </w:pPr>
            <w:r>
              <w:rPr>
                <w:b/>
                <w:color w:val="FF0000"/>
                <w:sz w:val="22"/>
              </w:rPr>
              <w:t>Reyting agentliklari</w:t>
            </w:r>
          </w:p>
        </w:tc>
        <w:tc>
          <w:tcPr>
            <w:tcW w:type="dxa" w:w="1531"/>
            <w:vAlign w:val="center"/>
          </w:tcPr>
          <w:p>
            <w:pPr>
              <w:spacing w:line="240" w:lineRule="auto" w:before="0" w:after="0"/>
              <w:ind w:firstLine="0"/>
              <w:jc w:val="center"/>
            </w:pPr>
            <w:r>
              <w:rPr>
                <w:b w:val="0"/>
                <w:color w:val="FF0000"/>
                <w:sz w:val="20"/>
              </w:rPr>
              <w:t>● kapitallashuv</w:t>
            </w:r>
          </w:p>
        </w:tc>
        <w:tc>
          <w:tcPr>
            <w:tcW w:type="dxa" w:w="1531"/>
            <w:vAlign w:val="center"/>
          </w:tcPr>
          <w:p>
            <w:pPr>
              <w:spacing w:line="240" w:lineRule="auto" w:before="0" w:after="0"/>
              <w:ind w:firstLine="0"/>
              <w:jc w:val="center"/>
            </w:pPr>
            <w:r>
              <w:rPr>
                <w:b w:val="0"/>
                <w:color w:val="FF0000"/>
                <w:sz w:val="20"/>
              </w:rPr>
              <w:t>● aktivlar sifati</w:t>
            </w:r>
          </w:p>
        </w:tc>
        <w:tc>
          <w:tcPr>
            <w:tcW w:type="dxa" w:w="1531"/>
            <w:vAlign w:val="center"/>
          </w:tcPr>
          <w:p>
            <w:pPr>
              <w:spacing w:line="240" w:lineRule="auto" w:before="0" w:after="0"/>
              <w:ind w:firstLine="0"/>
              <w:jc w:val="center"/>
            </w:pPr>
            <w:r>
              <w:rPr>
                <w:b w:val="0"/>
                <w:color w:val="FF0000"/>
                <w:sz w:val="20"/>
              </w:rPr>
              <w:t>● daromadlilik</w:t>
            </w:r>
          </w:p>
        </w:tc>
        <w:tc>
          <w:tcPr>
            <w:tcW w:type="dxa" w:w="1531"/>
            <w:vAlign w:val="center"/>
          </w:tcPr>
          <w:p>
            <w:pPr>
              <w:spacing w:line="240" w:lineRule="auto" w:before="0" w:after="0"/>
              <w:ind w:firstLine="0"/>
              <w:jc w:val="center"/>
            </w:pPr>
            <w:r>
              <w:rPr>
                <w:b w:val="0"/>
                <w:color w:val="FF0000"/>
                <w:sz w:val="20"/>
              </w:rPr>
              <w:t>● moliyalashtirish va likvidlik</w:t>
            </w:r>
          </w:p>
        </w:tc>
        <w:tc>
          <w:tcPr>
            <w:tcW w:type="dxa" w:w="1531"/>
            <w:vAlign w:val="center"/>
          </w:tcPr>
          <w:p>
            <w:pPr>
              <w:spacing w:line="240" w:lineRule="auto" w:before="0" w:after="0"/>
              <w:ind w:firstLine="0"/>
              <w:jc w:val="center"/>
            </w:pPr>
            <w:r>
              <w:rPr>
                <w:b w:val="0"/>
                <w:color w:val="FF0000"/>
                <w:sz w:val="20"/>
              </w:rPr>
              <w:t>● xorijiy valyutadagi likvidlik</w:t>
            </w:r>
          </w:p>
        </w:tc>
      </w:tr>
      <w:tr>
        <w:tc>
          <w:tcPr>
            <w:tcW w:type="dxa" w:w="1700"/>
            <w:vAlign w:val="center"/>
            <w:shd w:val="clear" w:color="auto" w:fill="DEEBF7"/>
          </w:tcPr>
          <w:p>
            <w:pPr>
              <w:spacing w:line="240" w:lineRule="auto" w:before="0" w:after="0"/>
              <w:ind w:firstLine="0"/>
              <w:jc w:val="left"/>
            </w:pPr>
            <w:r>
              <w:rPr>
                <w:b/>
                <w:color w:val="FF0000"/>
                <w:sz w:val="22"/>
              </w:rPr>
              <w:t>Integral bahoga hissasi</w:t>
            </w:r>
          </w:p>
        </w:tc>
        <w:tc>
          <w:tcPr>
            <w:tcW w:type="dxa" w:w="1531"/>
            <w:vAlign w:val="center"/>
            <w:shd w:val="clear" w:color="auto" w:fill="DEEBF7"/>
          </w:tcPr>
          <w:p>
            <w:pPr>
              <w:spacing w:line="240" w:lineRule="auto" w:before="0" w:after="0"/>
              <w:ind w:firstLine="0"/>
              <w:jc w:val="center"/>
            </w:pPr>
            <w:r>
              <w:rPr>
                <w:b/>
                <w:color w:val="FF0000"/>
                <w:sz w:val="20"/>
              </w:rPr>
              <w:t>Bazel III mezonlari</w:t>
            </w:r>
          </w:p>
        </w:tc>
        <w:tc>
          <w:tcPr>
            <w:tcW w:type="dxa" w:w="1531"/>
            <w:vAlign w:val="center"/>
            <w:shd w:val="clear" w:color="auto" w:fill="DEEBF7"/>
          </w:tcPr>
          <w:p>
            <w:pPr>
              <w:spacing w:line="240" w:lineRule="auto" w:before="0" w:after="0"/>
              <w:ind w:firstLine="0"/>
              <w:jc w:val="center"/>
            </w:pPr>
            <w:r>
              <w:rPr>
                <w:b/>
                <w:color w:val="FF0000"/>
                <w:sz w:val="20"/>
              </w:rPr>
              <w:t>MHXS 9 bo‘yicha baholash</w:t>
            </w:r>
          </w:p>
        </w:tc>
        <w:tc>
          <w:tcPr>
            <w:tcW w:type="dxa" w:w="1531"/>
            <w:vAlign w:val="center"/>
            <w:shd w:val="clear" w:color="auto" w:fill="DEEBF7"/>
          </w:tcPr>
          <w:p>
            <w:pPr>
              <w:spacing w:line="240" w:lineRule="auto" w:before="0" w:after="0"/>
              <w:ind w:firstLine="0"/>
              <w:jc w:val="center"/>
            </w:pPr>
            <w:r>
              <w:rPr>
                <w:b/>
                <w:color w:val="FF0000"/>
                <w:sz w:val="20"/>
              </w:rPr>
              <w:t>XVJ va CAMELS ko‘rsatkichlari</w:t>
            </w:r>
          </w:p>
        </w:tc>
        <w:tc>
          <w:tcPr>
            <w:tcW w:type="dxa" w:w="1531"/>
            <w:vAlign w:val="center"/>
            <w:shd w:val="clear" w:color="auto" w:fill="DEEBF7"/>
          </w:tcPr>
          <w:p>
            <w:pPr>
              <w:spacing w:line="240" w:lineRule="auto" w:before="0" w:after="0"/>
              <w:ind w:firstLine="0"/>
              <w:jc w:val="center"/>
            </w:pPr>
            <w:r>
              <w:rPr>
                <w:b/>
                <w:color w:val="FF0000"/>
                <w:sz w:val="20"/>
              </w:rPr>
              <w:t>Bazel III mezonlari</w:t>
            </w:r>
          </w:p>
        </w:tc>
        <w:tc>
          <w:tcPr>
            <w:tcW w:type="dxa" w:w="1531"/>
            <w:vAlign w:val="center"/>
            <w:shd w:val="clear" w:color="auto" w:fill="DEEBF7"/>
          </w:tcPr>
          <w:p>
            <w:pPr>
              <w:spacing w:line="240" w:lineRule="auto" w:before="0" w:after="0"/>
              <w:ind w:firstLine="0"/>
              <w:jc w:val="center"/>
            </w:pPr>
            <w:r>
              <w:rPr>
                <w:b/>
                <w:color w:val="FF0000"/>
                <w:sz w:val="20"/>
              </w:rPr>
              <w:t>XVJ ko‘rsatkichi, dollarlashuvni hisobga olish</w:t>
            </w:r>
          </w:p>
        </w:tc>
      </w:tr>
    </w:tbl>
    <w:p w:rsidR="005603EC" w:rsidRDefault="00AB61AC">
      <w:pPr>
        <w:pStyle w:val="af"/>
        <w:spacing w:line="240" w:lineRule="auto" w:after="240"/>
        <w:jc w:val="both"/>
      </w:pPr>
      <w:r>
        <w:rPr>
          <w:i/>
          <w:color w:val="FF0000"/>
          <w:sz w:val="22"/>
          <w:szCs w:val="22"/>
        </w:rPr>
        <w:t>Izoh: ● – blok uchun asosiy mezon yoki ko‘rsatkich manbai; ○ – bilvosita ta’sir; – – blokni qamramaydi.</w:t>
      </w:r>
    </w:p>
    <w:p w:rsidR="005603EC" w:rsidRDefault="00AB61AC">
      <w:pPr>
        <w:pStyle w:val="af"/>
        <w:spacing w:after="0" w:line="360" w:lineRule="auto"/>
        <w:ind w:firstLine="709"/>
        <w:jc w:val="both"/>
      </w:pPr>
      <w:r>
        <w:rPr>
          <w:color w:val="FF0000"/>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color w:val="FF0000"/>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color w:val="FF0000"/>
                <w:sz w:val="22"/>
              </w:rPr>
              <w:t xml:space="preserve">CAMEL (1978–1979)</w:t>
            </w:r>
            <w:r>
              <w:rPr>
                <w:color w:val="FF0000"/>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color w:val="FF0000"/>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color w:val="FF0000"/>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color w:val="FF0000"/>
                <w:sz w:val="22"/>
              </w:rPr>
              <w:t xml:space="preserve">ORAP (1997), SAABA (1997)</w:t>
            </w:r>
          </w:p>
        </w:tc>
        <w:tc>
          <w:tcPr>
            <w:tcW w:w="0" w:type="auto"/>
          </w:tcPr>
          <w:p w:rsidR="005603EC" w:rsidRDefault="00AB61AC">
            <w:pPr>
              <w:pStyle w:val="Compact"/>
              <w:spacing w:line="240" w:lineRule="auto"/>
            </w:pPr>
            <w:r>
              <w:rPr>
                <w:color w:val="FF0000"/>
                <w:sz w:val="22"/>
              </w:rPr>
              <w:t xml:space="preserve">Reyting va statistik-ekspert model</w:t>
            </w:r>
          </w:p>
        </w:tc>
        <w:tc>
          <w:tcPr>
            <w:tcW w:w="0" w:type="auto"/>
          </w:tcPr>
          <w:p w:rsidR="005603EC" w:rsidRDefault="00AB61AC">
            <w:pPr>
              <w:pStyle w:val="Compact"/>
              <w:spacing w:line="240" w:lineRule="auto"/>
            </w:pPr>
            <w:r>
              <w:rPr>
                <w:color w:val="FF0000"/>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color w:val="FF0000"/>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color w:val="FF0000"/>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color w:val="FF0000"/>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color w:val="FF0000"/>
        </w:rPr>
        <w:t xml:space="preserve">O‘zbekiston bank tizimi kapital yetarliligi bo‘yicha barqaror holatda: 2021–2025-yillarda kapital monandligi 13 foizlik regulyativ minimumdan barqaror yuqori bo‘lgan</w:t>
      </w:r>
      <w:r>
        <w:rPr>
          <w:rStyle w:val="aff8"/>
        </w:rPr>
        <w:footnoteReference w:id="259"/>
      </w:r>
      <w:r>
        <w:rPr>
          <w:color w:val="FF0000"/>
        </w:rPr>
        <w:t xml:space="preserve">, 2025-yil oxirida esa 18,3 foizga yetgan</w:t>
      </w:r>
      <w:r>
        <w:lastRenderedPageBreak/>
      </w:r>
      <w:r>
        <w:rPr>
          <w:rStyle w:val="aff8"/>
        </w:rPr>
        <w:footnoteReference w:id="260"/>
      </w:r>
      <w:r>
        <w:t xml:space="preserve">. </w:t>
      </w:r>
      <w:r>
        <w:rPr>
          <w:color w:val="FF0000"/>
        </w:rPr>
        <w:t xml:space="preserve">Rasmiy muammoli kreditlar ulushi ham</w:t>
      </w:r>
      <w:r>
        <w:t xml:space="preserve"> 2021-yil oxiridagi 5,2 foizdan 2025-yil oxirida 3,0 foizgacha kamaygan</w:t>
      </w:r>
      <w:r>
        <w:rPr>
          <w:rStyle w:val="aff8"/>
        </w:rPr>
        <w:footnoteReference w:id="261"/>
      </w:r>
      <w:r>
        <w:rPr>
          <w:color w:val="FF0000"/>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color w:val="FF0000"/>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color w:val="FF0000"/>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color w:val="FF0000"/>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color w:val="FF0000"/>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9"/>
      </w:r>
      <w:r>
        <w:rPr>
          <w:rStyle w:val="aff8"/>
        </w:rPr>
        <w:footnoteReference w:id="280"/>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color w:val="FF0000"/>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color w:val="FF0000"/>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color w:val="FF0000"/>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color w:val="FF0000"/>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color w:val="FF0000"/>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color w:val="FF0000"/>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color w:val="FF0000"/>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1"/>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2"/>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3"/>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4"/>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5"/>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6"/>
      </w:r>
      <w:r>
        <w:rPr>
          <w:rStyle w:val="aff8"/>
        </w:rPr>
        <w:footnoteReference w:id="317"/>
      </w:r>
      <w:r>
        <w:t>. Bundan ham muhimi, bankda 2-bosqich, ya’ni kredit riski sezilarli oshgan kreditlar ulushi 2023-yildagi 15,8 foizdan 2024-yilda 27,1 foizga, 2025-yilda esa 35,7 foizga ko‘tarilgan</w:t>
      </w:r>
      <w:r>
        <w:rPr>
          <w:rStyle w:val="aff8"/>
        </w:rPr>
        <w:footnoteReference w:id="318"/>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9"/>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0"/>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1"/>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2"/>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3"/>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4"/>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8"/>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9"/>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0"/>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1"/>
      </w:r>
      <w:r>
        <w:rPr>
          <w:color w:val="FF0000"/>
        </w:rPr>
        <w:t>, “yo‘l xaritasi”ga ko‘ra esa ular Bazel III ga to‘liq moslashtirilib, 2026-yil 1-yanvardan monitoring qilinadi</w:t>
      </w:r>
      <w:r>
        <w:rPr>
          <w:rStyle w:val="aff8"/>
          <w:color w:val="FF0000"/>
        </w:rPr>
        <w:footnoteReference w:id="362"/>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5"/>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7"/>
      </w:r>
      <w:r>
        <w:rPr>
          <w:color w:val="0070C0"/>
        </w:rPr>
        <w:t xml:space="preserve"> va auditdan o‘tgan MHXS bo‘yicha konsolidatsiyalangan moliyaviy hisobotlari</w:t>
      </w:r>
      <w:r>
        <w:rPr>
          <w:rStyle w:val="aff8"/>
          <w:color w:val="0070C0"/>
        </w:rPr>
        <w:footnoteReference w:id="368"/>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0"/>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9"/>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3"/>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4"/>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1"/>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2"/>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1"/>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8"/>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color w:val="FF0000"/>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color w:val="FF0000"/>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color w:val="FF0000"/>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1–5, 7, 9, 15, 17, 20.</w:t>
      </w:r>
    </w:p>
  </w:footnote>
  <w:footnote w:id="267">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8">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3.</w:t>
      </w:r>
    </w:p>
  </w:footnote>
  <w:footnote w:id="271">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9.</w:t>
      </w:r>
    </w:p>
  </w:footnote>
  <w:footnote w:id="27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color w:val="FF0000"/>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color w:val="FF0000"/>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color w:val="FF0000"/>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5">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6">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9">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0">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1.3</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