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58</w:t>
      </w:r>
    </w:p>
    <w:p w:rsidR="005603EC" w:rsidRDefault="00AB61AC">
      <w:pPr>
        <w:tabs>
          <w:tab w:val="right" w:leader="dot" w:pos="9354"/>
        </w:tabs>
        <w:spacing w:after="80" w:line="240" w:lineRule="auto"/>
        <w:ind w:left="454"/>
      </w:pPr>
      <w:r>
        <w:rPr>
          <w:sz w:val="26"/>
        </w:rPr>
        <w:t>I bob bo‘yicha xulosalar</w:t>
      </w:r>
      <w:r>
        <w:rPr>
          <w:sz w:val="26"/>
        </w:rPr>
        <w:tab/>
        <w:t>82</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85</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85</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98</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117</w:t>
      </w:r>
    </w:p>
    <w:p w:rsidR="005603EC" w:rsidRDefault="00AB61AC">
      <w:pPr>
        <w:tabs>
          <w:tab w:val="right" w:leader="dot" w:pos="9354"/>
        </w:tabs>
        <w:spacing w:after="80" w:line="240" w:lineRule="auto"/>
        <w:ind w:left="454"/>
      </w:pPr>
      <w:r>
        <w:rPr>
          <w:sz w:val="26"/>
        </w:rPr>
        <w:t>II bob bo‘yicha xulosalar</w:t>
      </w:r>
      <w:r>
        <w:rPr>
          <w:sz w:val="26"/>
        </w:rPr>
        <w:tab/>
        <w:t>141</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144</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144</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165</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179</w:t>
      </w:r>
    </w:p>
    <w:p w:rsidR="005603EC" w:rsidRDefault="00AB61AC">
      <w:pPr>
        <w:tabs>
          <w:tab w:val="right" w:leader="dot" w:pos="9354"/>
        </w:tabs>
        <w:spacing w:after="80" w:line="240" w:lineRule="auto"/>
        <w:ind w:left="454"/>
      </w:pPr>
      <w:r>
        <w:rPr>
          <w:sz w:val="26"/>
        </w:rPr>
        <w:t>III bob bo‘yicha xulosalar</w:t>
      </w:r>
      <w:r>
        <w:rPr>
          <w:sz w:val="26"/>
        </w:rPr>
        <w:tab/>
        <w:t>198</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201</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201</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218</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231</w:t>
      </w:r>
    </w:p>
    <w:p w:rsidR="005603EC" w:rsidRDefault="00AB61AC">
      <w:pPr>
        <w:tabs>
          <w:tab w:val="right" w:leader="dot" w:pos="9354"/>
        </w:tabs>
        <w:spacing w:after="80" w:line="240" w:lineRule="auto"/>
        <w:ind w:left="454"/>
      </w:pPr>
      <w:r>
        <w:rPr>
          <w:sz w:val="26"/>
        </w:rPr>
        <w:t>IV bob bo‘yicha xulosalar</w:t>
      </w:r>
      <w:r>
        <w:rPr>
          <w:sz w:val="26"/>
        </w:rPr>
        <w:tab/>
        <w:t>245</w:t>
      </w:r>
    </w:p>
    <w:p w:rsidR="005603EC" w:rsidRDefault="00AB61AC">
      <w:pPr>
        <w:tabs>
          <w:tab w:val="right" w:leader="dot" w:pos="9354"/>
        </w:tabs>
        <w:spacing w:after="80" w:line="240" w:lineRule="auto"/>
      </w:pPr>
      <w:r>
        <w:rPr>
          <w:b/>
          <w:sz w:val="26"/>
        </w:rPr>
        <w:t>XULOSA</w:t>
      </w:r>
      <w:r>
        <w:rPr>
          <w:b/>
          <w:sz w:val="26"/>
        </w:rPr>
        <w:tab/>
        <w:t>248</w:t>
      </w:r>
    </w:p>
    <w:p w:rsidR="005603EC" w:rsidRDefault="00AB61AC">
      <w:pPr>
        <w:tabs>
          <w:tab w:val="right" w:leader="dot" w:pos="9354"/>
        </w:tabs>
        <w:spacing w:after="80" w:line="240" w:lineRule="auto"/>
      </w:pPr>
      <w:r>
        <w:rPr>
          <w:b/>
          <w:sz w:val="26"/>
        </w:rPr>
        <w:t>FOYDALANILGAN ADABIYOTLAR RO‘YXATI</w:t>
      </w:r>
      <w:r>
        <w:rPr>
          <w:b/>
          <w:sz w:val="26"/>
        </w:rPr>
        <w:tab/>
        <w:t>254</w:t>
      </w:r>
    </w:p>
    <w:p w:rsidR="005603EC" w:rsidRDefault="00AB61AC">
      <w:pPr>
        <w:tabs>
          <w:tab w:val="right" w:leader="dot" w:pos="9354"/>
        </w:tabs>
        <w:spacing w:after="80" w:line="240" w:lineRule="auto"/>
      </w:pPr>
      <w:r>
        <w:rPr>
          <w:b/>
          <w:sz w:val="26"/>
        </w:rPr>
        <w:t>ILOVALAR</w:t>
      </w:r>
      <w:r>
        <w:rPr>
          <w:b/>
          <w:sz w:val="26"/>
        </w:rPr>
        <w:tab/>
        <w:t>275</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xml:space="preserve">. Shu davrda xalqaro standartlarni joriy etish ham davom etdi</w:t>
      </w:r>
      <w:r>
        <w:rPr/>
        <w:t xml:space="preserve">. Jumladan,</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xml:space="preserve">. Bunday sharoitda bank nazorati amaliyotida moliyaviy barqarorlikni Bazel III kapital va likvidlik standartlari, Moliyaviy hisobotning xalqaro standartlari (MHXS) 9 ning </w:t>
      </w:r>
      <w:r>
        <w:rPr/>
        <w:t xml:space="preserve">kutilgan kredit zarar</w:t>
      </w:r>
      <w:r>
        <w:t xml:space="preserve">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w:t>
      </w:r>
      <w:r>
        <w:rPr/>
        <w:t xml:space="preserve">jadal o‘sdi. Xususan, 2026-yil</w:t>
      </w:r>
      <w:r>
        <w:t xml:space="preserve">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w:t>
      </w:r>
      <w:r>
        <w:rPr/>
        <w:t xml:space="preserve">ham buni tasdiqlaydi. Jumladan, 2025-yil yakunida</w:t>
      </w:r>
      <w:r>
        <w:t xml:space="preserve"> “O‘zsanoatqurilishbank” ATB da milliy hisobot bo‘yicha muammoli kreditlar ulushi 2,5 foiz bo‘lgan bo‘lsa, MHXS 9 bo‘yicha qadrsizlangan kreditlar ulushi 7,5 foizni, “Mikrokreditbank” ATB da esa mos ravishda 4,4 va 12,3 foizni </w:t>
      </w:r>
      <w:r>
        <w:lastRenderedPageBreak/>
      </w:r>
      <w:r>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w:t>
      </w:r>
      <w:r>
        <w:rPr/>
        <w:t xml:space="preserve">kutilgan kredit zarar</w:t>
      </w:r>
      <w:r>
        <w:t xml:space="preserve">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t xml:space="preserve">ning</w:t>
      </w:r>
      <w:r>
        <w:t xml:space="preserve"> MHXS hisobotlari asosida integral indeks bo‘yicha reyting</w:t>
      </w:r>
      <w:r>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 xml:space="preserve">25 ta tijorat banki bo‘yicha 2021–2025-yillardagi choraklik panel ma’lumotlari asosida </w:t>
      </w:r>
      <w:r>
        <w:rPr/>
        <w:t xml:space="preserve">davlat banklarining integral indeksi boshqa banklarnikidan o‘rtacha 0,69</w:t>
      </w:r>
      <w:r>
        <w:t xml:space="preserve">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r>
      <w:r>
        <w:t xml:space="preserve">2026–2028-yillarga shartli ssenariy prognozi asosida 2020-yildagi kabi keskin iqtisodiy shok takrorlangan taqdirda 2027-yilda </w:t>
      </w:r>
      <w:r>
        <w:rPr>
          <w:color w:val="0070C0"/>
        </w:rPr>
        <w:t xml:space="preserve">tanlangan banklar</w:t>
      </w:r>
      <w:r>
        <w:t xml:space="preserve">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0070C0"/>
        </w:rPr>
        <w:t xml:space="preserve">250</w:t>
      </w:r>
      <w:r>
        <w:rPr/>
        <w:t xml:space="preserve"> betni</w:t>
      </w:r>
      <w:r>
        <w:t xml:space="preserve"> tashkil etadi, unda 60 dan ortiq jadval va rasm keltirilgan, </w:t>
      </w:r>
      <w:r>
        <w:rPr/>
        <w:t xml:space="preserve">foydalanilgan adabiyotlar ro‘yxati </w:t>
      </w:r>
      <w:r>
        <w:rPr>
          <w:color w:val="0070C0"/>
        </w:rPr>
        <w:t xml:space="preserve">208</w:t>
      </w:r>
      <w:r>
        <w:rPr/>
        <w:t xml:space="preserve">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r>
      <w:r>
        <w:t xml:space="preserve">maqsadga muvofiq. Rus iqtisodiy maktabida bu masalaga alohida e’tibor berilgan. O.I. Lavrushin va I.D. Mamonova G.G. Fetisov yondashuviga tayanib, “barqarorlik” va “stabillik” tushunchalarini </w:t>
      </w:r>
      <w:r>
        <w:rPr/>
        <w:t xml:space="preserve">qat’iy ajratadi. Ularning fikricha, stabillik – statika</w:t>
      </w:r>
      <w:r>
        <w:t xml:space="preserve">,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r>
      <w:r>
        <w:t xml:space="preserve">kelgusidagi beqarorlik manbaiga aylanadi. </w:t>
      </w:r>
      <w:r>
        <w:rPr/>
        <w:t xml:space="preserve">Demak, moliyaviy barqarorlik bu tushunchalarning yig‘indisi emas, balki ularning o‘zaro uyg‘unligi natijasida yuzaga keladigan sifat holatidir. Rasmda, shuningdek, moliyaviy holat muayyan sanadagi statik baho sifatida, rivojlanish esa barqarorlikning dinamik mazmuni sifatida ko‘rsatilgan.</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Ta’rifning asosiy mazmuni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Urg‘u berilgan jihat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O.I. Lavrushin, I.D. Mamonova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Bankning o‘z moliyasini va boshqa </w:t>
            </w: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lar moliyasini kengaytirilgan asosda takror ishlab chiqarishi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Resurslarning o‘sishi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O.I. Lavrushin (tahr.)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Ijtimoiy funksiya va institutsional yondashuv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G.J.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tizimining resurslarni samarali taqsimlash, risklarni baholash va boshqarish hamda shoklarni yutish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Funksiyalarni bajarish va shoklarga chidamlilik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 Mishkin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oqimining uzilishi natijasida moliya tizimi mablag‘larni samarali yo‘naltira olmay qoladigan holatning yo‘qligi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J.M. Hendrickson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moliya institutlari tashqi yordamsiz foydalanuvchilarda yuqori ishonch uyg‘otadigan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Ishonch va mustaqillik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A.V. Thakor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Sog‘lom tizim inqirozdan butunlay himoyalangan tizim emas; unda alohida banklar davlat yordamisiz bankrot bo‘lishi mumkin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sog‘lomlik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G.G. Fetisov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Muvozanat va majburiyatlarni bajarish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Larionova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tizimi stabilligi – ichki va tashqi ta’sirlarga qarshi turish, vaqt davomida barqaror muvozanat va ishonchlilikni saqlash qobiliyati; barqarorlik – undan torroq, statik tushuncha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Stabillik: muvozanat va ishonchlilik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 Houben, J. Kakes, G.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 samarali taqsimlash, risklarni boshqarish va shoklarni yutish qobiliyati ko‘p o‘lchovli “barqarorlik yo‘lagi” doirasida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Mezoniy chegaralar (yo‘lak)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 Sattarov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Dinamika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I.G. Sadikov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va bozor mavqei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 Madaminov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Endogen va ekzogen shoklarni yutib, faoliyatni to‘xtatmasdan muvozanatni tiklash salohiyatini aks ettiruvchi dinamik xususiyat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Shoklarga bardoshlilik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N.H. Sharipova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xml:space="preserve">. </w:t>
      </w:r>
      <w:r>
        <w:rPr/>
        <w:t xml:space="preserve">I.V. Larionova esa bank tizimi stabilligini ichki va tashqi ta’sirlarga qarshi turish, vaqt davomida barqaror muvozanat va ishonchlilikni saqlash qobiliyati sifatida ta’riflab, barqarorlikni undan torroq, muayyan sanadagi statik tushuncha deb hisoblaydi</w:t>
      </w:r>
      <w:r>
        <w:rPr>
          <w:rStyle w:val="aff8"/>
        </w:rPr>
        <w:footnoteReference w:id="60"/>
      </w:r>
      <w:r>
        <w:rPr/>
        <w:t xml:space="preserve">. V.V. Ivanov</w:t>
      </w:r>
      <w:r>
        <w:t xml:space="preserve"> bank faoliyatining o‘rta va uzoq muddatli istiqboldagi barqarorligi sifatida ta’riflaydi</w:t>
      </w:r>
      <w:r>
        <w:rPr>
          <w:rStyle w:val="aff8"/>
        </w:rPr>
        <w:footnoteReference w:id="61"/>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2"/>
      </w:r>
      <w:r>
        <w:t xml:space="preserve">. Bu fikr </w:t>
      </w:r>
      <w:r>
        <w:rPr/>
        <w:t xml:space="preserve">muhim xulosaga olib keladi. Unga ko‘ra, me’yoriy ko‘rsatkichlar</w:t>
      </w:r>
      <w:r>
        <w:t xml:space="preserve"> </w:t>
      </w:r>
      <w:r>
        <w:lastRenderedPageBreak/>
      </w:r>
      <w:r>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3"/>
      </w:r>
      <w:r>
        <w:t>. F.S. Mishkin esa beqarorlikdan kelib chiqib, uni axborot oqimining keskin uzilishi natijasida moliya tizimi mablag‘larni eng samarali investitsiya imkoniyatlariga yo‘naltira olmay qoladigan holat sifatida izohlaydi</w:t>
      </w:r>
      <w:r>
        <w:rPr>
          <w:rStyle w:val="aff8"/>
        </w:rPr>
        <w:footnoteReference w:id="64"/>
      </w:r>
      <w:r>
        <w:t xml:space="preserve">. J.M. Hendrickson ta’rifida esa asosiy o‘rinni ishonch egallaydi</w:t>
      </w:r>
      <w:r>
        <w:rPr/>
        <w:t xml:space="preserve">. M</w:t>
      </w:r>
      <w:r>
        <w:t xml:space="preserve">uallif fikricha, beqarorlikning kaliti iste’molchilar ishonchining kutilmaganda keskin yo‘qolishidir. U yana bir </w:t>
      </w:r>
      <w:r>
        <w:rPr/>
        <w:t xml:space="preserve">muhim fikrni ilgari suradi. Uning ta’kidlashicha, bank inqirozi</w:t>
      </w:r>
      <w:r>
        <w:t xml:space="preserve"> har doim moliyaviy beqarorlikka olib keladi, biroq moliyaviy beqarorlik bank inqirozisiz ham yuzaga kelishi mumkin</w:t>
      </w:r>
      <w:r>
        <w:rPr>
          <w:rStyle w:val="aff8"/>
        </w:rPr>
        <w:footnoteReference w:id="65"/>
      </w:r>
      <w:r>
        <w:t>.</w:t>
      </w:r>
    </w:p>
    <w:p w:rsidR="005603EC" w:rsidRDefault="00AB61AC">
      <w:pPr>
        <w:pStyle w:val="af"/>
        <w:spacing w:after="0" w:line="360" w:lineRule="auto"/>
        <w:ind w:firstLine="709"/>
        <w:jc w:val="both"/>
      </w:pPr>
      <w:r>
        <w:t xml:space="preserve">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w:t>
      </w:r>
      <w:r>
        <w:rPr/>
        <w:t xml:space="preserve">ko‘rsatadi. Masalan, foiz spredlari</w:t>
      </w:r>
      <w:r>
        <w:t xml:space="preserve"> tebranuvchanligi va bank tizimi kapitalining ayrim kombinatsiyalari barqarorlikka mos keladi, boshqalari esa bu yo‘lakdan tashqarida bo‘ladi</w:t>
      </w:r>
      <w:r>
        <w:rPr>
          <w:rStyle w:val="aff8"/>
        </w:rPr>
        <w:footnoteReference w:id="66"/>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7"/>
      </w:r>
      <w:r>
        <w:t xml:space="preserve">. M. Čihák </w:t>
      </w:r>
      <w:r>
        <w:lastRenderedPageBreak/>
      </w:r>
      <w:r>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8"/>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9"/>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70"/>
      </w:r>
      <w:r>
        <w:t>.</w:t>
      </w:r>
    </w:p>
    <w:p w:rsidR="005603EC" w:rsidRDefault="00AB61AC">
      <w:pPr>
        <w:pStyle w:val="af"/>
        <w:spacing w:after="0" w:line="360" w:lineRule="auto"/>
        <w:ind w:firstLine="709"/>
        <w:jc w:val="both"/>
      </w:pPr>
      <w:r>
        <w:t xml:space="preserve">Keyingi yillardagi tadqiqotlarda ta’riflarning urg‘usi sezilarli darajada o‘zgargan. I.G. Sadikov ta’rifida bozor mavqei va daromadlilik birinchi o‘ringa chiqadi</w:t>
      </w:r>
      <w:r>
        <w:rPr/>
        <w:t xml:space="preserve">. M</w:t>
      </w:r>
      <w:r>
        <w:t xml:space="preserve">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1"/>
      </w:r>
      <w:r>
        <w:t xml:space="preserve">. B.A. Madaminov esa barqarorlikni likvidlik va to‘lovga qobiliyatlilik bilan tenglashtiruvchi yondashuvni statik deb tanqid qilib, uni bankning nafaqat muayyan vaqtda majburiyatlarni </w:t>
      </w:r>
      <w:r>
        <w:lastRenderedPageBreak/>
      </w:r>
      <w:r>
        <w:t>bajarish, balki endogen va ekzogen shoklarni yutib, faoliyatni to‘xtatmasdan muvozanatni tiklash salohiyatini aks ettiruvchi dinamik xususiyat sifatida belgilaydi</w:t>
      </w:r>
      <w:r>
        <w:rPr>
          <w:rStyle w:val="aff8"/>
        </w:rPr>
        <w:footnoteReference w:id="72"/>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3"/>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4"/>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r>
      <w:r>
        <w:t xml:space="preserve">kutilmagan shoklar va bozor tebranishlari yuzaga kelganda zararlarni yutib, o‘z holatini tiklay olish qobiliyati. Uchinchisi – funksional mezon, ya’ni stress sharoitida ham iqtisodiyotni kreditlash va to‘lovlarni amalga oshirish funksiyalarini yo‘qotmaslik. </w:t>
      </w:r>
      <w:r>
        <w:rPr/>
        <w:t xml:space="preserve">A. Crockett ham</w:t>
      </w:r>
      <w:r>
        <w:t xml:space="preserve">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5"/>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6"/>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r>
      <w:r>
        <w:t xml:space="preserve">esa uni o‘lchash imkoniyatini ko‘rsatadi. </w:t>
      </w:r>
      <w:r>
        <w:rPr/>
        <w:t xml:space="preserve">Rasmning quyi qismida esa ushbu yondashuvlarning sintezi – daraja, dinamika va muvozanatni birlashtiruvchi integral yondashuv ko‘rsatilgan bo‘lib, u tadqiqotda ishlab chiqilgan baholash metodikasiga asos qilib olindi. Ta’kidlash lozimki, aynan to‘rtinchi yondashuv Bazel qo‘mitasi</w:t>
      </w:r>
      <w:r>
        <w:t xml:space="preserve"> standartlari va Xalqaro valyuta jamg‘armasining moliyaviy barqarorlik ko‘rsatkichlari tizimiga asos bo‘lgan. Biroq u ham alohida olinganda </w:t>
      </w:r>
      <w:r>
        <w:rPr/>
        <w:t xml:space="preserve">yetarli emas, chunki kapital va likvidlik</w:t>
      </w:r>
      <w:r>
        <w:t xml:space="preserve">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7"/>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8"/>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9"/>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80"/>
      </w:r>
      <w:r>
        <w:t xml:space="preserve">. E’tiborli jihati shundaki, mualliflar inqirozdan keyingi bir martalik o‘sishni barqarorlik belgisi deb hisoblamaydi, keskin o‘sishni esa xavfli deb biladi. </w:t>
      </w:r>
      <w:r>
        <w:rPr/>
        <w:t xml:space="preserve">Bu fikrning baholash metodikasi uchun ahamiyati shundaki, ko‘rsatkichning</w:t>
      </w:r>
      <w:r>
        <w:t xml:space="preserve">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1"/>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2"/>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3"/>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4"/>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5"/>
      </w:r>
      <w:r>
        <w:rPr/>
        <w:t xml:space="preserve">, foiz stavkasi riski esa </w:t>
      </w:r>
      <w:r>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6"/>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7"/>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8"/>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9"/>
      </w:r>
      <w:r>
        <w:t>. Ana shu nazariy asosda moliyaviy barqarorlikni tushuntiruvchi bir nechta konseptual modellar shakllangan.</w:t>
      </w:r>
    </w:p>
    <w:p w:rsidR="005603EC" w:rsidRDefault="00AB61AC">
      <w:pPr>
        <w:pStyle w:val="af"/>
        <w:spacing w:after="0" w:line="360" w:lineRule="auto"/>
        <w:ind w:firstLine="709"/>
        <w:jc w:val="both"/>
      </w:pPr>
      <w: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w:t>
      </w:r>
      <w:r>
        <w:rPr/>
        <w:t xml:space="preserve">bankni zaif qiladi, chunki omonatchilar</w:t>
      </w:r>
      <w:r>
        <w:t xml:space="preserve"> boshqalar mablag‘ini qaytarib olishidan qo‘rqsa, bank sog‘lom bo‘lgan taqdirda ham ommaviy mablag‘ talab qilish yuz berishi mumkin</w:t>
      </w:r>
      <w:r>
        <w:rPr>
          <w:rStyle w:val="aff8"/>
        </w:rPr>
        <w:footnoteReference w:id="90"/>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1"/>
      </w:r>
      <w:r>
        <w:t xml:space="preserve">. </w:t>
      </w:r>
      <w:r>
        <w:rPr/>
        <w:t xml:space="preserve">Ushbu model likvidlik va moliyalashtirish barqarorligini</w:t>
      </w:r>
      <w:r>
        <w:t xml:space="preserve">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w:t>
      </w:r>
      <w:r>
        <w:rPr/>
        <w:t xml:space="preserve">H.P. Minskyning</w:t>
      </w:r>
      <w:r>
        <w:t xml:space="preserve"> moliyaviy beqarorlik gipotezasi. Unga ko‘ra, iqtisodiy barqarorlikning uzoq davom etishi o‘z-o‘zidan </w:t>
      </w:r>
      <w:r>
        <w:rPr/>
        <w:t xml:space="preserve">beqarorlikni keltirib chiqaradi. Buning sababi shundaki, muvaffaqiyatli yillar</w:t>
      </w:r>
      <w:r>
        <w:t xml:space="preserve"> bank va qarz oluvchilarning riskka moyilligini oshiradi, natijada moliyalashtirish tuzilmasi daromadi qarz va foizlarni to‘liq qoplaydigan “himoyalangan” moliyalashtirishdan faqat foizlarni qoplaydigan </w:t>
      </w:r>
      <w:r>
        <w:lastRenderedPageBreak/>
      </w:r>
      <w:r>
        <w:t>“spekulyativ” va hatto foizlarni ham yangi qarz hisobidan to‘laydigan “Ponzi” moliyalashtirishiga siljiydi</w:t>
      </w:r>
      <w:r>
        <w:rPr>
          <w:rStyle w:val="aff8"/>
        </w:rPr>
        <w:footnoteReference w:id="92"/>
      </w:r>
      <w:r>
        <w:t xml:space="preserve">. J.M. Hendrickson ham bank inqirozining to‘rt elementi sifatida tashqi shok va optimizmni, </w:t>
      </w:r>
      <w:r>
        <w:rPr/>
        <w:t xml:space="preserve">Minsky ta’riflagan</w:t>
      </w:r>
      <w:r>
        <w:t xml:space="preserve"> kredit kengayishini, ishonchning yo‘qolishini va banklarning ommaviy inqiroziga o‘tishni ko‘rsatadi</w:t>
      </w:r>
      <w:r>
        <w:rPr>
          <w:rStyle w:val="aff8"/>
        </w:rPr>
        <w:footnoteReference w:id="93"/>
      </w:r>
      <w:r>
        <w:t xml:space="preserve">. A.V. Thakor esa bu jarayonni yanada </w:t>
      </w:r>
      <w:r>
        <w:rPr/>
        <w:t xml:space="preserve">aniqroq ifodalaydi. Uning fikricha, uzoq muvaffaqiyat</w:t>
      </w:r>
      <w:r>
        <w:t xml:space="preserve"> bankirlar mahoratiga bo‘lgan ishonchni oshiradi, shok kelganda esa moliyalashtirish to‘xtaydi va “likvidlik inqiroziga o‘xshagan, aslida to‘lov qobiliyati inqirozi” yuzaga keladi</w:t>
      </w:r>
      <w:r>
        <w:rPr>
          <w:rStyle w:val="aff8"/>
        </w:rPr>
        <w:footnoteReference w:id="94"/>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5"/>
      </w:r>
      <w:r>
        <w:t xml:space="preserve">. Ushbu mantiqni R. Merton tomonidan ishlab chiqilgan tarkibiy model </w:t>
      </w:r>
      <w:r>
        <w:rPr/>
        <w:t xml:space="preserve">miqdoriy shaklga keltiradi. Unga ko‘ra, kompaniya aktivlarining</w:t>
      </w:r>
      <w:r>
        <w:t xml:space="preserve"> qiymati majburiyatlardan pastga tushganda defolt yuz beradi, demak, defoltgacha bo‘lgan masofa kapital zaxirasi va aktivlar qiymatining o‘zgaruvchanligiga bog‘liq</w:t>
      </w:r>
      <w:r>
        <w:rPr>
          <w:rStyle w:val="aff8"/>
        </w:rPr>
        <w:footnoteReference w:id="96"/>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7"/>
      </w:r>
      <w:r>
        <w:t xml:space="preserve">, bank faoliyatiga J.H. Boyd va S.L. Graham tomonidan </w:t>
      </w:r>
      <w:r>
        <w:lastRenderedPageBreak/>
      </w:r>
      <w:r>
        <w:t>tatbiq etilgan</w:t>
      </w:r>
      <w:r>
        <w:rPr>
          <w:rStyle w:val="aff8"/>
        </w:rPr>
        <w:footnoteReference w:id="98"/>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9"/>
      </w:r>
    </w:p>
    <w:p w:rsidR="005603EC" w:rsidRDefault="00AB61AC">
      <w:pPr>
        <w:pStyle w:val="af"/>
        <w:spacing w:after="0" w:line="360" w:lineRule="auto"/>
        <w:ind w:firstLine="709"/>
        <w:jc w:val="both"/>
      </w:pPr>
      <w:r>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100"/>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1"/>
      </w:r>
      <w:r>
        <w:t>. Keyinchalik bu yondashuv asosida T. Adrian va M. Brunnermeier taklif etgan CoVaR kabi bozor ma’lumotlariga asoslangan tizimli risk ko‘rsatkichlari ishlab chiqildi</w:t>
      </w:r>
      <w:r>
        <w:rPr>
          <w:rStyle w:val="aff8"/>
        </w:rPr>
        <w:footnoteReference w:id="102"/>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3"/>
      </w:r>
      <w: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w:t>
      </w:r>
      <w:r>
        <w:rPr/>
        <w:t xml:space="preserve">cheklanganligini ko‘rsatdi. Ma’lum bo‘ldiki, har bir bank</w:t>
      </w:r>
      <w:r>
        <w:t xml:space="preserve">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r>
      <w:r>
        <w:t xml:space="preserve">davr hisobotlari bo‘yicha baholangan bo‘lsa, Bazel III standartlari va Moliyaviy hisobotning xalqaro standartlari (MHXS) 9 bu yondashuvni tubdan o‘zgartirdi. Xususan, MHXS 9 da zarar yuz bergandan keyin zaxira yaratish o‘rniga kredit berilgan kundanoq </w:t>
      </w:r>
      <w:r>
        <w:rPr/>
        <w:t xml:space="preserve">kutilgan kredit zarar</w:t>
      </w:r>
      <w:r>
        <w:t xml:space="preserve">larini baholab, ular uchun oldindan zaxira shakllantirish talab qilinadi</w:t>
      </w:r>
      <w:r>
        <w:rPr>
          <w:rStyle w:val="aff8"/>
        </w:rPr>
        <w:footnoteReference w:id="104"/>
      </w:r>
      <w:r>
        <w:t xml:space="preserve">. Stress-testlar ham xuddi shu </w:t>
      </w:r>
      <w:r>
        <w:rPr/>
        <w:t xml:space="preserve">mantiqqa asoslanadi, ya’ni ular bankning</w:t>
      </w:r>
      <w:r>
        <w:t xml:space="preserve">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Model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g‘oyasi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ko‘rsatkichi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yaratish va ommaviy mablag‘ talab qilish modeli (Diamond–Dybvig, Diamond–Rajan)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Muddatlar transformatsiyasi bankni ishonch yo‘qolishiga zaif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 aktivlar, barqaror moliyalashtirish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moliyalashtirish alohida blok sifatida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Moliyaviy beqarorlik gipotezasi (Minsky)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barqarorlik riskka moyillikni oshiradi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qarz yuki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Ko‘rsatkichlarning dinamikasi va kredit o‘sishi kuzatiladi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Kapital-bufer va tarkibiy model (Tarullo, Merton)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defoltgacha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zaxirasi regulyativ minimumga nisbatan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Z-score modeli (Roy, Boyd–Graham)</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To‘lovga qobiliyatsizlikkacha bo‘lgan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Kapital/aktivlar, ROA va uning o‘zgaruvchanligi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Buxgalteriya ma’lumotlari asosida integral baho va bashorat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Makroprudensial modellar (Borio, Adrian–Brunnermeier)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vaqt va kesim o‘lchovida to‘planadi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gepi, CoVaR, o‘zaro bog‘liqlik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 baholash uyg‘unlashtiriladi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risk modeli (Bazel III,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Zararlar yuz berishidan oldin baholanadi va qoplanadi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stress-test natijalari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Baholashga prognoz va stress elementlari kiritiladi</w:t>
            </w:r>
          </w:p>
        </w:tc>
      </w:tr>
    </w:tbl>
    <w:p w:rsidR="005603EC" w:rsidRDefault="00AB61AC">
      <w:pPr>
        <w:pStyle w:val="af"/>
        <w:spacing w:after="0" w:line="360" w:lineRule="auto"/>
        <w:ind w:firstLine="709"/>
        <w:jc w:val="both"/>
      </w:pPr>
      <w:r>
        <w:t xml:space="preserve">Jadvaldan ko‘rinib turibdiki, har bir model moliyaviy barqarorlikning muayyan bir tomonini tushuntiradi va shunga mos ravishda baholash metodikasiga o‘z talabini qo‘yadi. Likvidlik modeli likvidlik blokini, kapital-bufer modeli kapital blokini, </w:t>
      </w:r>
      <w:r>
        <w:rPr/>
        <w:t xml:space="preserve">Minsky gipotezasi dinamik tahlilni</w:t>
      </w:r>
      <w:r>
        <w:t xml:space="preserve">,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6"/>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7"/>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8"/>
      </w:r>
      <w:r>
        <w:t>. T.F. Cargill esa banklar orqali bilvosita moliyalashni G. Akerlofning “limonlar” muammosiga bozorning o‘zi topgan yechim sifatida baholaydi</w:t>
      </w:r>
      <w:r>
        <w:rPr>
          <w:rStyle w:val="aff8"/>
        </w:rPr>
        <w:footnoteReference w:id="109"/>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10"/>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1"/>
      </w:r>
      <w:r>
        <w:t xml:space="preserve">. Bu qoida baholash metodikasi uchun </w:t>
      </w:r>
      <w:r>
        <w:rPr/>
        <w:t xml:space="preserve">muhim xulosa beradi. Ya’ni kapital ko‘rsatkichini</w:t>
      </w:r>
      <w:r>
        <w:t xml:space="preserve"> baholashda regulyativ minimumning bajarilishi yetarli emas, bank minimumdan qanchalik yuqori zaxiraga ega ekani ham hisobga olinishi lozim. Nihoyat, bank inqirozining xarajati bankning o‘zi bilan cheklanmaydi</w:t>
      </w:r>
      <w:r>
        <w:rPr/>
        <w:t xml:space="preserve">, u butun tizimga tarqalishi mumkin. Shu sababli</w:t>
      </w:r>
      <w:r>
        <w:t xml:space="preserve"> O.N. Afanasyeva va S.E. Dubova tizimli riskning kesim o‘lchovini, ya’ni konsentratsiya va o‘zaro bog‘liqlikni hamda vaqt o‘lchovini, ya’ni protsiklik va leverejni ajratadi</w:t>
      </w:r>
      <w:r>
        <w:rPr>
          <w:rStyle w:val="aff8"/>
        </w:rPr>
        <w:footnoteReference w:id="112"/>
      </w:r>
      <w:r>
        <w:t xml:space="preserve">. Bu ajratish moliyaviy barqarorlikni alohida bank va bank tizimi darajasida baholash uchun nazariy asos </w:t>
      </w:r>
      <w:r>
        <w:lastRenderedPageBreak/>
      </w:r>
      <w:r>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Nazariy asos</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391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aktivlari sifatini tashqaridan aniqlash qiyin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 shartnomasining zaifligi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Ishonch yo‘qolsa, ommaviy mablag‘ talab qilish yuz berishi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bufer funksiyasi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 ammo uning narxi bor</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 tashqi ta’sir</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Bitta bank inqirozi butun tizimga tarqalishi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4"/>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5"/>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6"/>
      </w:r>
      <w:r>
        <w:t>, A.M. Karminskiyning ekonometrik modellarida esa kapitalning aktivlarga nisbati va kreditlar ulushi bank barqarorligiga optimal oraliq orqali ta’sir qilishi aniqlangan</w:t>
      </w:r>
      <w:r>
        <w:rPr>
          <w:rStyle w:val="aff8"/>
        </w:rPr>
        <w:footnoteReference w:id="117"/>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8"/>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9"/>
      </w:r>
      <w:r>
        <w:t xml:space="preserve">. T.M. Karaliyev va I.F. Sayfiddinov O‘zbekistonda qo‘llanadigan CAMEL tizimida qiyosiy baholash yo‘qligini va aktivlar hamda likvidlik bloklari o‘rtasidagi </w:t>
      </w:r>
      <w:r>
        <w:lastRenderedPageBreak/>
      </w:r>
      <w:r>
        <w:t>ziddiyat hal qilinmaganini qayd etadi</w:t>
      </w:r>
      <w:r>
        <w:rPr>
          <w:rStyle w:val="aff8"/>
        </w:rPr>
        <w:footnoteReference w:id="120"/>
      </w:r>
      <w:r>
        <w:t>. Karminskiy esa reyting sifati kutilgan va haqiqiy natijalarning mos kelishi bilan belgilanishini, ya’ni baholash metodikasining o‘zi ham tarixiy ma’lumotlar asosida tekshirilishi lozimligini ta’kidlaydi</w:t>
      </w:r>
      <w:r>
        <w:rPr>
          <w:rStyle w:val="aff8"/>
        </w:rPr>
        <w:footnoteReference w:id="121"/>
      </w:r>
      <w:r>
        <w:t xml:space="preserve">. Bu tamoyillar ayrim hollarda o‘zaro </w:t>
      </w:r>
      <w:r>
        <w:rPr/>
        <w:t xml:space="preserve">ziddiyatga kirishadi. Masalan, formallashtirish talabi</w:t>
      </w:r>
      <w:r>
        <w:t xml:space="preserve">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2"/>
      </w:r>
      <w:r>
        <w:t>. Lavrushin va Mamonova modellarni maqsadi, yig‘ma bahoni shakllantirish usuli, o‘rganish usuli va shaffofligi bo‘yicha tasniflaydi</w:t>
      </w:r>
      <w:r>
        <w:rPr>
          <w:rStyle w:val="aff8"/>
        </w:rPr>
        <w:footnoteReference w:id="123"/>
      </w:r>
      <w:r>
        <w:t>, M. Modina esa kredit riskini o‘lchash yondashuvlarini bir chekkasida iqtisodiy-statistik, ikkinchi chekkasida ekspert yondashuvi turgan uzluksiz shkala sifatida tasavvur qiladi</w:t>
      </w:r>
      <w:r>
        <w:rPr>
          <w:rStyle w:val="aff8"/>
        </w:rPr>
        <w:footnoteReference w:id="124"/>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Namunalar</w:t>
            </w:r>
          </w:p>
        </w:tc>
        <w:tc>
          <w:tcPr>
            <w:tcW w:w="243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Afzalliklari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Kamchiliklari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Koeffitsiyentli (normativ)</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normativlari, XVJ moliyaviy barqarorlik ko‘rsatkichlari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normativlar bilan bevosita bog‘liq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tarqoq, yagona xulosa yo‘q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Reyting (komponentli)</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CAMELS, Rossiya Bankining 4336-U ko‘rsatmasi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Kompleks, xalqaro e’tirof etilgan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natijalar yopiq, vaznlar asoslanmagan</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Risklarga yo‘naltirilgan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(Buyuk Britaniya), SREP (Yevropa Ittifoqi)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resurslarini riskka qarab taqsimlaydi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Ichki axborot va yuqori malaka talab qiladi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(ekonometrik)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(avval FIMS),</w:t>
            </w:r>
            <w:r>
              <w:rPr>
                <w:rFonts w:ascii="Times New Roman" w:hAnsi="Times New Roman" w:eastAsia="Times New Roman" w:cs="Times New Roman"/>
                <w:sz w:val="24"/>
                <w:szCs w:val="24"/>
              </w:rPr>
              <w:t xml:space="preserve"> logit va probit modellar, Z-score</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Obyektiv, bashorat kuchi o‘lchanadi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tarix va bankrotlik holatlari talab qilinadi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indikatorlariga asoslangan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Kredit-defolt svoplari spredlari, aksiya narxlari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tezkor</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6"/>
      </w:r>
      <w:r>
        <w:t xml:space="preserve">. Koeffitsiyentli yondashuv normativlar bilan bog‘liq bo‘lsa-da, ko‘rsatkichlarni yagona bahoga keltirmaydi</w:t>
      </w:r>
      <w:r>
        <w:rPr/>
        <w:t xml:space="preserve">. M</w:t>
      </w:r>
      <w:r>
        <w:t xml:space="preserve">asalan, B.T. Berdiyarov Xalqaro valyuta jamg‘armasining 24 ta ko‘rsatkichi asosida milliy baholash tizimini shakllantirishni taklif etgan, ammo ular integral bahoga birlashtirilmagan</w:t>
      </w:r>
      <w:r>
        <w:rPr>
          <w:rStyle w:val="aff8"/>
        </w:rPr>
        <w:footnoteReference w:id="127"/>
      </w:r>
      <w:r>
        <w:t>. Statistik yondashuvning eng sodda va samarali vositasi bo‘lgan Z-score ko‘rsatkichi distressga uchragan banklarning 75 foizini to‘g‘ri aniqlaydi</w:t>
      </w:r>
      <w:r>
        <w:rPr>
          <w:rStyle w:val="aff8"/>
        </w:rPr>
        <w:footnoteReference w:id="128"/>
      </w:r>
      <w:r>
        <w:t>, biroq u uzoq tarixiy ma’lumotlarni talab qiladi, Karminskiy esa defoltlar ulushi taxminan 1 foiz bo‘lganda tanlanmada nomutanosiblik yuzaga kelishini ko‘rsatadi</w:t>
      </w:r>
      <w:r>
        <w:rPr>
          <w:rStyle w:val="aff8"/>
        </w:rPr>
        <w:footnoteReference w:id="129"/>
      </w:r>
      <w:r>
        <w:t>. Bozor indikatorlari faqat aksiyalari birjada savdo qilinadigan banklar uchun qo‘llanishi mumkinligi</w:t>
      </w:r>
      <w:r>
        <w:rPr>
          <w:rStyle w:val="aff8"/>
        </w:rPr>
        <w:footnoteReference w:id="130"/>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 xml:space="preserve">Integral baholashning eng munozarali masalasi ko‘rsatkichlarga vazn berishdir. Lavrushin va Mamonova vazn koeffitsiyentlarini belgilash eng </w:t>
      </w:r>
      <w:r>
        <w:rPr/>
        <w:t xml:space="preserve">subyekt</w:t>
      </w:r>
      <w:r>
        <w:t xml:space="preserve">iv masalalardan biri ekanini, ammo hozircha boshqa usul topilmaganini tan oladi</w:t>
      </w:r>
      <w:r>
        <w:rPr>
          <w:rStyle w:val="aff8"/>
        </w:rPr>
        <w:footnoteReference w:id="131"/>
      </w:r>
      <w:r>
        <w:t>, Lavrushin tahriridagi monografiyada esa Rossiyadagi to‘qqizta reyting metodikasida vaznlar ko‘pincha ekspert yo‘li bilan aniqlanishi yoki umuman tushuntirilmasligi ko‘rsatilgan</w:t>
      </w:r>
      <w:r>
        <w:rPr>
          <w:rStyle w:val="aff8"/>
        </w:rPr>
        <w:footnoteReference w:id="132"/>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3"/>
      </w:r>
      <w:r>
        <w:t>, L. Izzi, G. Oricchio va L. Vitale esa vaznlarni regressiya koeffitsiyentlaridan hisoblab, rivojlanayotgan mamlakatlar banklari uchun miqdoriy modulga 80 foiz, sifat moduliga 20 foiz vazn beradi</w:t>
      </w:r>
      <w:r>
        <w:rPr>
          <w:rStyle w:val="aff8"/>
        </w:rPr>
        <w:footnoteReference w:id="134"/>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5"/>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6"/>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7"/>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8"/>
      </w:r>
      <w:r>
        <w:t>. Xususan, Yaponiya banklarida kechiktirilgan soliq aktivlari kapitalning 15–40 foizini tashkil etgan va ular chiqarib tashlansa, tuzatilgan birinchi darajali kapital taxminan 2 foizgacha tushgan</w:t>
      </w:r>
      <w:r>
        <w:rPr>
          <w:rStyle w:val="aff8"/>
        </w:rPr>
        <w:footnoteReference w:id="139"/>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40"/>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1"/>
      </w:r>
      <w:r>
        <w:t>, Modina esa yangi kelishuvning ikki maqsadini – alohida banklarning stressga chidamliligini oshirish va protsiklikni cheklashni ajratadi</w:t>
      </w:r>
      <w:r>
        <w:rPr>
          <w:rStyle w:val="aff8"/>
        </w:rPr>
        <w:footnoteReference w:id="142"/>
      </w:r>
      <w:r>
        <w:t xml:space="preserve">. Bazel III kapital talablarini ham miqdor, ham sifat </w:t>
      </w:r>
      <w:r>
        <w:rPr/>
        <w:t xml:space="preserve">jihatidan kuchaytirdi. Jumladan, birinchi darajali</w:t>
      </w:r>
      <w:r>
        <w:rPr/>
        <w:t xml:space="preserve"> asosiy kapital talabi 2 foizdan 4,5 foizga</w:t>
      </w:r>
      <w:r>
        <w:t xml:space="preserve">, birinchi darajali kapital talabi 4 foizdan 6 foizga oshirildi, bunga qo‘shimcha ravishda </w:t>
      </w:r>
      <w:r>
        <w:rPr/>
        <w:t xml:space="preserve">2,5 foizlik kapitalni saqlash (konservatsiya) buferi va 0–2,5 foizlik</w:t>
      </w:r>
      <w:r>
        <w:t xml:space="preserve"> kontrsiklik bufer joriy etildi</w:t>
      </w:r>
      <w:r>
        <w:rPr>
          <w:rStyle w:val="aff8"/>
        </w:rPr>
        <w:footnoteReference w:id="143"/>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4"/>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r>
      <w:r>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5"/>
      </w:r>
      <w:r>
        <w:t xml:space="preserve">. Konservatsiya buferining o‘ziga xos jihati shundaki, u to‘g‘ridan-to‘g‘ri majburiy minimum emas, balki bank xatti-harakatini cheklovchi </w:t>
      </w:r>
      <w:r>
        <w:rPr/>
        <w:t xml:space="preserve">mexanizm hisoblanadi. Xususan, asosiy kapital</w:t>
      </w:r>
      <w:r>
        <w:t xml:space="preserve"> buferni hisobga olgan holda 7 foizdan past bo‘lsa, bank foydaning bir qismini dividend sifatida taqsimlay olmaydi</w:t>
      </w:r>
      <w:r>
        <w:rPr>
          <w:rStyle w:val="aff8"/>
        </w:rPr>
        <w:footnoteReference w:id="146"/>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7"/>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 xml:space="preserve">mumkinligini ko‘rsatadi. Kontrsiklik bufer esa makroprudensial vosita sifatida kredit/YaIM nisbatining uzoq muddatli trenddan </w:t>
      </w:r>
      <w:r>
        <w:rPr/>
        <w:t xml:space="preserve">og‘ishiga bog‘lanadi. Bunda og‘ish 2 foiz punktdan</w:t>
      </w:r>
      <w:r>
        <w:t xml:space="preserve"> past bo‘lsa bufer nolga teng, 10 foiz punktdan yuqori bo‘lsa 2,5 foizga teng bo‘ladi, Afanasyeva va Dubova esa kredit/YaIM nisbatining yiliga 2–3 foizga oshishi ortiqcha kreditlash xavfidan dalolat berishini ta’kidlaydi</w:t>
      </w:r>
      <w:r>
        <w:rPr>
          <w:rStyle w:val="aff8"/>
        </w:rPr>
        <w:footnoteReference w:id="148"/>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9"/>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50"/>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1"/>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Moddalar</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Koeffitsiyent, %</w:t>
            </w:r>
          </w:p>
        </w:tc>
        <w:tc>
          <w:tcPr>
            <w:tcW w:w="334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yuqori sifatli likvid aktivlar</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naqd pul, markaziy bankdagi zaxiralar, nol risk vaznli davlat qimmatli qog‘ozlari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Cheklovsiz, diskontsiz</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2A-daraja: 20 foiz risk vaznli qimmatli qog‘ozlar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40 foizidan oshmaydi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2B-daraja: korporativ obligatsiyalar, aksiyalar va boshqalar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pul chiqimi koeffitsiyentlari</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Sug‘urtalangan, operatsion bog‘liq</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va undan yuqori</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Sug‘urtalanmagan qismi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institutlarining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mavjud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muddati bir yildan ortiq majburiyatlar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bir yilgacha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talab qilinadigan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likvid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0–5</w:t>
            </w:r>
          </w:p>
        </w:tc>
        <w:tc>
          <w:tcPr>
            <w:tcW w:w="3345" w:type="dxa"/>
          </w:tcPr>
          <w:p w:rsidR="005603EC" w:rsidRDefault="005603E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muddatli chakana va kichik biznes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vazni 35 foizgacha bo‘lgan ipoteka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Boshqa ishlaydigan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w:t>
      </w:r>
      <w:r>
        <w:rPr/>
        <w:t xml:space="preserve">keng tabaqalashtiradi. Bunda, ayniqsa, moliya</w:t>
      </w:r>
      <w:r>
        <w:t xml:space="preserve">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3"/>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4"/>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5"/>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6"/>
      </w:r>
      <w:r>
        <w:t>. N.E. Sokolinskaya bu o‘zgarishni yuzaga kelgan zararlarga asoslangan yondashuv o‘rniga prognoz yondashuvining kiritilishi deb tavsiflaydi</w:t>
      </w:r>
      <w:r>
        <w:rPr>
          <w:rStyle w:val="aff8"/>
        </w:rPr>
        <w:footnoteReference w:id="157"/>
      </w:r>
      <w:r>
        <w:t>. Standartga ko‘ra, moliyaviy aktivlar kredit sifatining o‘zgarishiga qarab uch bosqichga ajratiladi</w:t>
      </w:r>
      <w:r>
        <w:rPr>
          <w:rStyle w:val="aff8"/>
        </w:rPr>
        <w:footnoteReference w:id="158"/>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 oshgan aktivlar (30 kundan ortiq kechikish)</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qadrsizlangan aktivlar (90 kundan ortiq kechikish – defolt)</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 oshgan aktivlar (30 kundan ortiq kechikish)</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qadrsizlangan aktivlar (90 kundan ortiq kechikish – defolt)</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9"/>
      </w:r>
    </w:p>
    <w:p w:rsidR="005603EC" w:rsidRDefault="00AB61AC">
      <w:pPr>
        <w:pStyle w:val="af"/>
        <w:spacing w:after="0" w:line="360" w:lineRule="auto"/>
        <w:ind w:firstLine="709"/>
        <w:jc w:val="both"/>
      </w:pPr>
      <w:r>
        <w:t xml:space="preserve">Rasmdan ko‘rinib turibdiki, </w:t>
      </w:r>
      <w:r>
        <w:rPr/>
        <w:t xml:space="preserve">MHXS 9 kutilgan kredit zararlarini muammo yuzaga kelgandan keyin emas, balki aktiv tan olingan kundan boshlab (1-bosqichda 12 oylik) aks ettiradi, kredit riski sezilarli oshgan paytdan, ya’ni 2-bosqichdan boshlab esa butun muddat uchun zaxira talab qiladi.</w:t>
      </w:r>
      <w:r>
        <w:t xml:space="preserve"> Bu xususiyat moliyaviy barqarorlikni baholash uchun ikki jihatdan muhim. Birinchidan, u aktivlar sifati ko‘rsatkichlarini, xususan, zaxiralar bilan qoplanish darajasini ishonchliroq qiladi</w:t>
      </w:r>
      <w:r>
        <w:rPr/>
        <w:t xml:space="preserve">. Masalan, </w:t>
      </w:r>
      <w:r>
        <w:rPr/>
        <w:t xml:space="preserve">N.E. Sokolinskaya hisob-kitobiga ko‘ra, MHXS 9 ga o‘tishda garovdan olingan aktivlar defolt deb hisoblansa, bitta Rossiya banki misolida zaxiralar kredit portfelining 19,1 foiziga yetib, deyarli ikki barobar oshadi.</w:t>
      </w:r>
      <w:r>
        <w:rPr>
          <w:rStyle w:val="aff8"/>
        </w:rPr>
        <w:footnoteReference w:id="160"/>
      </w:r>
      <w:r>
        <w:t xml:space="preserve"> Ikkinchidan, milliy hisobot va MHXS bo‘yicha hisoblangan ko‘rsatkichlar farqi bankning haqiqiy holatini aniqlashda qo‘shimcha axborot manbai bo‘ladi</w:t>
      </w:r>
      <w:r>
        <w:rPr/>
        <w:t xml:space="preserve">. Jumladan, N.E. Sokolinskaya</w:t>
      </w:r>
      <w:r>
        <w:t xml:space="preserve"> keltirgan misolda bitta bank 2015-yilda milliy hisobotda 63,7 mlrd rubl zarar, MHXS bo‘yicha esa 4,35 mlrd rubl foyda ko‘rsatgan</w:t>
      </w:r>
      <w:r>
        <w:rPr>
          <w:rStyle w:val="aff8"/>
        </w:rPr>
        <w:footnoteReference w:id="161"/>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r>
      <w:r>
        <w:t>javob bermasligi ko‘rsatilgan</w:t>
      </w:r>
      <w:r>
        <w:rPr>
          <w:rStyle w:val="aff8"/>
        </w:rPr>
        <w:footnoteReference w:id="162"/>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3"/>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4"/>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5"/>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Mezon</w:t>
            </w:r>
          </w:p>
        </w:tc>
        <w:tc>
          <w:tcPr>
            <w:tcW w:w="153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maqsad</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prudensial talablar</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zararlarini to‘g‘ri aks ettirish</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Sektor barqarorligini kuzatish</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Investorlarga axborot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darajasi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va tizim</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sektori</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Qamraydigan bloklar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leverej, likvidlik</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64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daromad, likvidlik, bozor riski</w:t>
            </w:r>
          </w:p>
        </w:tc>
        <w:tc>
          <w:tcPr>
            <w:tcW w:w="158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boshqaruv, daromad, likvidlik, bozor riski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Biznes va moliyaviy profil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Mezoniy qiymatlar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(minimumlar)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 (tamoyillar)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(ballar)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Ichki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Yagona integral baho</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(1–5)</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(reyting)</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Natijaning oshkoraligi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Normativlar ochiq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cheklovi</w:t>
            </w:r>
          </w:p>
        </w:tc>
        <w:tc>
          <w:tcPr>
            <w:tcW w:w="153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va daromadlilikni qamramaydi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Faqat kredit zararlari (qadrsizlanish); o‘zi baholash tizimi emas</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baho 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Hamma banklarni qamramaydi</w:t>
            </w:r>
          </w:p>
        </w:tc>
      </w:tr>
    </w:tbl>
    <w:p w:rsidR="005603EC" w:rsidRDefault="00AB61AC">
      <w:pPr>
        <w:pStyle w:val="af"/>
        <w:spacing w:after="0" w:line="360" w:lineRule="auto"/>
        <w:ind w:firstLine="709"/>
        <w:jc w:val="both"/>
      </w:pPr>
      <w: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w:t>
      </w:r>
      <w:r>
        <w:rPr/>
        <w:t xml:space="preserve">subyekt</w:t>
      </w:r>
      <w:r>
        <w:t xml:space="preserve">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7"/>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 blok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Kapital yetarliligi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Aktivlar sifati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Daromadlilik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Likvidlik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Bozor (valyuta)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CET1 ≥ 4,5%, jami ≥ 8% (+2,5% bufer), leverej ≥ 3%</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LCR ≥ 100%, NSFR ≥ 100%</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bozor riski uchun kapital talabi</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zarar zaxiralari orqali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kredit zararlari, 3 bosqichli tasnif</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zaxira xarajatlari orqali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regulyativ kapital / RWA</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muammoli kreditlar / jami kreditlar</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ROA, ROE</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likvid aktivlar / jami aktivlar</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sof ochiq valyuta pozitsiyasi / kapital</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 – kapital</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 –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E – daromadlilik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 – likvidlik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 – bozor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kapitallashuv</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daromadlilik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moliyalashtirish va likvidlik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xorijiy valyutadagi likvidlik</w:t>
            </w:r>
          </w:p>
        </w:tc>
      </w:tr>
      <w:tr>
        <w:tc>
          <w:tcPr>
            <w:tcW w:type="dxa" w:w="1700"/>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bahoga hissasi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 bo‘yicha baholash</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va CAMELS ko‘rsatkichlari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9"/>
      </w:r>
      <w:r>
        <w:t>.</w:t>
      </w:r>
      <w:r>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70"/>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1"/>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Tizim (joriy etilgan yili)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Turi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xususiyatlari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CAMEL (1978–1979)</w:t>
            </w:r>
            <w:r>
              <w:rPr>
                <w:rFonts w:ascii="Times New Roman" w:hAnsi="Times New Roman" w:eastAsia="Times New Roman" w:cs="Times New Roman"/>
                <w:sz w:val="24"/>
                <w:szCs w:val="24"/>
              </w:rPr>
              <w:t xml:space="preserve">, CAMELS (1997)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(1993, avval FIMS), SCOR (1995)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Buyuk Britaniya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(1998–2013)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BAKIS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Koeffitsiyentlar va guruhlab tahlil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47 ko‘rsatkich, teng vaznlar; guruh o‘rtachasi bilan taqqoslash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Fransiya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ORAP (1997), SAABA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Reyting va statistik-ekspert model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Italiya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PATROL (1993)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Niderlandiya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RAST (1999)</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t xml:space="preserve">. Masalan,</w:t>
      </w:r>
      <w:r>
        <w:t xml:space="preserve"> 1929–1933-yillarda taxminan 10 ming bank, 2009-yilning o‘zida esa 140 bank inqirozga uchragan</w:t>
      </w:r>
      <w:r>
        <w:rPr>
          <w:rStyle w:val="aff8"/>
        </w:rPr>
        <w:footnoteReference w:id="173"/>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4"/>
      </w:r>
      <w:r>
        <w:t xml:space="preserve">. Har bir komponent 1 (eng yaxshi) dan 5 (eng yomon) gacha baholanadi. Ta’kidlash lozimki, </w:t>
      </w:r>
      <w:r>
        <w:lastRenderedPageBreak/>
      </w:r>
      <w:r>
        <w:t xml:space="preserve">T.F. Cargill fikricha, yig‘ma ball komponentlarning oddiy o‘rtachasi emas, balki tekshiruv guruhining umumiy bahosidir</w:t>
      </w:r>
      <w:r>
        <w:rPr/>
        <w:t xml:space="preserve">. Bunda</w:t>
      </w:r>
      <w:r>
        <w:t xml:space="preserve"> 3, 4 yoki 5 ball olgan bank “muammoli banklar” ro‘yxatiga kiritiladi, ballarning o‘zi esa omonatchilar orasida vahima chiqarmaslik uchun oshkor qilinmaydi</w:t>
      </w:r>
      <w:r>
        <w:rPr>
          <w:rStyle w:val="aff8"/>
        </w:rPr>
        <w:footnoteReference w:id="175"/>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6"/>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7"/>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8"/>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9"/>
      </w:r>
      <w:r>
        <w:t xml:space="preserve">. </w:t>
      </w:r>
      <w:r>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80"/>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1"/>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2"/>
      </w:r>
      <w:r>
        <w:rPr/>
        <w:t xml:space="preserve">. Rasm ma’lumotlari shuni ko‘rsatadiki, modellarni baholashda foydalanilmagan keyingi davrda eng yaxshi natijani tasodifiy o‘rmon </w:t>
      </w:r>
      <w:r>
        <w:rPr/>
        <w:t xml:space="preserve">usuli bergan. Xususan, u zaif banklarning</w:t>
      </w:r>
      <w:r>
        <w:rPr/>
        <w:t xml:space="preserve">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3"/>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4"/>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w:t>
      </w:r>
      <w:r>
        <w:rPr/>
        <w:t xml:space="preserve">ta’rifini yumshatdi, ya’ni endi bitta</w:t>
      </w:r>
      <w:r>
        <w:t xml:space="preserve"> komponent bo‘yicha qoniqarsiz baho bankni bu toifadan chiqarib yubormaydi</w:t>
      </w:r>
      <w:r>
        <w:rPr>
          <w:rStyle w:val="aff8"/>
        </w:rPr>
        <w:footnoteReference w:id="185"/>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6"/>
      </w:r>
      <w:r>
        <w:t>.</w:t>
      </w:r>
      <w:r>
        <w:rPr/>
        <w:t xml:space="preserve"> Federal rezerv tizimining nazorat bo‘yicha rais </w:t>
      </w:r>
      <w:r>
        <w:rPr/>
        <w:lastRenderedPageBreak/>
      </w:r>
      <w:r>
        <w:rPr/>
        <w:t>o‘rinbosari M. Bowman bu o‘zgarishni nazoratning shaffoflik, miqdoriy omillar va bashorat qilinuvchanlik tomon qat’iy burilishi deb baholagan, taklif bo‘yicha fikrlar esa 2026-yil 17-avgustgacha qabul qilinadi</w:t>
      </w:r>
      <w:r>
        <w:rPr>
          <w:rStyle w:val="aff8"/>
        </w:rPr>
        <w:footnoteReference w:id="187"/>
      </w:r>
      <w:r>
        <w:rPr/>
        <w:t>.</w:t>
      </w:r>
      <w:r>
        <w:t xml:space="preserve"> </w:t>
      </w:r>
      <w:r>
        <w:rPr/>
        <w:t xml:space="preserve">Stress-testlar ham isloh qilindi. Jumladan, 2026-yil</w:t>
      </w:r>
      <w:r>
        <w:t xml:space="preserve"> sentabrida qabul qilingan qoidalarga ko‘ra, ssenariylar va modellar har yili jamoatchilik muhokamasiga qo‘yiladi, stress-test asosidagi kapital buferi esa ikki yillik natijalarning o‘rtachasi bo‘yicha belgilanadi</w:t>
      </w:r>
      <w:r>
        <w:rPr>
          <w:rStyle w:val="aff8"/>
        </w:rPr>
        <w:footnoteReference w:id="188"/>
      </w:r>
      <w:r>
        <w:t xml:space="preserve">. Nihoyat, 2026-yil martida Bazel III ning yakuniy standartlarini joriy etish bo‘yicha qayta ishlangan takliflar e’lon qilindi</w:t>
      </w:r>
      <w:r>
        <w:rPr/>
        <w:t xml:space="preserve">. Bu taklif</w:t>
      </w:r>
      <w:r>
        <w:t xml:space="preserve">lar faqat eng yirik banklarga tatbiq etilishi va umumiy kapital talablarini biroz pasaytirishi kutilmoqda</w:t>
      </w:r>
      <w:r>
        <w:rPr>
          <w:rStyle w:val="aff8"/>
        </w:rPr>
        <w:footnoteReference w:id="189"/>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w:t>
      </w:r>
      <w:r>
        <w:rPr/>
        <w:t xml:space="preserve">talablarga zid keladi, chunki tavakkalchilik</w:t>
      </w:r>
      <w:r>
        <w:t xml:space="preserve"> bilan kreditlash CRA reytingini yaxshilaydi, ammo CAMELS reytingini yomonlashtiradi</w:t>
      </w:r>
      <w:r>
        <w:rPr/>
        <w:t xml:space="preserve">. Muallif ma’lumotiga ko‘ra,</w:t>
      </w:r>
      <w:r>
        <w:t xml:space="preserve"> 1993–2007-yillarda 3,5 trln dollardan ortiq CRA kreditlari berilgan</w:t>
      </w:r>
      <w:r>
        <w:rPr>
          <w:rStyle w:val="aff8"/>
        </w:rPr>
        <w:footnoteReference w:id="190"/>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1"/>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2"/>
      </w:r>
      <w:r>
        <w:rPr>
          <w:rStyle w:val="aff8"/>
        </w:rPr>
        <w:footnoteReference w:id="193"/>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4"/>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5"/>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6"/>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w:t>
      </w:r>
      <w:r>
        <w:rPr/>
        <w:t xml:space="preserve">o‘z ichiga oladi. Ulardan 19 tasi</w:t>
      </w:r>
      <w:r>
        <w:lastRenderedPageBreak/>
      </w:r>
      <w:r>
        <w:t xml:space="preserve"> kredit riski, 16 tasi bozor riski, 2 tasi likvidlik, 10 tasi rentabellik bilan bog‘liq. Barcha ko‘rsatkichlar teng vaznda olinadi va bank ko‘rsatkichlari o‘xshash banklar guruhining o‘rtachasi bilan taqqoslanadi</w:t>
      </w:r>
      <w:r>
        <w:rPr>
          <w:rStyle w:val="aff8"/>
        </w:rPr>
        <w:footnoteReference w:id="197"/>
      </w:r>
      <w:r>
        <w:t xml:space="preserve">. Teng vaznlar baholovchining </w:t>
      </w:r>
      <w:r>
        <w:rPr/>
        <w:t xml:space="preserve">subyekt</w:t>
      </w:r>
      <w:r>
        <w:t xml:space="preserve">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8"/>
      </w:r>
      <w:r>
        <w:t>. Italiyada esa 1993-yildan PATROL tizimi masofaviy nazorat va reyting baholash uchun ishlatiladi</w:t>
      </w:r>
      <w:r>
        <w:rPr>
          <w:rStyle w:val="aff8"/>
        </w:rPr>
        <w:footnoteReference w:id="199"/>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200"/>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t xml:space="preserve">, Yevropa bank boshqarmasi esa</w:t>
      </w:r>
      <w:r>
        <w:t xml:space="preserve"> yagona qoidalar va ma’lumotlar bazasini ta’minlaydi</w:t>
      </w:r>
      <w:r>
        <w:rPr>
          <w:rStyle w:val="aff8"/>
        </w:rPr>
        <w:footnoteReference w:id="201"/>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2"/>
      </w:r>
      <w:r>
        <w:t xml:space="preserve">. Iqtisodiy tanazzul davrida ular o‘rtasidagi </w:t>
      </w:r>
      <w:r>
        <w:rPr/>
        <w:t xml:space="preserve">ziddiyat kuchayadi, chunki makroprudensial siyosat</w:t>
      </w:r>
      <w:r>
        <w:t xml:space="preserve">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3"/>
      </w:r>
      <w:r>
        <w:t>. Bu banklar har bir milliy bank sektori aktivlarining kamida 50 foizini qamrab oladi</w:t>
      </w:r>
      <w:r>
        <w:rPr>
          <w:rStyle w:val="aff8"/>
        </w:rPr>
        <w:footnoteReference w:id="204"/>
      </w:r>
      <w:r>
        <w:t>. Indikatorlar to‘rt blokka – kapital yetarliligi, aktivlar sifati, rentabellik va balans tuzilmasiga ajratilgan bo‘lib, ular asosida 11 ta risk omilini aks ettiruvchi “risklar paneli” shakllantiriladi</w:t>
      </w:r>
      <w:r>
        <w:rPr>
          <w:rStyle w:val="aff8"/>
        </w:rPr>
        <w:footnoteReference w:id="205"/>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6"/>
      </w:r>
      <w:r>
        <w:t xml:space="preserve">. </w:t>
      </w:r>
      <w:r>
        <w:rPr/>
        <w:t xml:space="preserve">E. Gualandri va M. Noera</w:t>
      </w:r>
      <w:r>
        <w:t xml:space="preserve"> eng maqbul yondashuv sifatida qat’iy bazaviy qoidani va unga qo‘shiladigan, vaziyatga qarab o‘zgartiriladigan diskretsion vositalarni ko‘rsatadi</w:t>
      </w:r>
      <w:r>
        <w:rPr>
          <w:rStyle w:val="aff8"/>
        </w:rPr>
        <w:footnoteReference w:id="207"/>
      </w:r>
      <w:r>
        <w:t>.</w:t>
      </w:r>
    </w:p>
    <w:p w:rsidR="005603EC" w:rsidRDefault="00AB61AC">
      <w:pPr>
        <w:pStyle w:val="af"/>
        <w:spacing w:after="0" w:line="360" w:lineRule="auto"/>
        <w:ind w:firstLine="709"/>
        <w:jc w:val="both"/>
      </w:pPr>
      <w:r>
        <w:t xml:space="preserve">Yevropa Ittifoqida Bazel III ning yakuniy standartlarini joriy etish ham so‘nggi yillarda nihoyasiga yetmoqda. 2025-yil 1-yanvardan kapital talablari bo‘yicha yangi reglament (CRR3) amalga kirdi</w:t>
      </w:r>
      <w:r>
        <w:rPr/>
        <w:t xml:space="preserve">. U</w:t>
      </w:r>
      <w:r>
        <w:t xml:space="preserve">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8"/>
      </w:r>
      <w:r>
        <w:t>. Buyuk Britaniyada bu standartlar 2027-yil 1-yanvardan kuchga kiradi</w:t>
      </w:r>
      <w:r>
        <w:rPr>
          <w:rStyle w:val="aff8"/>
        </w:rPr>
        <w:footnoteReference w:id="209"/>
      </w:r>
      <w:r>
        <w:t xml:space="preserve">. Nazorat stress-testlari ham </w:t>
      </w:r>
      <w:r>
        <w:rPr/>
        <w:t xml:space="preserve">muntazam davom etmoqda. Masalan, Yevropa bank</w:t>
      </w:r>
      <w:r>
        <w:t xml:space="preserve">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10"/>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Yil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Hujjat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15-3-3/668-son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 ga asoslangan, 4 parametr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Asoslangan mulohaza tamoyili joriy etildi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2004</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1379-U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2008</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2005-U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guruh; 12 oylik prognoz; strategik risk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qisqa muddatli likvidlik normativi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7302-U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 xml:space="preserve">Jadvaldan ko‘rinib turibdiki, Rossiya tizimi dastlab AQShning CAMEL tizimidan andoza olib, keyinchalik uni o‘z ehtiyojlariga moslashtirgan. Ayniqsa, 2004-yildagi 1379-U ko‘rsatma </w:t>
      </w:r>
      <w:r>
        <w:rPr/>
        <w:t xml:space="preserve">burilish nuqtasi bo‘ldi, chunki omonatlarni</w:t>
      </w:r>
      <w:r>
        <w:t xml:space="preserve"> sug‘urtalash tizimiga qabul qilish uchun banklarni ochiq mezonlar asosida saralash zarurati ballik shkala, vaznlar va yig‘ma ballning paydo bo‘lishiga olib keldi. 1997-yilgi baholash natijalari esa o‘sha davrdagi vaziyat qanchalik og‘ir </w:t>
      </w:r>
      <w:r>
        <w:rPr/>
        <w:t xml:space="preserve">bo‘lganini ko‘rsatadi. O‘shanda banklarning 40</w:t>
      </w:r>
      <w:r>
        <w:t xml:space="preserve"> foizdan ortig‘i muammoli deb topilgan.</w:t>
      </w:r>
    </w:p>
    <w:p w:rsidR="005603EC" w:rsidRDefault="00AB61AC">
      <w:pPr>
        <w:pStyle w:val="af"/>
        <w:spacing w:after="0" w:line="360" w:lineRule="auto"/>
        <w:ind w:firstLine="709"/>
        <w:jc w:val="both"/>
      </w:pPr>
      <w:r>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2"/>
      </w:r>
      <w: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w:t>
      </w:r>
      <w:r>
        <w:rPr/>
        <w:t xml:space="preserve">subyekt</w:t>
      </w:r>
      <w:r>
        <w:t xml:space="preserve">ivlikni ko‘rsatadi</w:t>
      </w:r>
      <w:r>
        <w:rPr>
          <w:rStyle w:val="aff8"/>
        </w:rPr>
        <w:footnoteReference w:id="213"/>
      </w:r>
      <w:r>
        <w:t>. Bundan tashqari, komponentlar bir-biri bilan bog‘lanmagan holda baholanadi, holbuki amalda kapital, likvidlik va aktivlar sifati o‘zaro chambarchas bog‘liq</w:t>
      </w:r>
      <w:r>
        <w:rPr>
          <w:rStyle w:val="aff8"/>
        </w:rPr>
        <w:footnoteReference w:id="214"/>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5"/>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6"/>
      </w:r>
    </w:p>
    <w:p w:rsidR="005603EC" w:rsidRDefault="00AB61AC">
      <w:pPr>
        <w:pStyle w:val="af"/>
        <w:spacing w:after="0" w:line="360" w:lineRule="auto"/>
        <w:ind w:firstLine="709"/>
        <w:jc w:val="both"/>
      </w:pPr>
      <w: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w:t>
      </w:r>
      <w:r>
        <w:rPr/>
        <w:t xml:space="preserve">. Bundan tashqari,</w:t>
      </w:r>
      <w:r>
        <w:t xml:space="preserve"> yuqori sifatli likvid aktivlarning 19 toifasidan mahalliy bozorda faqat 4 tasi mavjud edi</w:t>
      </w:r>
      <w:r>
        <w:rPr>
          <w:rStyle w:val="aff8"/>
        </w:rPr>
        <w:footnoteReference w:id="217"/>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w:t>
      </w:r>
      <w:r>
        <w:rPr/>
        <w:t xml:space="preserve">1-martdan boshlandi. Bunda normativning</w:t>
      </w:r>
      <w:r>
        <w:t xml:space="preserve">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w:t>
      </w:r>
      <w:r>
        <w:rPr/>
        <w:t xml:space="preserve">. Biroq</w:t>
      </w:r>
      <w:r>
        <w:rPr/>
        <w:t xml:space="preserve"> 2024-yil dekabrida jadval o‘zgartirilib, 60 foizlik bosqich yarim yilga surildi</w:t>
      </w:r>
      <w:r>
        <w:rPr>
          <w:rStyle w:val="aff8"/>
        </w:rPr>
        <w:footnoteReference w:id="218"/>
      </w:r>
      <w:r>
        <w:rPr/>
        <w:t xml:space="preserve">.</w:t>
      </w:r>
      <w:r>
        <w:rPr>
          <w:rStyle w:val="aff8"/>
        </w:rPr>
        <w:footnoteReference w:id="219"/>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w:t>
      </w:r>
      <w:r>
        <w:rPr/>
        <w:t xml:space="preserve">. U</w:t>
      </w:r>
      <w:r>
        <w:t xml:space="preserve">ning minimal darajasi 2025-yilda 80 foiz, 2026-yil 1-yanvardan 100 foiz etib belgilandi</w:t>
      </w:r>
      <w:r>
        <w:rPr>
          <w:rStyle w:val="aff8"/>
        </w:rPr>
        <w:footnoteReference w:id="220"/>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1"/>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2"/>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3"/>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4"/>
      </w:r>
      <w:r>
        <w:t xml:space="preserve">. Bu arxitektura AQSh Federal rezerv tizimi nazorat stress-testlarining mantig‘iga ancha yaqin (1.3.6-rasm). So‘nggi yillarda makroprudensial vositalar ham </w:t>
      </w:r>
      <w:r>
        <w:rPr/>
        <w:t xml:space="preserve">faol qo‘llanmoqda. Xususan, Rossiya banki</w:t>
      </w:r>
      <w:r>
        <w:t xml:space="preserve"> 2024-yil noyabrida birinchi marta kontrsiklik buferning musbat darajasini belgilab, uni 2025-yil 1-fevraldan 0,25 foiz, 1-iyuldan 0,5 foiz qilib o‘rnatdi</w:t>
      </w:r>
      <w:r>
        <w:rPr>
          <w:rStyle w:val="aff8"/>
        </w:rPr>
        <w:footnoteReference w:id="225"/>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6"/>
      </w:r>
    </w:p>
    <w:p w:rsidR="005603EC" w:rsidRDefault="00AB61AC">
      <w:pPr>
        <w:pStyle w:val="af"/>
        <w:spacing w:after="0" w:line="360" w:lineRule="auto"/>
        <w:ind w:firstLine="709"/>
        <w:jc w:val="both"/>
      </w:pPr>
      <w:r>
        <w:lastRenderedPageBreak/>
      </w:r>
      <w:r>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7"/>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8"/>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9"/>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t xml:space="preserve">edi va 2011-yil iyunidan boshlab bu ko‘rsatkich har kuni monitoring qilingan</w:t>
      </w:r>
      <w:r>
        <w:rPr/>
        <w:t xml:space="preserve">. I</w:t>
      </w:r>
      <w:r>
        <w:t xml:space="preserve">nqirozdan keyin esa kutilgan zararlar bo‘yicha 2,5 foizlik zaxira normativi joriy etilgan</w:t>
      </w:r>
      <w:r>
        <w:rPr>
          <w:rStyle w:val="aff8"/>
        </w:rPr>
        <w:footnoteReference w:id="230"/>
      </w:r>
      <w:r>
        <w:t>. Keyinchalik, 2015-yilda kreditlarning depozitlarga nisbati bo‘yicha qat’iy cheklov qonundan chiqarilib, monitoring ko‘rsatkichiga aylantirildi</w:t>
      </w:r>
      <w:r>
        <w:rPr>
          <w:rStyle w:val="aff8"/>
        </w:rPr>
        <w:footnoteReference w:id="231"/>
      </w:r>
      <w:r>
        <w:t>. Tizimli ahamiyatli banklarga yuqori kapital talablari qo‘yilgan: asosiy kapital 8,5 foiz, birinchi darajali kapital 9,5 foiz, jami kapital 11,5 foiz</w:t>
      </w:r>
      <w:r>
        <w:rPr>
          <w:rStyle w:val="aff8"/>
        </w:rPr>
        <w:footnoteReference w:id="232"/>
      </w:r>
      <w:r>
        <w:t xml:space="preserve">. 2024-yil 1-yanvardan esa tijorat banklari kapitalini boshqarish bo‘yicha yangi </w:t>
      </w:r>
      <w:r>
        <w:lastRenderedPageBreak/>
      </w:r>
      <w:r>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3"/>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 xml:space="preserve">Biroq Xitoy tajribasi rasmiy ko‘rsatkichlarning ishonchliligi muammosini ham ochiq namoyon etadi. Bu muammo ilmiy adabiyotda </w:t>
      </w:r>
      <w:r>
        <w:rPr/>
        <w:t xml:space="preserve">ancha oldin qayd etilgan. Masalan, 2010-yillarning</w:t>
      </w:r>
      <w:r>
        <w:t xml:space="preserve"> o‘rtalarida rasmiy ma’lumotlarda muammoli kreditlar ulushi 1,5 foiz deb e’lon qilingan bo‘lsa-da, mustaqil baholarga ko‘ra u 8–12 foizni tashkil etgan</w:t>
      </w:r>
      <w:r>
        <w:rPr>
          <w:rStyle w:val="aff8"/>
        </w:rPr>
        <w:footnoteReference w:id="234"/>
      </w:r>
      <w:r>
        <w:t>. XVJ esa 2016-yilda Xitoy kompaniyalariga berilgan tijorat kreditlarining 15,5 foizi “risk ostida” ekanini va ular bo‘yicha potensial yo‘qotishlar YaIMning qariyb 7 foiziga teng bo‘lishi mumkinligini baholagan</w:t>
      </w:r>
      <w:r>
        <w:rPr>
          <w:rStyle w:val="aff8"/>
        </w:rPr>
        <w:footnoteReference w:id="235"/>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6"/>
      </w:r>
      <w:r>
        <w:rPr/>
        <w:t xml:space="preserve">. Biroq ularning yonida “alohida e’tibor talab qiluvchi” kreditlar ham bor bo‘lib, ularning ulushi shu yillarda 2,2–2,3 foiz atrofida saqlanib kelmoqda</w:t>
      </w:r>
      <w:r>
        <w:rPr/>
        <w:t xml:space="preserve">. Ikkala toifa qo‘shilganda es</w:t>
      </w:r>
      <w:r>
        <w:rPr/>
        <w:t xml:space="preserve">a 2025-yil oxirida muammoli aktivlar ulushi 3,7 foizga yetadi.</w:t>
      </w:r>
      <w:r>
        <w:rPr>
          <w:rStyle w:val="aff8"/>
        </w:rPr>
        <w:footnoteReference w:id="237"/>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8"/>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9"/>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40"/>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1"/>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2"/>
      </w:r>
      <w:r>
        <w:t>. Braziliyada Bazel III dan oldin kapital yetarliligiga talab 11 foiz bo‘lib, talab qilib olinguncha depozitlar bo‘yicha majburiy zaxira normasi 45 foizgacha yetgan</w:t>
      </w:r>
      <w:r>
        <w:rPr>
          <w:rStyle w:val="aff8"/>
        </w:rPr>
        <w:footnoteReference w:id="243"/>
      </w:r>
      <w:r>
        <w:t>. Rossiyada esa BRIKS mamlakatlari orasida eng yuqori muddati o‘tgan qarzlar ulushi (8,35 foiz) qayd etilgan</w:t>
      </w:r>
      <w:r>
        <w:rPr>
          <w:rStyle w:val="aff8"/>
        </w:rPr>
        <w:footnoteReference w:id="244"/>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 / tizim</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Tajriba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PCA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pog‘onali chegaralari aniq nazorat choralari bilan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AQSh – FIMS; Yevropa Ittifoqi – EBA modellari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stress-testlar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ommaga e’lon qilinadi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Buyuk Britaniya – RATE, PRA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Nazorat intensivligi bankning tizimga ta’siri toifasi va faol aralashuv tizimining bosqichiga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 – BAKIS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 vaznlar, guruh o‘rtachasi bilan taqqoslash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Qiyosiy (peer) baholashni joriy etish</w:t>
            </w:r>
            <w:r>
              <w:rPr>
                <w:rFonts w:ascii="Times New Roman" w:hAnsi="Times New Roman" w:eastAsia="Times New Roman" w:cs="Times New Roman"/>
                <w:sz w:val="24"/>
                <w:szCs w:val="24"/>
              </w:rPr>
              <w:t xml:space="preserve">, kredit riskiga ortiqcha urg‘u bermaslik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EBA KRI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ma’lumotlar bazasi, risklar paneli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Banklar ko‘rsatkichlarini ochiq e’lon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ESRB</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Qat’iy baza va diskretsion makroprudensial vositalar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makroprudensial baholashni uyg‘unlashtirish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Rossiya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1–4 ballik tizim; dinamika va prognoz yo‘qligi tanqid qilingan</w:t>
            </w:r>
            <w:r>
              <w:rPr>
                <w:rFonts w:ascii="Times New Roman" w:hAnsi="Times New Roman" w:eastAsia="Times New Roman" w:cs="Times New Roman"/>
                <w:sz w:val="24"/>
                <w:szCs w:val="24"/>
              </w:rPr>
              <w:t xml:space="preserve">; 2025-yildan tizimli banklar uchun Bazel LCR o‘rniga milliy normativ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integral baholashga dinamik va prognoz elementlarini qo‘shish</w:t>
            </w:r>
            <w:r>
              <w:rPr>
                <w:rFonts w:ascii="Times New Roman" w:hAnsi="Times New Roman" w:eastAsia="Times New Roman" w:cs="Times New Roman"/>
                <w:sz w:val="24"/>
                <w:szCs w:val="24"/>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Xitoy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Rasmiy NPL bilan haqiqiy risk o‘rtasida katta tafovut</w:t>
            </w:r>
            <w:r>
              <w:rPr>
                <w:rFonts w:ascii="Times New Roman" w:hAnsi="Times New Roman" w:eastAsia="Times New Roman" w:cs="Times New Roman"/>
                <w:sz w:val="24"/>
                <w:szCs w:val="24"/>
              </w:rPr>
              <w:t xml:space="preserve">; 2024-yildan banklar hajmiga qarab proporsional talablar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MHXS 9 bo‘yicha va mustaqil baholash; davlat banklariga alohida e’tibor</w:t>
            </w:r>
            <w:r>
              <w:rPr>
                <w:rFonts w:ascii="Times New Roman" w:hAnsi="Times New Roman" w:eastAsia="Times New Roman" w:cs="Times New Roman"/>
                <w:sz w:val="24"/>
                <w:szCs w:val="24"/>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6"/>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7"/>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8"/>
      </w:r>
      <w:r>
        <w:t>. Shu bilan Bazel III ning makroprudensial elementlari – kapital buferlari ham joriy etildi.</w:t>
      </w:r>
    </w:p>
    <w:p w:rsidR="005603EC" w:rsidRDefault="00AB61AC">
      <w:pPr>
        <w:pStyle w:val="FirstParagraph"/>
        <w:spacing w:after="0" w:line="360" w:lineRule="auto"/>
        <w:ind w:firstLine="709"/>
        <w:jc w:val="both"/>
      </w:pPr>
      <w:r>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9"/>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minimumi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Izoh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8% (2025-yilgacha); ≥ 4,5%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 (2025-yilgacha); ≥ 6%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6%</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13% (2025-yilgacha); ≥ 8%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Leverej koeffitsiyenti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6% (2025-yilgacha); ≥ 3%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Bazel III minimumiga tenglashtirildi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saqlash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(CET1 hisobidan)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 (2025-yilgacha – 3%, I darajali kapital tarkibida)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Kontrsiklik bufer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ahamiyatli banklar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(G-SIB)</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ta bank uchun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2018-yildan to‘liq</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100% (2025-yil 23-maygacha)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jami aktivlar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prudensial me’yor</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Joriy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Lahzali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1"/>
      </w:r>
      <w:r>
        <w:rPr/>
        <w:t>, 2026-yildan amal qiladigan talablar va buferlar esa Markaziy bankning moliyaviy barqarorlik sharhi bo‘yicha keltirildi</w:t>
      </w:r>
      <w:r>
        <w:rPr>
          <w:rStyle w:val="aff8"/>
        </w:rPr>
        <w:footnoteReference w:id="252"/>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3"/>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4"/>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5"/>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6"/>
      </w:r>
      <w:r>
        <w:t xml:space="preserve">. Yo‘l xaritasida ham avtomatik reyting tuzatishlarini muntazam tekshirish va ularning asoslanganligini ta’minlash uchun alohida “sifat nazorati” bo‘linmasini tashkil etish ko‘zda tutilgani bu muammo hali </w:t>
      </w:r>
      <w:r>
        <w:rPr/>
        <w:t xml:space="preserve">ham dolzarb ekan</w:t>
      </w:r>
      <w:r>
        <w:t xml:space="preserve">ini ko‘rsatadi</w:t>
      </w:r>
      <w:r>
        <w:rPr>
          <w:rStyle w:val="aff8"/>
        </w:rPr>
        <w:footnoteReference w:id="257"/>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8"/>
      </w:r>
      <w:r>
        <w:t xml:space="preserve">. 2023-yildan boshlab tizimli ahamiyatga molik banklar har yili aniqlanadi</w:t>
      </w:r>
      <w:r>
        <w:rPr/>
        <w:t xml:space="preserve">. Xususan,</w:t>
      </w:r>
      <w:r>
        <w:t xml:space="preserve"> 2026-yil uchun ro‘yxatga yetti bank – O‘zmilliybank, Agrobank, O‘zsanoatqurilishbank, Xalq banki, Ipoteka-bank, Kapitalbank va Asakabank kiritilgan</w:t>
      </w:r>
      <w:r>
        <w:rPr>
          <w:rStyle w:val="aff8"/>
        </w:rPr>
        <w:footnoteReference w:id="259"/>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w:t>
      </w:r>
      <w:r>
        <w:rPr/>
        <w:t xml:space="preserve">barqaror holatda. Jumladan, 2021–2025-yillarda</w:t>
      </w:r>
      <w:r>
        <w:rPr/>
        <w:t xml:space="preserve"> kapital monandligi 13 foizlik regulyativ minimumdan barqaror yuqori bo‘lgan</w:t>
      </w:r>
      <w:r>
        <w:rPr>
          <w:rStyle w:val="aff8"/>
        </w:rPr>
        <w:footnoteReference w:id="260"/>
      </w:r>
      <w:r>
        <w:rPr/>
        <w:t xml:space="preserve">, 2025-yil oxirida esa 18,3 foizga yetgan</w:t>
      </w:r>
      <w:r>
        <w:lastRenderedPageBreak/>
      </w:r>
      <w:r>
        <w:rPr>
          <w:rStyle w:val="aff8"/>
        </w:rPr>
        <w:footnoteReference w:id="261"/>
      </w:r>
      <w:r>
        <w:t xml:space="preserve">. </w:t>
      </w:r>
      <w:r>
        <w:rPr/>
        <w:t xml:space="preserve">Rasmiy muammoli kreditlar ulushi ham</w:t>
      </w:r>
      <w:r>
        <w:t xml:space="preserve"> 2021-yil oxiridagi 5,2 foizdan 2025-yil oxirida 3,0 foizgacha kamaygan</w:t>
      </w:r>
      <w:r>
        <w:rPr>
          <w:rStyle w:val="aff8"/>
        </w:rPr>
        <w:footnoteReference w:id="262"/>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3"/>
      </w:r>
      <w:r>
        <w:t>. 2025-yil birinchi yarmi bo‘yicha sharhda bu ko‘rsatkichlar mos ravishda 6,1 va 8,4 foiz, leverej koeffitsiyenti esa 5,3 foiz deb baholangan edi</w:t>
      </w:r>
      <w:r>
        <w:rPr>
          <w:rStyle w:val="aff8"/>
        </w:rPr>
        <w:footnoteReference w:id="264"/>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5"/>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6"/>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Soha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O‘zbekistondagi holat (FSAP)</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chora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Muddat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ta’rifi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instrumentlari yo‘qotishni qoplash qobiliyatiga ega bo‘lishi kerak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va II darajali kapital tarkibi va mezonlarini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bo‘yicha tortilgan aktivlar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metodikasi bo‘yicha kredit, operatsion va bozor risklarini hisoblash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jihatlarda Bazel metodikasidan chetlanish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kredit, operatsion va bozor risklarini hisoblash tartibini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Saqlash, kontrsiklik va tizimli banklar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 aniqlangan, ammo ularga bufer qo‘llanmagan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Uchala bufer joriy etildi (2025–2026)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2025–2026-y.</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2-ustun (ICAAP, SREP)</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talabi bank risk profiliga moslashtiriladi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2-ustun metodikasi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banklarda ICAAP ni majburiy joriy etish; foiz riski asosida 2-ustunni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2026–2028-y.; ICAAP – 2027-y. III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va restrukturizatsiya qilingan aktivlarning Bazel ta’riflari;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Aktivlar sifati to‘g‘risida hisobotlarda kamsitib ko‘rsatish holatlari, </w:t>
            </w:r>
            <w:r>
              <w:rPr>
                <w:rFonts w:ascii="Times New Roman" w:hAnsi="Times New Roman" w:eastAsia="Times New Roman" w:cs="Times New Roman"/>
                <w:sz w:val="24"/>
                <w:szCs w:val="24"/>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 ta’rifini kengaytirish, MHXS 9 ning 3-bosqichini to‘liq qamrash, “forborne exposures” ta’rifini joriy etish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 Bazel III ga to‘liq mos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elementlar va koeffitsiyentlar Bazel III dan farq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elementlarini to‘liq moslashtirish, 2026-yil 1-yanvardan monitoring</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3-ustun (oshkoralik)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Moliyaviy va nazorat hisobotlarini oshkor qilish bo‘yicha minimal talablar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talablar belgilanmagan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 bo‘yicha minimal talablar nizomini ishlab chiqish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Konsolidatsiyalangan nazorat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guruhlari, shu jumladan nobank ona kompaniyalar ustidan nazorat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Huquqiy asos to‘liq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Qonunga o‘zgartirish; konsolidatsiyalangan nazorat nizomi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aralashuv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va tezkor tuzatuvchi choralar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Mavjud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(EWS) va tezkor tuzatuvchi choralar (PCA) tizimini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 – 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sanatsiya qilish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rejimi, sanatsiya rejalari va jamg‘armasi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Shakllanish bosqichida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tizimini yaratish; tizimli banklar uchun birinchi sanatsiya rejalari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8"/>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9"/>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w:t>
      </w:r>
      <w:r>
        <w:rPr/>
        <w:t xml:space="preserve">. B</w:t>
      </w:r>
      <w:r>
        <w:t xml:space="preserve">unda kamsitib ko‘rsatish holatlari ko‘proq uchraydigan imtiyozli va yo‘naltirilgan kreditlarga alohida e’tibor qaratish kerakligi ta’kidlangan</w:t>
      </w:r>
      <w:r>
        <w:rPr>
          <w:rStyle w:val="aff8"/>
        </w:rPr>
        <w:footnoteReference w:id="270"/>
      </w:r>
      <w:r>
        <w:t xml:space="preserve">. Yo‘l xaritasida bu muammoning </w:t>
      </w:r>
      <w:r>
        <w:rPr/>
        <w:t xml:space="preserve">aniq sabablari ham ko‘rsatilgan. Xususan, amaldagi tartibda</w:t>
      </w:r>
      <w:r>
        <w:t xml:space="preserve">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1"/>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2"/>
      </w:r>
      <w:r>
        <w:t>. Hukumat va Markaziy bank barcha tijorat banklarini MHXS ga to‘liq o‘tkazishni maqsad qilib qo‘ygan</w:t>
      </w:r>
      <w:r>
        <w:rPr>
          <w:rStyle w:val="aff8"/>
        </w:rPr>
        <w:footnoteReference w:id="273"/>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4"/>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5"/>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w:t>
      </w:r>
      <w:r>
        <w:rPr/>
        <w:t xml:space="preserve">. Shu sababli</w:t>
      </w:r>
      <w:r>
        <w:t xml:space="preserve"> ularni joriy etish yo‘l xaritasida alohida vazifa sifatida belgilangan</w:t>
      </w:r>
      <w:r>
        <w:rPr>
          <w:rStyle w:val="aff8"/>
        </w:rPr>
        <w:footnoteReference w:id="276"/>
      </w:r>
      <w:r>
        <w:t>. To‘lov qobiliyati bo‘yicha makro stress-test MHXS 9 asosidagi muammoli kreditlar ma’lumotlari to‘liq shakllangandan keyingina shu ma’lumotlarga tayanadigan bo‘ladi</w:t>
      </w:r>
      <w:r>
        <w:rPr>
          <w:rStyle w:val="aff8"/>
        </w:rPr>
        <w:footnoteReference w:id="277"/>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8"/>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9"/>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80"/>
      </w:r>
      <w:r>
        <w:rPr>
          <w:rStyle w:val="aff8"/>
        </w:rPr>
        <w:footnoteReference w:id="281"/>
      </w:r>
      <w:r>
        <w:t xml:space="preserve">. Bu banklarning </w:t>
      </w:r>
      <w:r>
        <w:rPr/>
        <w:t xml:space="preserve">tanlanishi tasodifiy emas, chunki birinchisi</w:t>
      </w:r>
      <w:r>
        <w:t xml:space="preserve">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2"/>
      </w:r>
      <w:r>
        <w:t>. 2023-yil oxirida bank tizimi aktivlari yalpi ichki mahsulotning 55 foiziga, kreditlar esa 40 foiziga teng bo‘lgan</w:t>
      </w:r>
      <w:r>
        <w:rPr>
          <w:rStyle w:val="aff8"/>
        </w:rPr>
        <w:footnoteReference w:id="283"/>
      </w:r>
      <w:r>
        <w:t>, 2026-yil 1-yanvar holatiga esa tijorat banklari aktivlari 924,8 trln so‘mni, kreditlari 604 trln so‘mni tashkil etgan</w:t>
      </w:r>
      <w:r>
        <w:rPr>
          <w:rStyle w:val="aff8"/>
        </w:rPr>
        <w:footnoteReference w:id="284"/>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5"/>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6"/>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7"/>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jami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davlat ulushi mavjud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boshqa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Maxsus zaxiralarning muammoli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Zaxiralar chegirilgan muammoli kreditlarning kapitalga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rentabelligi (soliq to‘lagunga qadar)</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rentabelligi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 va moliyalashtirish tuzilmasi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Mijozlar depozitlarining jami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Xorijiy valyutadagi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 xml:space="preserve">Jadval ma’lumotlari bank tizimining umumiy holatini </w:t>
      </w:r>
      <w:r>
        <w:rPr/>
        <w:t xml:space="preserve">ijobiy baholash imkonini beradi, chunki kapital va likvidlik</w:t>
      </w:r>
      <w:r>
        <w:t xml:space="preserve">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9"/>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90"/>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w:t>
      </w:r>
      <w:r>
        <w:rPr/>
        <w:t xml:space="preserve">bu ko‘rsatkichlar yuqori, chunki Bazel III da</w:t>
      </w:r>
      <w:r>
        <w:t xml:space="preserve"> jami kapital uchun 8 foiz, konservatsiya buferi bilan 10,5 foiz, asosiy kapital uchun esa 4,5 foiz minimum belgilangan</w:t>
      </w:r>
      <w:r>
        <w:rPr>
          <w:rStyle w:val="aff8"/>
        </w:rPr>
        <w:footnoteReference w:id="291"/>
      </w:r>
      <w:r>
        <w:t>. CAMELS tizimida eng yuqori, ya’ni 1-reyting kapital koeffitsiyentlari 4 va 8 foizlik chegaralardan ancha yuqori bo‘lganda beriladi</w:t>
      </w:r>
      <w:r>
        <w:rPr>
          <w:rStyle w:val="aff8"/>
        </w:rPr>
        <w:footnoteReference w:id="292"/>
      </w:r>
      <w:r>
        <w:t xml:space="preserve">. Shu bilan birga, uch jihat bu bahoni ehtiyotkorlik bilan qabul qilishni talab qiladi. Birinchidan, 2.1-paragrafda ko‘rsatilganidek, kapital ta’rifi </w:t>
      </w:r>
      <w:r>
        <w:rPr/>
        <w:t xml:space="preserve">Bazel III ga to‘liq mos emas, chunki II darajali</w:t>
      </w:r>
      <w:r>
        <w:t xml:space="preserve"> kapitalning taxminan uchdan bir qismini tashkil etuvchi subordinar qarzlar yo‘qotishni qoplash xususiyatiga ega emas</w:t>
      </w:r>
      <w:r>
        <w:rPr>
          <w:rStyle w:val="aff8"/>
        </w:rPr>
        <w:footnoteReference w:id="293"/>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4"/>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5"/>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6"/>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7"/>
      </w:r>
      <w:r>
        <w:t>, 2023-yil oxirida 19,5 foizni (shundan substandart kreditlar 16 foiz, muammoli kreditlar 3,5 foiz)</w:t>
      </w:r>
      <w:r>
        <w:rPr>
          <w:rStyle w:val="aff8"/>
        </w:rPr>
        <w:footnoteReference w:id="298"/>
      </w:r>
      <w:r>
        <w:t>, 2024-yilda 21 foizni tashkil etgan va faqat 2025-yilda 15 foizgacha kamaygan</w:t>
      </w:r>
      <w:r>
        <w:rPr>
          <w:rStyle w:val="aff8"/>
        </w:rPr>
        <w:footnoteReference w:id="299"/>
      </w:r>
      <w:r>
        <w:t xml:space="preserve"> (2.2.3-rasm). Jahon banki ma’lumotlariga ko‘ra, 2023-yil oxirida MHXS 9 bo‘yicha 3-bosqichdagi kreditlar ulushi 7,8 foiz bo‘lib, rasmiy ko‘rsatkichdan qariyb ikki barobar yuqori bo‘lgan</w:t>
      </w:r>
      <w:r>
        <w:rPr>
          <w:rStyle w:val="aff8"/>
        </w:rPr>
        <w:footnoteReference w:id="300"/>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1"/>
      </w:r>
    </w:p>
    <w:p w:rsidR="005603EC" w:rsidRDefault="00AB61AC">
      <w:pPr>
        <w:pStyle w:val="af"/>
        <w:spacing w:after="0" w:line="360" w:lineRule="auto"/>
        <w:ind w:firstLine="709"/>
        <w:jc w:val="both"/>
      </w:pPr>
      <w:r>
        <w:rPr/>
        <w:t xml:space="preserve">Rasmda</w:t>
      </w:r>
      <w:r>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2"/>
      </w:r>
      <w:r>
        <w:t>, 2022–2025-yillarda esa 36,7–52,6 foiz oralig‘ida bo‘lgan</w:t>
      </w:r>
      <w:r>
        <w:rPr>
          <w:rStyle w:val="aff8"/>
        </w:rPr>
        <w:footnoteReference w:id="303"/>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4"/>
      </w:r>
      <w:r>
        <w:t xml:space="preserve">, O.I. Lavrushin tahriridagi monografiyada esa </w:t>
      </w:r>
      <w:r>
        <w:lastRenderedPageBreak/>
      </w:r>
      <w:r>
        <w:t>ishlamaydigan kreditlar ulushining 10 foizgacha oshishi salbiy vaziyat darakchisi sifatida ko‘rsatiladi</w:t>
      </w:r>
      <w:r>
        <w:rPr>
          <w:rStyle w:val="aff8"/>
        </w:rPr>
        <w:footnoteReference w:id="305"/>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w:t>
      </w:r>
      <w:r>
        <w:rPr/>
        <w:t xml:space="preserve">Soliq to‘lagunga qadar foyda bo‘yicha aktivlar rentabelligi 2021-yilda 1,3 foiz, sof foyda bo‘yicha kapital rentabelligi esa 6,1 foiz bo‘lgan bo‘lsa</w:t>
      </w:r>
      <w:r>
        <w:t xml:space="preserve">, 2022–2023-yillarda ular mos ravishda 2,5–2,6 va 13,3–14,2 foizgacha oshgan. 2024-yilda kredit zararlari va </w:t>
      </w:r>
      <w:r>
        <w:rPr/>
        <w:t xml:space="preserve">foizsiz xarajatlarning</w:t>
      </w:r>
      <w:r>
        <w:t xml:space="preserve"> o‘sishi natijasida aktivlar rentabelligi yana 1,4 foizgacha, kapital rentabelligi 6,6 foizgacha pasaygan, 2025-yilda esa mos ravishda 2,2 va 12,4 foizgacha tiklangan</w:t>
      </w:r>
      <w:r>
        <w:rPr>
          <w:rStyle w:val="aff8"/>
        </w:rPr>
        <w:footnoteReference w:id="306"/>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7"/>
      </w:r>
    </w:p>
    <w:p w:rsidR="005603EC" w:rsidRDefault="00AB61AC">
      <w:pPr>
        <w:pStyle w:val="af"/>
        <w:spacing w:after="0" w:line="360" w:lineRule="auto"/>
        <w:ind w:firstLine="709"/>
        <w:jc w:val="both"/>
      </w:pPr>
      <w:r>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8"/>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9"/>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10"/>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w:t>
      </w:r>
      <w:r>
        <w:rPr/>
        <w:t xml:space="preserve">MHXS hisoboti bilan tasdiqlanadi. Xususan, 2025-yil</w:t>
      </w:r>
      <w:r>
        <w:rPr/>
        <w:t xml:space="preserve"> yakunida bankning MHXS 9 bo‘yicha </w:t>
      </w:r>
      <w:r>
        <w:rPr/>
        <w:t xml:space="preserve">3-bosqich kreditlari ulushi 7,5 foizni</w:t>
      </w:r>
      <w:r>
        <w:rPr/>
        <w:t xml:space="preserve">, 2-bosqich kreditlari ulushi esa 35,7 foizni tashkil etgan</w:t>
      </w:r>
      <w:r>
        <w:rPr>
          <w:rStyle w:val="aff8"/>
        </w:rPr>
        <w:footnoteReference w:id="312"/>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w:t>
      </w:r>
      <w:r>
        <w:rPr/>
        <w:t xml:space="preserve">resurslari hisobiga moliyalashtiradi. Chunonchi, 2025-yil</w:t>
      </w:r>
      <w:r>
        <w:rPr/>
        <w:t xml:space="preserve"> yakunida bankning olingan kreditlari 35,5 trln so‘mni tashkil etib, depozitlardan qariyb 1,1 barobar ko‘p bo‘lgan</w:t>
      </w:r>
      <w:r>
        <w:rPr>
          <w:rStyle w:val="aff8"/>
        </w:rPr>
        <w:footnoteReference w:id="313"/>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w:t>
      </w:r>
      <w:r>
        <w:rPr/>
        <w:t xml:space="preserve">Kapital monandligi “O‘zsanoatqurilishbank” ATB nikiga nisbatan aksariyat yillarda yuqoriroq bo‘lsa-da, </w:t>
      </w:r>
      <w:r>
        <w:rPr/>
        <w:t xml:space="preserve">keskin tebranadi. Jumladan, 2021-yilda</w:t>
      </w:r>
      <w:r>
        <w:rPr/>
        <w:t xml:space="preserve"> 13,8 foiz bilan minimum chegarasida bo‘lgan ko‘rsatkich 2022-yilda 20,7 foizga ko‘tarilgan, 2024-yilda 15,4 foizgacha tushib, 2025-yilda yana 18,5 foizga yetgan. Bu tebranishlarning sababi kapital manbalari</w:t>
      </w:r>
      <w:r>
        <w:rPr/>
        <w:t xml:space="preserve"> bilan bog‘liq. Xususan,</w:t>
      </w:r>
      <w:r>
        <w:rPr/>
        <w:t xml:space="preserve"> bankning xususiy kapitali 2022-yilda 2,3 trln so‘mdan 3,6 trln so‘mga oshgan, holbuki shu yili bank atigi 21,3 mlrd so‘m sof foyda olgan</w:t>
      </w:r>
      <w:r>
        <w:rPr/>
        <w:t xml:space="preserve">. Xuddi shu holat 2025-yilda ham kuzatilgan:</w:t>
      </w:r>
      <w:r>
        <w:rPr/>
        <w:t xml:space="preserve">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w:t>
      </w:r>
      <w:r>
        <w:rPr/>
        <w:t xml:space="preserve">. Unda</w:t>
      </w:r>
      <w:r>
        <w:rPr/>
        <w:t xml:space="preserve"> J.M. Hendrickson ijtimoiy kreditlash majburiyati bank kapitaliga qo‘yiladigan talablarga zid kelishini va bunday kreditlash CAMELS reytingini yomonlashtirishini ko‘rsatgan edi</w:t>
      </w:r>
      <w:r>
        <w:rPr>
          <w:rStyle w:val="aff8"/>
        </w:rPr>
        <w:footnoteReference w:id="315"/>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w:t>
      </w:r>
      <w:r>
        <w:rPr/>
        <w:t xml:space="preserve">daromadlilikka bevosita ta’sir ko‘rsatgan. Jumladan, ROE</w:t>
      </w:r>
      <w:r>
        <w:rPr/>
        <w:t xml:space="preserve"> 2021–2023-yillarda 0,7–1,9 foiz bilan inflyatsiya darajasidan ancha past bo‘lgan, 2024-yilda esa bank 1 703,8 mlrd so‘m zarar ko‘rgan. Bu zarar aktivlar bo‘yicha ehtimoliy yo‘qotishlarga qarshi zaxiralarning keskin oshirilishi </w:t>
      </w:r>
      <w:r>
        <w:rPr/>
        <w:t xml:space="preserve">natijasida yuzaga kelgan. Xususan, zaxiralar ajratilgandan</w:t>
      </w:r>
      <w:r>
        <w:rPr/>
        <w:t xml:space="preserve"> keyingi sof foizli daromad 1 167,3 mlrd so‘m zararni tashkil etgan</w:t>
      </w:r>
      <w:r>
        <w:rPr>
          <w:rStyle w:val="aff8"/>
        </w:rPr>
        <w:footnoteReference w:id="316"/>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w:t>
      </w:r>
      <w:r>
        <w:rPr/>
        <w:t xml:space="preserve">, asosiy kapital monandligi esa</w:t>
      </w:r>
      <w:r>
        <w:rPr/>
        <w:t xml:space="preserve"> 9,4–11,8 foiz oralig‘ida o‘zgargan. 2023-yildagi kapital o‘sishi (847,8 mlrd so‘m) asosan o‘z foydasi (607,7 mlrd so‘m) hisobiga ta’minlangan, 2024–2025-yillarda esa kapital o‘sishining yarmidan ko‘pi tashqi manbalarga to‘g‘ri kelgan</w:t>
      </w:r>
      <w:r>
        <w:rPr>
          <w:rStyle w:val="aff8"/>
        </w:rPr>
        <w:footnoteReference w:id="318"/>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w:t>
      </w:r>
      <w:r>
        <w:rPr/>
        <w:t xml:space="preserve">farqi moliyalashtirish tuzilmasida. Xususan, kreditlarning</w:t>
      </w:r>
      <w:r>
        <w:rPr/>
        <w:t xml:space="preserve">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vAlign w:val="center"/>
          </w:tcPr>
          <w:p w:rsidR="004069DA" w:rsidRDefault="004069DA">
            <w:pPr>
              <w:jc w:val="center"/>
              <w:rPr>
                <w:rFonts w:ascii="Times New Roman" w:hAnsi="Times New Roman" w:eastAsia="Times New Roman" w:cs="Times New Roman"/>
                <w:sz w:val="24"/>
                <w:szCs w:val="24"/>
              </w:rPr>
            </w:pP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5B9BD5"/>
                <w:sz w:val="24"/>
                <w:szCs w:val="24"/>
              </w:rPr>
              <w:t xml:space="preserve">━ ━ </w:t>
            </w:r>
            <w:r>
              <w:rPr>
                <w:rFonts w:ascii="Times New Roman" w:hAnsi="Times New Roman" w:eastAsia="Times New Roman" w:cs="Times New Roman"/>
                <w:b/>
                <w:sz w:val="24"/>
                <w:szCs w:val="24"/>
              </w:rPr>
              <w:t>SQB: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1F4E79"/>
                <w:sz w:val="24"/>
                <w:szCs w:val="24"/>
              </w:rPr>
              <w:t xml:space="preserve">━━━ </w:t>
            </w:r>
            <w:r>
              <w:rPr>
                <w:rFonts w:ascii="Times New Roman" w:hAnsi="Times New Roman" w:eastAsia="Times New Roman" w:cs="Times New Roman"/>
                <w:b/>
                <w:sz w:val="24"/>
                <w:szCs w:val="24"/>
              </w:rPr>
              <w:t>SQB: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 </w:t>
            </w:r>
            <w:r>
              <w:rPr>
                <w:rFonts w:ascii="Times New Roman" w:hAnsi="Times New Roman" w:eastAsia="Times New Roman" w:cs="Times New Roman"/>
                <w:b/>
                <w:sz w:val="24"/>
                <w:szCs w:val="24"/>
              </w:rPr>
              <w:t>MKB: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4,4</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375623"/>
                <w:sz w:val="24"/>
                <w:szCs w:val="24"/>
              </w:rPr>
              <w:t xml:space="preserve">━━━ </w:t>
            </w:r>
            <w:r>
              <w:rPr>
                <w:rFonts w:ascii="Times New Roman" w:hAnsi="Times New Roman" w:eastAsia="Times New Roman" w:cs="Times New Roman"/>
                <w:b/>
                <w:sz w:val="24"/>
                <w:szCs w:val="24"/>
              </w:rPr>
              <w:t>MKB: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13,5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16,6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12,3</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ED7D31"/>
                <w:sz w:val="24"/>
                <w:szCs w:val="24"/>
              </w:rPr>
              <w:t xml:space="preserve">━ ━ </w:t>
            </w:r>
            <w:r>
              <w:rPr>
                <w:rFonts w:ascii="Times New Roman" w:hAnsi="Times New Roman" w:eastAsia="Times New Roman" w:cs="Times New Roman"/>
                <w:b/>
                <w:sz w:val="24"/>
                <w:szCs w:val="24"/>
              </w:rPr>
              <w:t>Aloqabank: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C00000"/>
                <w:sz w:val="24"/>
                <w:szCs w:val="24"/>
              </w:rPr>
              <w:t xml:space="preserve">━━━ </w:t>
            </w:r>
            <w:r>
              <w:rPr>
                <w:rFonts w:ascii="Times New Roman" w:hAnsi="Times New Roman" w:eastAsia="Times New Roman" w:cs="Times New Roman"/>
                <w:b/>
                <w:sz w:val="24"/>
                <w:szCs w:val="24"/>
              </w:rPr>
              <w:t>Aloqabank: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10,0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9"/>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20"/>
      </w:r>
      <w:r>
        <w:rPr>
          <w:rStyle w:val="aff8"/>
        </w:rPr>
        <w:footnoteReference w:id="321"/>
      </w:r>
      <w:r>
        <w:t>. Bundan ham muhimi, bankda 2-bosqich, ya’ni kredit riski sezilarli oshgan kreditlar ulushi 2023-yildagi 15,8 foizdan 2024-yilda 27,1 foizga, 2025-yilda esa 35,7 foizga ko‘tarilgan</w:t>
      </w:r>
      <w:r>
        <w:rPr>
          <w:rStyle w:val="aff8"/>
        </w:rPr>
        <w:footnoteReference w:id="322"/>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3"/>
      </w:r>
      <w:r>
        <w:t>.</w:t>
      </w:r>
      <w:r>
        <w:rPr/>
        <w:t xml:space="preserve"> </w:t>
      </w:r>
      <w:r>
        <w:rPr/>
        <w:t xml:space="preserve">“Aloqabank” ATB da ham</w:t>
      </w:r>
      <w:r>
        <w:rPr/>
        <w:t xml:space="preserve"> </w:t>
      </w:r>
      <w:r>
        <w:rPr/>
        <w:t xml:space="preserve">xuddi shunday manzara kuzatiladi. Unda 3-bosqich</w:t>
      </w:r>
      <w:r>
        <w:rPr/>
        <w:t xml:space="preserve"> kreditlari ulushi 6,1–10,0 foizni tashkil etib, rasmiy muammoli kreditlar ulushidan (1,5–4,1 foiz) 2,5–4,9 barobar yuqori bo‘lgan</w:t>
      </w:r>
      <w:r>
        <w:rPr/>
        <w:t xml:space="preserve">. Ayniqsa,</w:t>
      </w:r>
      <w:r>
        <w:rPr/>
        <w:t xml:space="preserve"> 2022–2024-yillarda rasmiy ko‘rsatkich 1,5–2,0 foizgacha pasaygan bir paytda MHXS bo‘yicha ko‘rsatkich 6,1–9,9 foiz darajasida saqlangan (bank bo‘yicha batafsil tahlil 2.3-paragrafda keltiriladi)</w:t>
      </w:r>
      <w:r>
        <w:rPr>
          <w:rStyle w:val="aff8"/>
        </w:rPr>
        <w:footnoteReference w:id="324"/>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5"/>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tizimi</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“O‘zsanoatqurilishbank”</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“Mikrokreditbank”</w:t>
            </w:r>
          </w:p>
        </w:tc>
        <w:tc>
          <w:tcPr>
            <w:tcW w:w="10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c>
          <w:tcPr>
            <w:tcW w:w="15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mezon</w:t>
            </w:r>
          </w:p>
        </w:tc>
        <w:tc>
          <w:tcPr>
            <w:tcW w:w="189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c>
          <w:tcPr>
            <w:tcW w:w="15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10,5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SQB va Aloqabank da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 (erta ogohlantirish)</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Rasmiy jihatdan qoniqarli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 (2023)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10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&gt; 1 (CAMELS 1-reyting)</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Tizim va SQB yuqori, MK va Aloqabank past</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Yuqori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Aloqabank da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yuqori risk</w:t>
            </w:r>
          </w:p>
        </w:tc>
      </w:tr>
    </w:tbl>
    <w:p w:rsidR="005603EC" w:rsidRDefault="00AB61AC">
      <w:pPr>
        <w:pStyle w:val="af"/>
        <w:spacing w:after="0" w:line="360" w:lineRule="auto"/>
        <w:ind w:firstLine="709"/>
        <w:jc w:val="both"/>
      </w:pPr>
      <w: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w:t>
      </w:r>
      <w:r>
        <w:rPr/>
        <w:t xml:space="preserve">muhim jihatni ochib berdi. Unga ko‘ra, davlat banklarida</w:t>
      </w:r>
      <w:r>
        <w:t xml:space="preserve">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w:t>
      </w:r>
      <w:r>
        <w:rPr/>
        <w:t xml:space="preserve">eng zaif bo‘g‘in bo‘lib qolmoqda. Xususan, substandart</w:t>
      </w:r>
      <w:r>
        <w:t xml:space="preserve">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w:t>
      </w:r>
      <w:r>
        <w:rPr/>
        <w:t xml:space="preserve">, chunki</w:t>
      </w:r>
      <w:r>
        <w:t xml:space="preserve"> 2021-yildan boshlab tijorat banklari moliyaviy hisobotni Moliyaviy hisobotning xalqaro standartlari (MHXS) bo‘yicha tuzishga o‘tgan bo‘lsa-da</w:t>
      </w:r>
      <w:r>
        <w:rPr>
          <w:rStyle w:val="aff8"/>
        </w:rPr>
        <w:footnoteReference w:id="327"/>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8"/>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9"/>
      </w:r>
      <w:r>
        <w:t xml:space="preserve">. Bundan oldin qo‘mita banklarga kutilgan kredit zararlarini baholashda buxgalteriya talablari va kredit riskini boshqarish amaliyotini o‘zaro uyg‘unlashtirish bo‘yicha </w:t>
      </w:r>
      <w:r>
        <w:lastRenderedPageBreak/>
      </w:r>
      <w:r>
        <w:t>alohida yo‘riqnoma bergan edi</w:t>
      </w:r>
      <w:r>
        <w:rPr>
          <w:rStyle w:val="aff8"/>
        </w:rPr>
        <w:footnoteReference w:id="330"/>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1"/>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2"/>
      </w:r>
      <w:r>
        <w:t>. J. Abad va J. Suarez kutilgan kredit zararlari modeli zaxiralarni iqtisodiy pasayish boshlanishida keskin oshirib, kapitalga bosimni avvalgi modelga nisbatan ertaroq yuzaga keltirishini isbotlagan</w:t>
      </w:r>
      <w:r>
        <w:rPr>
          <w:rStyle w:val="aff8"/>
        </w:rPr>
        <w:footnoteReference w:id="333"/>
      </w:r>
      <w:r>
        <w:t>. Rossiya iqtisodchisi N.E. Sokolinskaya bank moliyaviy holatini MHXS asosida tahlil qilish milliy hisobotga nisbatan aktivlar sifati va kapitalning haqiqiy darajasini aniqroq ko‘rsatishini ta’kidlagan</w:t>
      </w:r>
      <w:r>
        <w:rPr>
          <w:rStyle w:val="aff8"/>
        </w:rPr>
        <w:footnoteReference w:id="334"/>
      </w:r>
      <w:r>
        <w:t xml:space="preserve">. Bu tadqiqotlar bitta </w:t>
      </w:r>
      <w:r>
        <w:rPr/>
        <w:t xml:space="preserve">umumiy xulosaga olib keladi. Unga ko‘ra, hisobot standarti</w:t>
      </w:r>
      <w:r>
        <w:t xml:space="preserve">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Belgi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prudensial hisobot</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bo‘yicha hisobot</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Ko‘rsatkichlarga ta’siri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doirasi</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guruhi (sho‘ba korxonalari bo‘lsa – konsolidatsiyalangan), aks holda alohida bank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kapital va foyda tarkibi o‘zgaradi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Kreditlarni tasniflash asosi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toifa: standart, substandart, qoniqarsiz, shubhali, umidsiz; asosiy mezon – muddati o‘tgan kunlar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Uch bosqich: kredit riski sezilarli oshmagan 1-bosqich,</w:t>
            </w:r>
            <w:r>
              <w:rPr>
                <w:rFonts w:ascii="Times New Roman" w:hAnsi="Times New Roman" w:eastAsia="Times New Roman" w:cs="Times New Roman"/>
                <w:sz w:val="24"/>
                <w:szCs w:val="24"/>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MHXS bo‘yicha yuqori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 shakllantirish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Toifa bo‘yicha qat’iy stavkalar: 1, 10, 25, 50 va 100 foiz</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defolt ehtimoli, defolt holatidagi yo‘qotish va riskdagi summa asosida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stavkasidan past stavkadagi kreditlar va resurslar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Nominal qiymatda aks ettiriladi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Haqqoniy qiymatda tan olinadi, farq dastlabki tan olishdagi foyda yoki zarar sifatida ko‘rsatiladi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buxgalteriya hisobi asosida hisoblanadi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Hisoblanmaydi; izohlarda milliy me’yorlar bo‘yicha hisoblangan qiymat oshkor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bo‘yicha kapital farqi kapital monandligida aks etmaydi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muddati va oshkoralik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Yillik, auditorlik xulosasi bilan, olti oy kechikib e’lon qilinadi;</w:t>
            </w:r>
            <w:r>
              <w:rPr>
                <w:rFonts w:ascii="Times New Roman" w:hAnsi="Times New Roman" w:eastAsia="Times New Roman" w:cs="Times New Roman"/>
                <w:sz w:val="24"/>
                <w:szCs w:val="24"/>
              </w:rPr>
              <w:t xml:space="preserve"> bosqichlar, garov va risklar bo‘yicha batafsil izohlar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r>
      <w:r>
        <w:t>belgilanadi</w:t>
      </w:r>
      <w:r>
        <w:rPr>
          <w:rStyle w:val="aff8"/>
        </w:rPr>
        <w:footnoteReference w:id="336"/>
      </w:r>
      <w:r>
        <w:t xml:space="preserve">. Ushbu stavkalar haqiqatda qo‘llanayotganini “O‘zsanoatqurilishbank” ATB ning 2025-yil yakunidagi </w:t>
      </w:r>
      <w:r>
        <w:rPr/>
        <w:t xml:space="preserve">hisoboti tasdiqlaydi. Jumladan, standart kreditlar</w:t>
      </w:r>
      <w:r>
        <w:t xml:space="preserve"> bo‘yicha zaxira 511,9 mlrd so‘mni, ya’ni ushbu kreditlarning 1,0 foizini tashkil etgan, boshqa toifalar bo‘yicha zaxiralar yig‘indisi esa 10, 25, 50 va 100 foizlik stavkalar bo‘yicha hisoblangan qiymatga to‘liq mos keladi</w:t>
      </w:r>
      <w:r>
        <w:rPr>
          <w:rStyle w:val="aff8"/>
        </w:rPr>
        <w:footnoteReference w:id="337"/>
      </w:r>
      <w:r>
        <w:t>. MHXS 9 da esa zaxira har bir kredit yoki kreditlar guruhi bo‘yicha defolt ehtimoli, garov qiymati va kutilayotgan undirish summasini hisobga olgan holda aniqlanadi</w:t>
      </w:r>
      <w:r>
        <w:rPr>
          <w:rStyle w:val="aff8"/>
        </w:rPr>
        <w:footnoteReference w:id="338"/>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1,7–4,9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13–18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1,7–4,9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13–18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9"/>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w:t>
      </w:r>
      <w:r>
        <w:rPr/>
        <w:t xml:space="preserve">ta’sir kuchsizlanib boradi. Masalan, kreditlar tasnifidagi</w:t>
      </w:r>
      <w:r>
        <w:t xml:space="preserve"> farq bir necha barobarni tashkil etsa, kapitaldagi farq o‘n </w:t>
      </w:r>
      <w:r>
        <w:lastRenderedPageBreak/>
      </w:r>
      <w:r>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40"/>
      </w:r>
      <w:r>
        <w:rPr>
          <w:rStyle w:val="aff8"/>
        </w:rPr>
        <w:footnoteReference w:id="341"/>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w:t>
      </w:r>
      <w:r>
        <w:rPr/>
        <w:t xml:space="preserve">. Masalan, “Mikrokreditbank”</w:t>
      </w:r>
      <w:r>
        <w:rPr/>
        <w:t xml:space="preserve">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t xml:space="preserve">NPLtuz = (NPL / Lmilliy) × Kykr,  (2.3)</w:t>
      </w:r>
    </w:p>
    <w:p w:rsidR="005603EC" w:rsidRDefault="00AB61AC">
      <w:pPr>
        <w:pStyle w:val="af"/>
        <w:spacing w:after="0" w:line="360" w:lineRule="auto"/>
        <w:ind w:firstLine="709"/>
        <w:jc w:val="both"/>
      </w:pPr>
      <w:r>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w:t>
      </w:r>
      <w:r>
        <w:rPr/>
        <w:t xml:space="preserve">. Bunday davrlar</w:t>
      </w:r>
      <w:r>
        <w:rPr/>
        <w:t xml:space="preserve">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56 511,3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64 263,8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74 634,4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87 597,0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102 438,7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55 731,9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63 189,3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73 293,3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84 800,2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97 184,4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7 700,9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7 828,1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8 728,4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10 025,4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6 944,8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7 581,2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8 439,9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9 352,8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1 303,2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 kreditlar,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 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 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 20,4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 14,7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 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 27,1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 35,7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w:t>
      </w:r>
      <w:r>
        <w:rPr/>
        <w:t xml:space="preserve">bevosita ta’sir qiladi. Xususan, MHXS ma’lumotlari</w:t>
      </w:r>
      <w:r>
        <w:t xml:space="preserve">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w:t>
      </w:r>
      <w:r>
        <w:rPr/>
        <w:t xml:space="preserve">vaziyat tubdan farq qiladi, chunki rasmiy hisobot</w:t>
      </w:r>
      <w:r>
        <w:rPr/>
        <w:t xml:space="preserve">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r>
      <w:r>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3"/>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4"/>
      </w:r>
      <w:r>
        <w:rPr>
          <w:rStyle w:val="aff8"/>
        </w:rPr>
        <w:footnoteReference w:id="345"/>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6"/>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7"/>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8"/>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9"/>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50"/>
      </w:r>
      <w:r>
        <w:t xml:space="preserve">. 2-bosqich kreditlari bo‘yicha </w:t>
      </w:r>
      <w:r>
        <w:rPr/>
        <w:t xml:space="preserve">ham manzara o‘xshash. Jumladan, 2025-yilda</w:t>
      </w:r>
      <w:r>
        <w:t xml:space="preserve">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w:t>
      </w:r>
      <w:r>
        <w:rPr/>
        <w:t xml:space="preserve">amaliy jihatdan tasdiqlaydi. Unga ko‘ra, milliy va MHXS</w:t>
      </w:r>
      <w:r>
        <w:t xml:space="preserve">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1"/>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w:t>
      </w:r>
      <w:r>
        <w:rPr/>
        <w:t xml:space="preserve">2,77–3,28</w:t>
      </w:r>
      <w:r>
        <w:t xml:space="preserve"> oralig‘ida yuqori darajada saqlangan, uning eng yuqori qiymati esa 2024-yilga to‘g‘ri kelgan</w:t>
      </w:r>
      <w:r>
        <w:rPr>
          <w:rStyle w:val="aff8"/>
        </w:rPr>
        <w:footnoteReference w:id="352"/>
      </w:r>
      <w:r>
        <w:t>.</w:t>
      </w:r>
      <w:r>
        <w:rPr/>
        <w:t xml:space="preserve"> Taqqoslash uchun rasmda ushbu paragraf oxirida batafsil tahlil qilinadigan uchinchi davlat banki – “Aloqabank” ATB </w:t>
      </w:r>
      <w:r>
        <w:rPr/>
        <w:t xml:space="preserve">koeffitsiyenti ham keltirilgan. Ushbu koeffitsiyent 2021-yildagi</w:t>
      </w:r>
      <w:r>
        <w:rPr/>
        <w:t xml:space="preserve">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w:t>
      </w:r>
      <w:r>
        <w:rPr/>
        <w:t xml:space="preserve">amaliy xulosaga olib keladi. Unga ko‘ra, milliy hisobot</w:t>
      </w:r>
      <w:r>
        <w:t xml:space="preserve">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13 483,4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16 782,5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19 061,5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23 542,5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30 728,8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12 802,3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16 521,3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18 244,1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23 851,4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30 969,3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2 321,1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3 643,9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3 933,6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3 550,6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5 739,2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2 291,6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3 650,9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3 578,1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4 101,3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6 270,8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−1 703,8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 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 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 16,6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 15,2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12,3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4"/>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5"/>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r>
      <w:r>
        <w:rPr/>
        <w:t>paragraf boshida J. Abad va J. Suarez tadqiqoti misolida</w:t>
      </w:r>
      <w:r>
        <w:t xml:space="preserve"> ko‘rib chiqilgan kutilgan kredit zararlari modelining prosiklik xususiyati to‘g‘risidagi xulosani </w:t>
      </w:r>
      <w:r>
        <w:rPr/>
        <w:t xml:space="preserve">boshqa tomondan ham to‘ldiradi. Chunonchi, ertaroq</w:t>
      </w:r>
      <w:r>
        <w:t xml:space="preserve">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6"/>
      </w:r>
      <w:r>
        <w:t xml:space="preserve">, MHXS ma’lumotlariga asoslangan koeffitsiyentlar esa banklar tomonidan e’lon qilinmaydi. Shu sababli ular Markaziy bank metodikasi bo‘yicha </w:t>
      </w:r>
      <w:r>
        <w:rPr/>
        <w:t xml:space="preserve">muallif tomonidan qayta hisoblandi. Bunda birinchi darajali</w:t>
      </w:r>
      <w:r>
        <w:t xml:space="preserve">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7"/>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8"/>
      </w:r>
      <w:r>
        <w:rPr>
          <w:rStyle w:val="aff8"/>
        </w:rPr>
        <w:footnoteReference w:id="359"/>
      </w:r>
      <w:r>
        <w:t>.</w:t>
      </w:r>
      <w:r>
        <w:rPr/>
        <w:t xml:space="preserve"> </w:t>
      </w:r>
      <w:r>
        <w:rPr/>
        <w:lastRenderedPageBreak/>
      </w:r>
      <w:r>
        <w:rPr/>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60"/>
      </w:r>
      <w:r>
        <w:rPr/>
        <w:t>, 2709-son nizomning 2025-yil 23-maygacha amal qilgan tahririda (54-band) ham regulyativ kapital belgilangan edi, bankning 2025-yil 30-dekabr holatidagi prudensial hisobot shaklida esa xususiy kapital ko‘rsatilgan</w:t>
      </w:r>
      <w:r>
        <w:rPr>
          <w:rStyle w:val="aff8"/>
        </w:rPr>
        <w:footnoteReference w:id="361"/>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2"/>
      </w:r>
      <w:r>
        <w:rPr/>
        <w:t>, “yo‘l xaritasi”ga ko‘ra esa ular Bazel III ga to‘liq moslashtirilib, 2026-yil 1-yanvardan monitoring qilinadi</w:t>
      </w:r>
      <w:r>
        <w:rPr>
          <w:rStyle w:val="aff8"/>
        </w:rPr>
        <w:footnoteReference w:id="363"/>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4"/>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hisobot va metodika</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va Bazel III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Tafovut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(3-bosqich)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+4,95 p.p. (2,96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(2-bosqich)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+17,22 p.p. (1,93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2 947,5</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4 250,9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+44,2%</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124,8</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+2,6 p.p. (metodika +5,4; hisobot −2,8)</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Banklardagi mablag‘larning yuqori likvid aktivlardagi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bo‘yicha yuqori likvid aktiv emas</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−68,8 p.p. (banklardagi mablag‘lar yuqori likvid aktivlardan chiqarilganda)</w:t>
            </w:r>
          </w:p>
        </w:tc>
      </w:tr>
    </w:tbl>
    <w:p w:rsidR="005603EC" w:rsidRDefault="00AB61AC">
      <w:pPr>
        <w:pStyle w:val="af"/>
        <w:spacing w:after="0" w:line="360" w:lineRule="auto"/>
        <w:ind w:firstLine="709"/>
        <w:jc w:val="both"/>
      </w:pPr>
      <w:r>
        <w:rPr>
          <w:i/>
          <w:iCs/>
        </w:rPr>
        <w:t xml:space="preserve">Izoh: kapital monandligi ko‘rsatkichlari Markaziy bank metodikasi bo‘yicha MHXS ma’lumotlari asosida qayta hisoblandi; NSFR va LCR – Bazel III metodikasi bo‘yicha.</w:t>
      </w:r>
    </w:p>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w:t>
      </w:r>
      <w:r>
        <w:rPr/>
        <w:t xml:space="preserve">bir-birini qisman qoplaydi. Xususan, Bazel III</w:t>
      </w:r>
      <w:r>
        <w:t xml:space="preserve">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6"/>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7"/>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8"/>
      </w:r>
      <w:r>
        <w:rPr/>
        <w:t xml:space="preserve"> va auditdan o‘tgan MHXS bo‘yicha konsolidatsiyalangan moliyaviy hisobotlari</w:t>
      </w:r>
      <w:r>
        <w:rPr>
          <w:rStyle w:val="aff8"/>
        </w:rPr>
        <w:footnoteReference w:id="369"/>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 xml:space="preserve">“Aloqabank” ATB ning asosiy ko‘rsatkichlari: milliy hisobot va MHXS, 2021–2025-yillar</w:t>
      </w:r>
      <w:r>
        <w:rPr>
          <w:rStyle w:val="aff8"/>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12 638,5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16 083,6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16 044,7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23 251,3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31 527,5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12 566,0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15 866,3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15 778,2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22 669,2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31 344,2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1 673,5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2 643,2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3 082,2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3 846,9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1 604,3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2 397,7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3 099,7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3 491,0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 / 10,0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 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 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 / 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 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 6,6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r>
    </w:tbl>
    <w:p w:rsidR="005603EC" w:rsidRDefault="00AB61AC">
      <w:pPr>
        <w:pStyle w:val="af"/>
        <w:spacing w:after="0" w:line="360" w:lineRule="auto"/>
        <w:ind w:firstLine="709"/>
        <w:jc w:val="both"/>
      </w:pPr>
      <w:r>
        <w:rPr/>
        <w:t xml:space="preserve">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w:t>
      </w:r>
      <w:r>
        <w:rPr/>
        <w:t xml:space="preserve">Bunga, birinchidan, bozor stavkasidan past stavkadagi joylashtirishlarni dastlabki tan olishdan ko‘rilgan 283,7 mlrd so‘m zarar (shu jumladan “O‘zbektelekom” AJ ga joylashtirilgan mablag‘lar bo‘yicha 260,5 mlrd so‘m), ikkinchidan, kutilgan kredit zararlari zaxirasining 2023-yil yakunidagi 156,2 mlrd so‘mdan 2025-yil yakunida 513,1 mlrd so‘mgacha oshishi sabab bo‘lgan.</w:t>
      </w:r>
      <w:r>
        <w:rPr/>
        <w:t xml:space="preserve">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1"/>
      </w:r>
      <w:r>
        <w:rPr/>
        <w:t xml:space="preserve">. Demak, uchinchi bank misolida ham milliy hisobot asosidagi baholash aktivlar sifati va daromadlilikni oshirib, likvidlik buferining sifatini esa haqiqiydan yuqori ko‘rsatadi, bu esa </w:t>
      </w:r>
      <w:r>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2"/>
      </w:r>
      <w:r>
        <w:t>, Markaziy bank tomonidan qabul qilingan “yo‘l xaritasi”da esa aktivlar tasnifi va zaxiralarni MHXS 9 ga moslashtirish ishlari belgilangan</w:t>
      </w:r>
      <w:r>
        <w:rPr>
          <w:rStyle w:val="aff8"/>
        </w:rPr>
        <w:footnoteReference w:id="373"/>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w:t>
      </w:r>
      <w:r>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w:t>
      </w:r>
      <w:r>
        <w:rPr/>
        <w:t xml:space="preserve">bu xulosa tasdiqlandi. Jumladan, besh yillik</w:t>
      </w:r>
      <w:r>
        <w:rPr/>
        <w:t xml:space="preserve">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 xml:space="preserve">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w:t>
      </w:r>
      <w:r>
        <w:rPr/>
        <w:t xml:space="preserve">2,77–3,28</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r>
      <w:r>
        <w:t xml:space="preserve">Milliy va xalqaro yondashuv o‘rtasidagi tafovut moliyaviy barqarorlik bloklari bo‘yicha </w:t>
      </w:r>
      <w:r>
        <w:rPr/>
        <w:t xml:space="preserve">bir tekis taqsimlanmagan. Xususan, u aktivlar</w:t>
      </w:r>
      <w:r>
        <w:t xml:space="preserve">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4"/>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5"/>
      </w:r>
      <w:r>
        <w:rPr>
          <w:rStyle w:val="aff8"/>
        </w:rPr>
        <w:footnoteReference w:id="376"/>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7"/>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Aniqlangan muammo</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Dalil (II bob)</w:t>
            </w:r>
          </w:p>
        </w:tc>
        <w:tc>
          <w:tcPr>
            <w:tcW w:w="328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Metodika elementi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turli yo‘nalishda signal beradi, yagona baho yo‘q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kapital va likvidlik yuqori, aktivlar sifati zaif</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baholarini vaznlab birlashtiruvchi integral indeks</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muammoli kreditlar ko‘rsatkichi kredit riskini kamsitadi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w:t>
            </w:r>
            <w:r>
              <w:rPr>
                <w:rFonts w:ascii="Times New Roman" w:hAnsi="Times New Roman" w:eastAsia="Times New Roman" w:cs="Times New Roman"/>
                <w:sz w:val="24"/>
                <w:szCs w:val="24"/>
              </w:rPr>
              <w:t xml:space="preserve">yashirin kredit riski koeffitsiyenti </w:t>
            </w:r>
            <w:r>
              <w:rPr>
                <w:rFonts w:ascii="Times New Roman" w:hAnsi="Times New Roman" w:eastAsia="Times New Roman" w:cs="Times New Roman"/>
                <w:sz w:val="24"/>
                <w:szCs w:val="24"/>
              </w:rPr>
              <w:t xml:space="preserve">1,65–4,90</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MHXS bo‘yicha kam, tafovut ortib bormoqda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me’yorlari Bazel III dan soddalashtirilgan va ochiq e’lon qilinmaydi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faqat “bajarildi – bajarilmadi” shaklida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 </w:t>
            </w:r>
            <w:r>
              <w:rPr>
                <w:rFonts w:ascii="Times New Roman" w:hAnsi="Times New Roman" w:eastAsia="Times New Roman" w:cs="Times New Roman"/>
                <w:sz w:val="24"/>
                <w:szCs w:val="24"/>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valyuta riski baholanmaydi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xorijiy valyutadagi kreditlar ulushi 38–49%</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 bloki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banklarida kapital davlat ko‘magiga bog‘liq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 </w:t>
            </w:r>
            <w:r>
              <w:rPr>
                <w:rFonts w:ascii="Times New Roman" w:hAnsi="Times New Roman" w:eastAsia="Times New Roman" w:cs="Times New Roman"/>
                <w:sz w:val="24"/>
                <w:szCs w:val="24"/>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9"/>
      </w:r>
    </w:p>
    <w:p w:rsidR="005603EC" w:rsidRDefault="00AB61AC">
      <w:pPr>
        <w:pStyle w:val="af"/>
        <w:spacing w:after="0" w:line="360" w:lineRule="auto"/>
        <w:ind w:firstLine="709"/>
        <w:jc w:val="both"/>
      </w:pPr>
      <w:r>
        <w:t xml:space="preserve">Rasmdan ko‘rinib turibdiki, algoritm sakkiz bosqichdan iborat bo‘lib, uning o‘ziga xos jihati </w:t>
      </w:r>
      <w:r>
        <w:rPr/>
        <w:t xml:space="preserve">ikkinchi bosqichda namoyon bo‘ladi. Bunda agar bankning</w:t>
      </w:r>
      <w:r>
        <w:t xml:space="preserve">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80"/>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1"/>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409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 va ko‘rsatkich</w:t>
            </w:r>
          </w:p>
        </w:tc>
        <w:tc>
          <w:tcPr>
            <w:tcW w:w="145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 ball</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1.</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Birinchi darajali asosiy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 Bazel III</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2.</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2.3</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Zaxira bilan qoplanmagan muammoli kreditlar / kapital,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3.</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jami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mijozlar depozitlari,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4.</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Aktivlar rentabelligi (ROA),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Kapital rentabelligi (ROE),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5.</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lastRenderedPageBreak/>
              <w:t>Valyuta riskiga sezgirlik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Xorijiy valyutadagi kreditlar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65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Xorijiy valyutadagi majburiyatlar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 xml:space="preserve">Jadvalda keltirilgan chegaralarni belgilashda “me’yoriy talab – ball chegarasi” tamoyili qo‘llandi. Bu tamoyil Rossiya Banki metodikasida ham </w:t>
      </w:r>
      <w:r>
        <w:rPr/>
        <w:t xml:space="preserve">asosiy hisoblanadi. Xususan, unda kapital</w:t>
      </w:r>
      <w:r>
        <w:t xml:space="preserve"> monandligi normativi bo‘yicha ball chegaralari aynan normativning minimal qiymati va undan yuqori bir necha darajalar sifatida belgilangan</w:t>
      </w:r>
      <w:r>
        <w:rPr>
          <w:rStyle w:val="aff8"/>
        </w:rPr>
        <w:footnoteReference w:id="383"/>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4"/>
      </w:r>
      <w:r>
        <w:t xml:space="preserve"> olindi, 4 ball chegarasi esa tizimli ahamiyatga ega bank uchun qo‘shimcha talab va kontrsiklik bufer bilan birga Bazel III bo‘yicha talab qilinishi mumkin bo‘lgan 10,5 foiz darajasida belgilandi</w:t>
      </w:r>
      <w:r>
        <w:rPr>
          <w:rStyle w:val="aff8"/>
        </w:rPr>
        <w:footnoteReference w:id="385"/>
      </w:r>
      <w:r>
        <w:rPr>
          <w:rStyle w:val="aff8"/>
        </w:rPr>
        <w:footnoteReference w:id="386"/>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r>
      <w:r>
        <w:t>nazorat amaliyotidagi 4 foiz</w:t>
      </w:r>
      <w:r>
        <w:rPr>
          <w:rStyle w:val="aff8"/>
        </w:rPr>
        <w:footnoteReference w:id="387"/>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8"/>
      </w:r>
      <w:r>
        <w:t>, 10 foiz esa O.I. Lavrushin tahriri ostidagi monografiyada salbiy vaziyat darakchisi sifatida ko‘rsatilgan qiymatga mos keladi</w:t>
      </w:r>
      <w:r>
        <w:rPr>
          <w:rStyle w:val="aff8"/>
        </w:rPr>
        <w:footnoteReference w:id="389"/>
      </w:r>
      <w:r>
        <w:t>. 2-bosqich kreditlari ulushi uchun milliy amaliyotda tayyor mezon yo‘qligi sababli chegaralar ikkinchi bobda aniqlangan qiymatlar oralig‘i asosida belgilandi.</w:t>
      </w:r>
      <w:r>
        <w:rPr/>
        <w:t xml:space="preserve"> Bu chegaralar </w:t>
      </w:r>
      <w:r>
        <w:rPr/>
        <w:t xml:space="preserve">tashqi ma’lumot bilan ham tekshirildi. Xususan, Yevropa</w:t>
      </w:r>
      <w:r>
        <w:rPr/>
        <w:t xml:space="preserve">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90"/>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1"/>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2"/>
      </w:r>
      <w:r>
        <w:rPr>
          <w:rStyle w:val="aff8"/>
        </w:rPr>
        <w:footnoteReference w:id="393"/>
      </w:r>
      <w:r>
        <w:t xml:space="preserve">. Agar indeksga faqat ayrim banklar uchun hisoblanadigan ko‘rsatkichlar kiritilsa, banklarni yagona metodika bo‘yicha solishtirish imkoniyati </w:t>
      </w:r>
      <w:r>
        <w:lastRenderedPageBreak/>
      </w:r>
      <w:r>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4"/>
      </w:r>
      <w:r>
        <w:rPr>
          <w:rStyle w:val="aff8"/>
        </w:rPr>
        <w:footnoteReference w:id="395"/>
      </w:r>
      <w:r>
        <w:t xml:space="preserve">. Kreditlarning depozitlarga nisbati uchun esa likvidlik nizomida </w:t>
      </w:r>
      <w:r>
        <w:rPr/>
        <w:t>undan oshishi muammo belgisi deb ko‘rsatilgan 80 foizlik daraja</w:t>
      </w:r>
      <w:r>
        <w:rPr>
          <w:rStyle w:val="aff8"/>
        </w:rPr>
        <w:footnoteReference w:id="396"/>
      </w:r>
      <w:r>
        <w:t xml:space="preserve"> va xalqaro amaliyotdagi kritik daraja – 100 foiz</w:t>
      </w:r>
      <w:r>
        <w:rPr>
          <w:rStyle w:val="aff8"/>
        </w:rPr>
        <w:footnoteReference w:id="397"/>
      </w:r>
      <w:r>
        <w:t xml:space="preserve"> asos qilib olindi. Daromadlilik blokida aktivlar rentabelligi chegaralari Rossiya Banki shkalasidan (0; 0,7; 1,4 foiz) olindi</w:t>
      </w:r>
      <w:r>
        <w:rPr>
          <w:rStyle w:val="aff8"/>
        </w:rPr>
        <w:footnoteReference w:id="398"/>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9"/>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400"/>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w:t>
      </w:r>
      <w:r>
        <w:rPr/>
        <w:t xml:space="preserve">punktlik qadamni ifodalaydi. Bunda 200 foizdan</w:t>
      </w:r>
      <w:r>
        <w:rPr/>
        <w:t xml:space="preserve">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1"/>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2"/>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w:t>
      </w:r>
      <w:r>
        <w:rPr/>
        <w:t xml:space="preserve">dinamik tahlilda muhim, chunki pog‘onali</w:t>
      </w:r>
      <w:r>
        <w:t xml:space="preserve"> shkalada kapital monandligining asta-sekin pasayishi chegara kesib o‘tilgunga qadar umuman sezilmaydi, uzluksiz </w:t>
      </w:r>
      <w:r>
        <w:lastRenderedPageBreak/>
      </w:r>
      <w:r>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3"/>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t xml:space="preserve">gan holda,</w:t>
      </w:r>
      <w:r>
        <w:t xml:space="preserve"> boshqa yo‘l yo‘qligini ta’kidlaydi</w:t>
      </w:r>
      <w:r>
        <w:rPr>
          <w:rStyle w:val="aff8"/>
        </w:rPr>
        <w:footnoteReference w:id="404"/>
      </w:r>
      <w:r>
        <w:t>. Rossiyadagi reyting metodikalarini tahlil qilgan mualliflar ham vaznlar ko‘pincha asoslanmagan ekspert yo‘li bilan belgilanishini qayd etgan</w:t>
      </w:r>
      <w:r>
        <w:rPr>
          <w:rStyle w:val="aff8"/>
        </w:rPr>
        <w:footnoteReference w:id="405"/>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vazn</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Teng vaznlar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 nisbati (O‘zbekiston)</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Asoslash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bobda eng zaif bo‘g‘in, milliy va MHXS tafovuti eng katta</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ikki me’yori, tashqi moliyalashtirishga tayanish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ichki manbadan to‘ldirish imkoniyati</w:t>
            </w:r>
            <w:r>
              <w:rPr>
                <w:rFonts w:ascii="Times New Roman" w:hAnsi="Times New Roman" w:eastAsia="Times New Roman" w:cs="Times New Roman"/>
                <w:sz w:val="24"/>
                <w:szCs w:val="24"/>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7"/>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8"/>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Sinf</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Tavsifi</w:t>
            </w:r>
          </w:p>
        </w:tc>
        <w:tc>
          <w:tcPr>
            <w:tcW w:w="36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Tavsiya etiladigan choralar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 ≤ 4,00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Odatdagi nazorat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 qoniqarli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Ayrim bloklarda zaiflik, ko‘rsatkichlar asosan me’yoriy talablar darajasida (2–3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Bir nechta blokda ko‘rsatkichlar me’yorga yaqin yoki undan past (1–2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 MBII &lt; 1,75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ko‘pchiligi minimal xalqaro talablardan past (1 ball atrofida)</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10"/>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w:t>
      </w:r>
      <w:r>
        <w:rPr/>
        <w:t xml:space="preserve">hamda MHXS hisobotlari asosida (3.1.6-jadval)</w:t>
      </w:r>
      <w:r>
        <w:rPr/>
        <w:t xml:space="preserve">.</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10,21 (3,88)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16,39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 (3,83)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14,14 (3,45)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12,2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Muammoli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4,4 (3,30)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Substandart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(2,66)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−8,1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 (2,97)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(3,41)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206,5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 (2,58)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 (3,96)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0,6 (1,85)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 (2,31)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 (1,69)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 (2,45)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36,5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65,5 (2,72)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82,2 (1,89)</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60,1 (1,33)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37,0 (2,87)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60,9 (1,61)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31,6 (3,56)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3,42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3,13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3,248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8,87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9,76 (3,70)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15,32 (3,93)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19,96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13,11 (3,04)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3-bosqich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7,5 (2,50)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12,3 (1,53)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 (2,56)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2-bosqich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35,7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25,3 (1,97)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29,1 (1,09)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17,8 (2,22)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221,0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324,5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140,1 (2,20)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 (3,49)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 (1,22)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−0,7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0,8 (1,16)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87,6 (1,62)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89,0 (1,55)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61,2 (1,25)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60,4 (1,64)</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2,93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1,18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2,81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2,78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w:t>
      </w:r>
      <w:r>
        <w:rPr>
          <w:i/>
          <w:iCs/>
        </w:rPr>
        <w:t xml:space="preserve">(2.3.3–2.3.5-jadvallar; “Mikrokreditbank” ATB ning regulyativ kapital monandligi – 19,96 foiz – xuddi shu usulda hisoblandi)</w:t>
      </w:r>
      <w:r>
        <w:rPr>
          <w:i/>
          <w:iCs/>
        </w:rPr>
        <w:t xml:space="preserve">,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 turi</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3,14</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after="0" w:line="360" w:lineRule="auto"/>
        <w:ind w:firstLine="709"/>
        <w:jc w:val="both"/>
      </w:pPr>
      <w:r>
        <w:rPr>
          <w:i/>
          <w:iCs/>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rPr>
        <w:t xml:space="preserve">3.1.3-rasm. Uch bankda moliyaviy barqarorlikning integral indeksi: milliy hisobot va MHXS asosida, 2021–2025-yillar, ball</w:t>
      </w:r>
      <w:r>
        <w:rPr>
          <w:rStyle w:val="aff8"/>
        </w:rPr>
        <w:footnoteReference w:id="413"/>
      </w:r>
    </w:p>
    <w:p w:rsidR="005603EC" w:rsidRDefault="00AB61AC">
      <w:pPr>
        <w:pStyle w:val="af"/>
        <w:spacing w:after="0" w:line="360" w:lineRule="auto"/>
        <w:ind w:firstLine="709"/>
        <w:jc w:val="both"/>
      </w:pPr>
      <w:r>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 xml:space="preserve">3.1.4</w:t>
      </w:r>
      <w:r>
        <w:rPr>
          <w:b/>
        </w:rPr>
        <w:t xml:space="preserve">-rasm</w:t>
      </w:r>
      <w:r>
        <w:rPr>
          <w:b/>
        </w:rPr>
        <w:t xml:space="preserve">. Moliyaviy barqarorlikning integral indeksi qiymatlarining vaznlar tizimiga sezgirligi, 2025-yil</w:t>
      </w:r>
      <w:r>
        <w:rPr>
          <w:rStyle w:val="aff8"/>
        </w:rPr>
        <w:footnoteReference w:id="414"/>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w:t>
      </w:r>
      <w:r>
        <w:rPr/>
        <w:t xml:space="preserve">banklar tartibi vaznlarga bog‘liq. Xususan, taklif etilgan</w:t>
      </w:r>
      <w:r>
        <w:rPr/>
        <w:t xml:space="preserve">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Taqqoslash mezoni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 (AQSh)</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Rossiya Banki metodikasi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barqarorlik ko‘rsatkichlari</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MBII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ballik kompozit reyting</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bo‘yicha ball, guruhlarga ajratish</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to‘plami, yagona baho 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1–4 oraliqdagi uzluksiz indeks va 4 sinf</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siri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ochiq, natija yopiq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va ma’lumotlar ochiq</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Xalqaro standartlarga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Qisman</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normativlarga bog‘langan</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Bazel III ga yaqin ta’riflar (XVJ qo‘llanmasi, 2019)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MHXS 9, XVJ</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Nazoratchi bahosi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kunlik mezon (amalda milliy ta’rif)</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bosqichlari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standarti farqi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ΔMBII va tuzatish koeffitsiyentlari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Ball shkalasi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Uzluksiz (chiziqli interpolyatsiya)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Vaznlar</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Qat’iy belgilanmagan, nazoratchi mulohazasi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bir ko‘rsatkichga 1–3 vazn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Qo‘llanmaydi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vaznlari 0,25/0,30/0,20/0,15/0,10, empirik tekshirilgan (3.2-§)</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Bozor riski doirasida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 yo‘q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ochiq pozitsiya</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 komponenti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 va shaffoflik guruhlari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 (ochiq ma’lumotlarda baholanmaydi)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choralari bilan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Sinflar va erta ogohlantirish zonalari bo‘yicha</w:t>
            </w:r>
            <w:r>
              <w:rPr>
                <w:rFonts w:ascii="Times New Roman" w:hAnsi="Times New Roman" w:eastAsia="Times New Roman" w:cs="Times New Roman"/>
                <w:sz w:val="24"/>
                <w:szCs w:val="24"/>
              </w:rPr>
              <w:t xml:space="preserve">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xml:space="preserve">. </w:t>
      </w:r>
      <w:r>
        <w:rPr/>
        <w:t xml:space="preserve">Bu cheklovlar 3.2-paragrafda vaznlar va sinflar chegaralarini empirik tekshirish hamda to‘rtinchi bobda indeksning bashorat kuchini baholash orqali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w:t>
      </w:r>
      <w:r>
        <w:rPr/>
        <w:t xml:space="preserve">subyekt</w:t>
      </w:r>
      <w:r>
        <w:t xml:space="preserve">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6"/>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7"/>
      </w:r>
      <w:r>
        <w:t>. Moliyaviy stress indekslarini qurishda ham M. Illing va Y. Liu turli vaznlash usullarini solishtirib, eng yaxshi usulni indeksning haqiqiy stress davrlarini aniqlash qobiliyati bo‘yicha tanlagan</w:t>
      </w:r>
      <w:r>
        <w:rPr>
          <w:rStyle w:val="aff8"/>
        </w:rPr>
        <w:footnoteReference w:id="418"/>
      </w:r>
      <w:r>
        <w:t>. A.M. Karminskiy esa reyting modellarida vaznlar ekspert yo‘li bilan belgilansa ham, ular albatta statistik tekshiruvdan o‘tkazilishi lozimligini ta’kidlaydi</w:t>
      </w:r>
      <w:r>
        <w:rPr>
          <w:rStyle w:val="aff8"/>
        </w:rPr>
        <w:footnoteReference w:id="419"/>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Usul</w:t>
            </w:r>
          </w:p>
        </w:tc>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Vazn nimani aks ettiradi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Qo‘llangan ma’lumotlar</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Entropiya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 Shannon</w:t>
            </w:r>
            <w:r>
              <w:rPr>
                <w:rFonts w:ascii="Times New Roman" w:hAnsi="Times New Roman" w:eastAsia="Times New Roman" w:cs="Times New Roman"/>
                <w:sz w:val="24"/>
                <w:szCs w:val="24"/>
              </w:rPr>
              <w:t xml:space="preserve"> entropiyasi asosida har bir ko‘rsatkich</w:t>
            </w:r>
            <w:r>
              <w:rPr>
                <w:rFonts w:ascii="Times New Roman" w:hAnsi="Times New Roman" w:eastAsia="Times New Roman" w:cs="Times New Roman"/>
                <w:sz w:val="24"/>
                <w:szCs w:val="24"/>
              </w:rPr>
              <w:t xml:space="preserve"> ballarining 25 ta bank-yil kuzatuvi</w:t>
            </w:r>
            <w:r>
              <w:rPr>
                <w:rFonts w:ascii="Times New Roman" w:hAnsi="Times New Roman" w:eastAsia="Times New Roman" w:cs="Times New Roman"/>
                <w:sz w:val="24"/>
                <w:szCs w:val="24"/>
              </w:rPr>
              <w:t xml:space="preserve"> o‘rtasidagi tarqoqligi </w:t>
            </w:r>
            <w:r>
              <w:rPr>
                <w:rFonts w:ascii="Times New Roman" w:hAnsi="Times New Roman" w:eastAsia="Times New Roman" w:cs="Times New Roman"/>
                <w:sz w:val="24"/>
                <w:szCs w:val="24"/>
              </w:rPr>
              <w:t xml:space="preserve">o‘lchanadi;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bir-biridan qanchalik farqlashi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Variatsiya koeffitsiyenti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 ballarining standart chetlanishi </w:t>
            </w:r>
            <w:r>
              <w:rPr>
                <w:rFonts w:ascii="Times New Roman" w:hAnsi="Times New Roman" w:eastAsia="Times New Roman" w:cs="Times New Roman"/>
                <w:sz w:val="24"/>
                <w:szCs w:val="24"/>
              </w:rPr>
              <w:t xml:space="preserve">o‘rtacha qiymatga nisbati;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 qiymatlarining nisbiy o‘zgaruvchanligi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 komponentlar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ballarining korrelyatsiya tuzilmasi asosida </w:t>
            </w:r>
            <w:r>
              <w:rPr>
                <w:rFonts w:ascii="Times New Roman" w:hAnsi="Times New Roman" w:eastAsia="Times New Roman" w:cs="Times New Roman"/>
                <w:sz w:val="24"/>
                <w:szCs w:val="24"/>
              </w:rPr>
              <w:t xml:space="preserve">umumiy omillar ajratiladi; blok vazni o‘z qiymati birdan katta komponentlar (Kayzer mezoni) yuklamalari kvadratlarining izohlangan dispersiya ulushi bilan tortilgan yig‘indisi sifatida aniqlanadi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umumiy barqarorlik omiliga hissasi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5 blok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(bashorat)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hodisasi ehtimoli bloklar ballariga regressiya qilinadi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muammolarni oldindan aniqlashdagi hissasi</w:t>
            </w:r>
            <w:r>
              <w:rPr>
                <w:rFonts w:ascii="Times New Roman" w:hAnsi="Times New Roman" w:eastAsia="Times New Roman" w:cs="Times New Roman"/>
                <w:sz w:val="24"/>
                <w:szCs w:val="24"/>
              </w:rPr>
              <w:t xml:space="preserve"> (koeffitsiyentlar modulining ulushi; kutilganiga teskari ishorali koeffitsiyentga ega </w:t>
            </w:r>
            <w:r>
              <w:rPr>
                <w:rFonts w:ascii="Times New Roman" w:hAnsi="Times New Roman" w:eastAsia="Times New Roman" w:cs="Times New Roman"/>
                <w:sz w:val="24"/>
                <w:szCs w:val="24"/>
              </w:rPr>
              <w:t xml:space="preserve">blok vazni – 0; kapital va valyuta bloklari uchun tayanch vaznlar saqlanadi)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bank, 2021–2024-yillar choraklik ma’lumotlari</w:t>
            </w:r>
            <w:r>
              <w:rPr>
                <w:rFonts w:ascii="Times New Roman" w:hAnsi="Times New Roman" w:eastAsia="Times New Roman" w:cs="Times New Roman"/>
                <w:sz w:val="24"/>
                <w:szCs w:val="24"/>
              </w:rPr>
              <w:t xml:space="preserve"> (308 kuzatuv), 8 ko‘rsatkichli panel indeksining 3 bloki (aktivlar sifati, likvidlik, daromadlilik)</w:t>
            </w:r>
            <w:r>
              <w:rPr>
                <w:rFonts w:ascii="Times New Roman" w:hAnsi="Times New Roman" w:eastAsia="Times New Roman" w:cs="Times New Roman"/>
                <w:sz w:val="24"/>
                <w:szCs w:val="24"/>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1"/>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2"/>
      </w:r>
      <w:r>
        <w:rPr>
          <w:rStyle w:val="aff8"/>
        </w:rPr>
        <w:footnoteReference w:id="423"/>
      </w:r>
      <w:r>
        <w:rPr>
          <w:rStyle w:val="aff8"/>
        </w:rPr>
        <w:footnoteReference w:id="424"/>
      </w:r>
      <w:r>
        <w:rPr>
          <w:rStyle w:val="aff8"/>
        </w:rPr>
        <w:footnoteReference w:id="425"/>
      </w:r>
      <w:r>
        <w:rPr>
          <w:rStyle w:val="aff8"/>
        </w:rPr>
        <w:footnoteReference w:id="426"/>
      </w:r>
      <w:r>
        <w:t>. Yuqori likvid aktivlar ulushi esa “SNS” reyting agentligi bazasidan olindi</w:t>
      </w:r>
      <w:r>
        <w:rPr>
          <w:rStyle w:val="aff8"/>
        </w:rPr>
        <w:footnoteReference w:id="427"/>
      </w:r>
      <w:r>
        <w:t>. Logit usuli uchun 3.3-paragrafda shakllantirilgan 25 ta bank paneli qo‘llandi</w:t>
      </w:r>
      <w:r>
        <w:rPr/>
        <w:t xml:space="preserve"> (panelning tarkibi 3.3-paragrafda, muammo hodisasining ta’rifi esa 4.1-paragrafda batafsil yoritiladi</w:t>
      </w:r>
      <w:r>
        <w:rPr/>
        <w:t xml:space="preserve">). Bu panelda kapital monandligi koeffitsiyentlari, MHXS 9 bo‘yicha kreditlar bosqichlari va valyuta tarkibi bank kesimida e’lon qilinmagani sababli indeks 13 ta ko‘rsatkichning barcha banklar uchun mavjud bo‘lgan sakkiztasi asosida hisoblanadi. Ikki indeksni farqlash uchun bundan keyin 13 ko‘rsatkichli to‘liq indeks MBII-13, 8 ko‘rsatkichli panel indeksi esa MBII-8 deb belgilanadi. MBII-8 da kapital bloki</w:t>
      </w:r>
      <w:r>
        <w:rPr>
          <w:rStyle w:val="aff8"/>
        </w:rPr>
        <w:footnoteReference w:id="428"/>
      </w:r>
      <w:r>
        <w:t xml:space="preserve">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r>
              <w:rPr>
                <w:rFonts w:ascii="Times New Roman" w:hAnsi="Times New Roman" w:eastAsia="Times New Roman" w:cs="Times New Roman"/>
                <w:b/>
                <w:sz w:val="24"/>
                <w:szCs w:val="24"/>
              </w:rPr>
              <w:t xml:space="preserve"> (3.1-§)</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w:t>
      </w:r>
      <w:r>
        <w:rPr/>
        <w:t xml:space="preserve">yaqin yoki undan yuqori vazn bergan. Xususan, entropiya</w:t>
      </w:r>
      <w:r>
        <w:t xml:space="preserve">,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t xml:space="preserve">(0,30)</w:t>
      </w:r>
      <w:r>
        <w:rPr/>
        <w:t xml:space="preserve"> deyarli teng. Biroq tarqoqlikka asoslangan usullarda eng yuqori vazn daromadlilik blokiga (0,30–0,46) berilgan, ya’ni ularda aktivlar sifati bloki ikkinchi o‘rinda turadi</w:t>
      </w:r>
      <w:r>
        <w:rPr/>
        <w:t xml:space="preserve">. Uning yetakchiligi esa</w:t>
      </w:r>
      <w:r>
        <w:rPr/>
        <w:t xml:space="preserve">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t xml:space="preserve">Jadval ma’lumotlaridan</w:t>
      </w:r>
      <w:r>
        <w:t xml:space="preserve"> ko‘rinib turibdiki, usullar o‘rtasidagi farq asosan </w:t>
      </w:r>
      <w:r>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30"/>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 xml:space="preserve">Tanlangan banklarning</w:t>
      </w:r>
      <w:r>
        <w:rPr>
          <w:b/>
          <w:bCs/>
        </w:rPr>
        <w:t xml:space="preserve"> integral indeksi turli usullar vaznlari bo‘yicha, 2025-yil</w:t>
      </w:r>
      <w:r>
        <w:rPr>
          <w:rStyle w:val="aff8"/>
        </w:rPr>
        <w:footnoteReference w:id="4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 ko‘rsatkich</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2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“Aloqabank” ATB (tanlanmadan tashqari)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3,01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Sinfi </w:t>
            </w: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mos kuzatuvlar (25 tadan, 2021–2025-yillar)</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tartib bo‘yicha korrelyatsiya (Spirmen)</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0,98</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hodisalarini bashorat qilish kuchi (AUC, 25 bank paneli)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0,907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0,871</w:t>
            </w:r>
          </w:p>
        </w:tc>
      </w:tr>
    </w:tbl>
    <w:p w:rsidR="005603EC" w:rsidRDefault="00AB61AC">
      <w:pPr>
        <w:pStyle w:val="af"/>
        <w:spacing w:line="240" w:lineRule="auto"/>
        <w:jc w:val="both"/>
      </w:pPr>
      <w:r>
        <w:rPr>
          <w:sz w:val="24"/>
        </w:rPr>
        <w:t xml:space="preserve">Izoh: “Aloqabank” ATB empirik vaznlarni baholashda qatnashmagan va tanlanmadan tashqari tekshiruv uchun keltirilgan; jadvalning quyi uch qatoridagi ko‘rsatkichlar beshta bank bo‘yicha hisoblangan.</w:t>
      </w:r>
    </w:p>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w:t>
      </w:r>
      <w:r>
        <w:rPr/>
        <w:t xml:space="preserve">. Masalan, “Mikrokreditbank”</w:t>
      </w:r>
      <w:r>
        <w:t xml:space="preserve"> ATB entropiya usulida 1,92 ball bilan III sinfda qoladi, ammo uning ichida quyiroqqa tushadi.</w:t>
      </w:r>
      <w:r>
        <w:rPr/>
        <w:t xml:space="preserve"> Tanlanmadan tashqari “Aloqabank” ATB da </w:t>
      </w:r>
      <w:r>
        <w:rPr/>
        <w:t xml:space="preserve">esa manzara boshqacha. Jumladan, tayanch vaznlarda</w:t>
      </w:r>
      <w:r>
        <w:rPr/>
        <w:t xml:space="preserve"> bank II sinfda (2,78 ball) bo‘lsa, tarqoqlikka asoslangan uch usul vaznlarida III sinfga (2,23–2,49 ball) tushadi. Buning sababi shundaki, bu usullar daromadlilik blokiga yuqori vazn beradi, bank esa 2025-yilda MHXS bo‘yicha zarar ko‘rgan. Bu holat empirik vaznlar ular baholangan tanlanmaning xususiyatlariga bog‘liqligini amalda tasdiqlaydi.</w:t>
      </w:r>
      <w:r>
        <w:t xml:space="preserve"> Muammo hodisalarini bashorat qilish kuchi bo‘yicha empirik vaznlar </w:t>
      </w:r>
      <w:r>
        <w:rPr/>
        <w:t xml:space="preserve">tayanch vaznlar</w:t>
      </w:r>
      <w:r>
        <w:t xml:space="preserve">dan biroz ustun (</w:t>
      </w:r>
      <w:r>
        <w:rPr/>
        <w:t xml:space="preserve">AUC 0,865–0,907, tayanch vaznlarda – 0,864)</w:t>
      </w:r>
      <w:r>
        <w:t xml:space="preserve">, biroq farq katta emas, </w:t>
      </w:r>
      <w:r>
        <w:rPr/>
        <w:t xml:space="preserve">tayanch vaznlar</w:t>
      </w:r>
      <w:r>
        <w:t xml:space="preserve">ning bashorat kuchi esa bosh komponentlar usuli bilan </w:t>
      </w:r>
      <w:r>
        <w:rPr/>
        <w:t xml:space="preserve">deyarli </w:t>
      </w:r>
      <w:r>
        <w:t xml:space="preserve">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r>
        <w:rPr/>
        <w:t xml:space="preserve"> Logit usulining nisbatan yuqori AUC qiymati (0,907) esa qisman uning vaznlari aynan shu panel ma’lumotlari va muammo hodisalari asosida baholangani bilan izohlanadi, shu sababli bu ustunlik tanlanmadan tashqari tekshiruvni talab qiladi.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2"/>
      </w:r>
      <w:r>
        <w:rPr/>
        <w:t xml:space="preserve">. Bunda bloklar vaznlari Dirixle</w:t>
      </w:r>
      <w:r>
        <w:t xml:space="preserve"> taqsimotidan 4000 marta tasodifiy tanlanib, har safar beshta bankning 2021–2025-yillar uchun indeksi va sinfi qayta hisoblandi. Tahlil ikki variantda amalga oshirildi: vaznlar </w:t>
      </w:r>
      <w:r>
        <w:rPr/>
        <w:t xml:space="preserve">tayanch vaznlar</w:t>
      </w:r>
      <w:r>
        <w:t xml:space="preserve"> atrofida tanlangan holatda</w:t>
      </w:r>
      <w:r>
        <w:rPr/>
        <w:t xml:space="preserve"> (Dirixle taqsimotining parametri α = 20·w, bu yerda w – blokning tayanch vazni)</w:t>
      </w:r>
      <w:r>
        <w:t xml:space="preserve"> va vaznlar to‘liq tasodifiy, ya’ni hech qanday dastlabki farazsiz tanlangan holatda </w:t>
      </w:r>
      <w:r>
        <w:rPr/>
        <w:t xml:space="preserve">(3.2.1-rasm)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line="240" w:lineRule="auto"/>
        <w:jc w:val="both"/>
      </w:pPr>
      <w:r>
        <w:rPr>
          <w:sz w:val="24"/>
        </w:rPr>
        <w:t xml:space="preserve">Izoh: SQB – “O‘zsanoatqurilishbank” ATB, MKB – “Mikrokreditbank” ATB, BRB – “Biznesni rivojlantirish banki” ATB.</w:t>
      </w:r>
    </w:p>
    <w:p w:rsidR="005603EC" w:rsidRDefault="00AB61AC">
      <w:pPr>
        <w:pStyle w:val="af"/>
        <w:spacing w:before="120" w:after="240" w:line="240" w:lineRule="auto"/>
        <w:jc w:val="center"/>
      </w:pPr>
      <w:r>
        <w:rPr>
          <w:b/>
        </w:rPr>
        <w:t xml:space="preserve">3.2.1-rasm</w:t>
      </w:r>
      <w:r>
        <w:rPr>
          <w:b/>
        </w:rPr>
        <w:t xml:space="preserve">. Monte-Karlo tahlilida banklar barqarorlik sinfining saqlanish ulushi, foizda</w:t>
      </w:r>
      <w:r>
        <w:rPr>
          <w:rStyle w:val="aff8"/>
        </w:rPr>
        <w:footnoteReference w:id="433"/>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w:t>
      </w:r>
      <w:r>
        <w:rPr/>
        <w:t xml:space="preserve">bu holatda juda yuqori. Xususan, tartib</w:t>
      </w:r>
      <w:r>
        <w:t xml:space="preserve">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w:t>
      </w:r>
      <w:r>
        <w:rPr/>
        <w:t xml:space="preserve">mumkinligini anglatmaydi, chunki vaznlar</w:t>
      </w:r>
      <w:r>
        <w:t xml:space="preserve">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w:t>
      </w:r>
      <w:r>
        <w:rPr/>
        <w:t xml:space="preserve"> Tahlilda bunday holat, masalan, “Biznesni rivojlantirish banki” ATB ning 2021-yildagi ko‘rsatkichida kuzatilgan: vaznlar tayanch vaznlar atrofida o‘zgarganda uning sinfi atigi 51,2 foiz holatda saqlanadi, vaznlar to‘liq tasodifiy olinganda esa eng sezgir kuzatuv “Xalq banki” ATB ning 2024-yildagi ko‘rsatkichi bo‘lib, uning sinfi 39,4 foiz holatda saqlanadi.</w:t>
      </w:r>
      <w:r>
        <w:t xml:space="preserve">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t xml:space="preserve">Vaznlardan tashqari, i</w:t>
      </w:r>
      <w:r>
        <w:t xml:space="preserve">ntegral indeksning ikkinchi metodik elementi – barqarorlik sinflari chegaralari, ya’ni 3,25; 2,5 va 1,75 ball</w:t>
      </w:r>
      <w:r>
        <w:rPr/>
        <w:t xml:space="preserve"> hisoblanadi</w:t>
      </w:r>
      <w:r>
        <w:t xml:space="preserve">. </w:t>
      </w:r>
      <w:r>
        <w:rPr/>
        <w:t xml:space="preserve">Ular 3.1-paragrafda 1–4 ballik shkalani teng to‘rt oraliqqa bo‘lish yo‘li bilan oldindan belgilangan edi.</w:t>
      </w:r>
      <w:r>
        <w:t xml:space="preserve"> Ularni empirik tekshirish uchun 25 ta bank panelida</w:t>
      </w:r>
      <w:r>
        <w:rPr/>
        <w:t xml:space="preserve"> MBII-8 bo‘yicha</w:t>
      </w:r>
      <w:r>
        <w:t xml:space="preserve">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 xml:space="preserve">Integral indeks sinflari bo‘yicha muammo hodisalarining yuz berish chastotasi, </w:t>
      </w:r>
      <w:r>
        <w:rPr>
          <w:b/>
          <w:bCs/>
        </w:rPr>
        <w:t xml:space="preserve">2021–2024-yillar kuzatuvlari</w:t>
      </w:r>
      <w:r>
        <w:rPr>
          <w:rStyle w:val="aff8"/>
        </w:rPr>
        <w:footnoteReference w:id="4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Barqarorlik sinfi</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indeks, ball</w:t>
            </w:r>
          </w:p>
        </w:tc>
        <w:tc>
          <w:tcPr>
            <w:tcW w:w="12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217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Keyingi to‘rt chorakda muammo hodisasi yuz bergan kuzatuvlar</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Ulushi, %</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 (Wilson), %</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0,8–5,0</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II – qoniqarli</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7,9–21,4</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59,6–98,2</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MBII &lt; 1,75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 xml:space="preserve">Izoh: 25 ta bank paneli, milliy hisobot asosidagi 8 ko‘rsatkichli choraklik indeks</w:t>
      </w:r>
      <w:r>
        <w:rPr>
          <w:sz w:val="24"/>
        </w:rPr>
        <w:t xml:space="preserve"> (MBII-8)</w:t>
      </w:r>
      <w:r>
        <w:rPr>
          <w:sz w:val="24"/>
        </w:rPr>
        <w:t xml:space="preserve">; muammo hodisalari har bir kuzatuvdan keyingi to‘rt chorak, ya’ni 2025-yil oxirigacha bo‘lgan davrda kuzatilgan. 2025-yil kuzatuvlari keyingi to‘rt chorak ma’lumotlari to‘liq bo‘lmagani sababli kiritilmagan.</w:t>
      </w:r>
    </w:p>
    <w:p w:rsidR="005603EC" w:rsidRDefault="00AB61AC">
      <w:pPr>
        <w:pStyle w:val="af"/>
        <w:spacing w:after="0" w:line="360" w:lineRule="auto"/>
        <w:ind w:firstLine="709"/>
        <w:jc w:val="both"/>
      </w:pPr>
      <w:r>
        <w:t xml:space="preserve">Jadvaldan ko‘rinib turibdiki, </w:t>
      </w:r>
      <w:r>
        <w:rPr/>
        <w:t xml:space="preserve">sinflar chegaralari tahlil davri </w:t>
      </w:r>
      <w:r>
        <w:rPr/>
        <w:t xml:space="preserve">ma’lumotlarida aniq farqlanadi. Xususan, I sinfdagi</w:t>
      </w:r>
      <w:r>
        <w:t xml:space="preserve"> banklarda keyingi bir yil ichida muammo yuz berish ehtimoli 2,0 foizni, II sinfda 13,3 foizni, III sinfda esa 90,0 foizni tashkil etgan.</w:t>
      </w:r>
      <w:r>
        <w:rPr/>
        <w:t xml:space="preserve"> Bu ulushlarning 95 foizlik Wilson ishonch oraliqlari</w:t>
      </w:r>
      <w:r>
        <w:rPr>
          <w:rStyle w:val="aff8"/>
        </w:rPr>
        <w:footnoteReference w:id="435"/>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r>
        <w:rPr/>
        <w:t xml:space="preserve"> Sinflar chegaralari MBII-13 va MBII-8 uchun bir xil bo‘lib, ular MBII-8 bo‘yicha tekshirildi, chunki 25 ta bank panelida kuzatuvlar soni yetarli. MBII-13 bo‘yicha beshta bankning 2021–2024-yillardagi 20 ta kuzatuvida ham natija shu yo‘nalishda: keyingi yilda muammo hodisasi I sinfdagi 2 ta kuzatuvda kuzatilmagan, II sinfdagi 12 ta kuzatuvning 2 tasida (17 foiz), III sinfdagi 6 ta kuzatuvning 2 tasida (33 foiz) yuz bergan. Masalan, 2023-yilda III sinfda bo‘lgan “Mikrokreditbank” va “Biznesni rivojlantirish banki” ATBlarida 2024-yilda yirik zarar qayd etilgan. Kuzatuvlar soni kamligi sababli bu natija statistik dalil emas, balki MBII-8 bo‘yicha olingan xulosani tasdiqlovchi qo‘shimcha tekshiruv hisoblanadi.</w:t>
      </w:r>
    </w:p>
    <w:p w:rsidR="005603EC" w:rsidRDefault="00AB61AC">
      <w:pPr>
        <w:pStyle w:val="af"/>
        <w:spacing w:after="0" w:line="360" w:lineRule="auto"/>
        <w:ind w:firstLine="709"/>
        <w:jc w:val="both"/>
      </w:pPr>
      <w:r>
        <w:rPr/>
        <w:t xml:space="preserve">Shundan so‘ng </w:t>
      </w:r>
      <w:r>
        <w:rPr/>
        <w:t xml:space="preserve">empirik tekshiruvdan o‘tgan, tayanch vaznli indeks</w:t>
      </w:r>
      <w:r>
        <w:t xml:space="preserve"> beshta bankning 2021–2025-yillardagi moliyaviy barqarorligi dinamikasini baholash uchun qo‘llandi </w:t>
      </w:r>
      <w:r>
        <w:rPr/>
        <w:t xml:space="preserve">(3.2.2-rasm)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w:t>
            </w:r>
            <w:r>
              <w:rPr>
                <w:rFonts w:ascii="Times New Roman" w:hAnsi="Times New Roman" w:eastAsia="Times New Roman" w:cs="Times New Roman"/>
                <w:b w:val="0"/>
                <w:sz w:val="24"/>
                <w:szCs w:val="24"/>
              </w:rPr>
              <w:t>“Xalq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3,38</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FFC000"/>
                <w:sz w:val="24"/>
                <w:szCs w:val="24"/>
              </w:rPr>
              <w:t xml:space="preserve">━━ </w:t>
            </w:r>
            <w:r>
              <w:rPr>
                <w:rFonts w:ascii="Times New Roman" w:hAnsi="Times New Roman" w:eastAsia="Times New Roman" w:cs="Times New Roman"/>
                <w:b w:val="0"/>
                <w:sz w:val="24"/>
                <w:szCs w:val="24"/>
              </w:rPr>
              <w:t>“Biznesni rivojlantirish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2,03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30A0"/>
                <w:sz w:val="24"/>
                <w:szCs w:val="24"/>
              </w:rPr>
              <w:t xml:space="preserve">━━ </w:t>
            </w:r>
            <w:r>
              <w:rPr>
                <w:rFonts w:ascii="Times New Roman" w:hAnsi="Times New Roman" w:eastAsia="Times New Roman" w:cs="Times New Roman"/>
                <w:b w:val="0"/>
                <w:sz w:val="24"/>
                <w:szCs w:val="24"/>
              </w:rPr>
              <w:t>“Ipoteka-bank”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00A3A3"/>
                <w:sz w:val="24"/>
                <w:szCs w:val="24"/>
              </w:rPr>
              <w:t xml:space="preserve">╍╍ </w:t>
            </w:r>
            <w:r>
              <w:rPr>
                <w:rFonts w:ascii="Times New Roman" w:hAnsi="Times New Roman" w:eastAsia="Times New Roman" w:cs="Times New Roman"/>
                <w:b w:val="0"/>
                <w:sz w:val="24"/>
                <w:szCs w:val="24"/>
              </w:rPr>
              <w:t>“Aloqabank” (tanlanmadan tashqari)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line="240" w:lineRule="auto"/>
        <w:jc w:val="both"/>
      </w:pPr>
      <w:r>
        <w:rPr>
          <w:sz w:val="24"/>
        </w:rPr>
        <w:t xml:space="preserve">Izoh: qizil uzuq chiziqlar – I va II sinflar (3,25 ball) hamda II va III sinflar (2,50 ball) chegaralari.</w:t>
      </w:r>
    </w:p>
    <w:p w:rsidR="005603EC" w:rsidRDefault="00AB61AC">
      <w:pPr>
        <w:pStyle w:val="af"/>
        <w:spacing w:before="120" w:after="240" w:line="240" w:lineRule="auto"/>
        <w:jc w:val="center"/>
      </w:pPr>
      <w:r>
        <w:rPr>
          <w:b/>
        </w:rPr>
        <w:t xml:space="preserve">3.2.2-rasm</w:t>
      </w:r>
      <w:r>
        <w:rPr>
          <w:b/>
        </w:rPr>
        <w:t xml:space="preserve">. Tanlangan banklarda moliyaviy barqarorlikning integral indeksi, MHXS hisobotlari asosida, 2021–2025-yillar</w:t>
      </w:r>
      <w:r>
        <w:rPr>
          <w:rStyle w:val="aff8"/>
        </w:rPr>
        <w:footnoteReference w:id="436"/>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w:t>
      </w:r>
      <w:r>
        <w:rPr/>
        <w:t xml:space="preserve">kapitallashtirish hisobiga yuz bergan. Jumladan, 2022–2025-yillarda</w:t>
      </w:r>
      <w:r>
        <w:t xml:space="preserve"> bu banklar kapitaliga mos ravishda taxminan 3 187,6 va 4 160,4 mlrd so‘m, “Mikrokreditbank” ATB kapitaliga esa 5 359,2 mlrd so‘m kiritilgan</w:t>
      </w:r>
      <w:r>
        <w:rPr>
          <w:rStyle w:val="aff8"/>
        </w:rPr>
        <w:footnoteReference w:id="437"/>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t xml:space="preserve">Natijalarning umumiyligini tekshirish maqsadida i</w:t>
      </w:r>
      <w:r>
        <w:rPr/>
        <w:t xml:space="preserve">ndeks empirik vaznlar baholanishida qatnashmagan oltinchi bank – “Aloqabank” ATB ma’lumotlarida ham tekshirildi </w:t>
      </w:r>
      <w:r>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w:t>
      </w:r>
      <w:r>
        <w:rPr/>
        <w:t xml:space="preserve">indeks 3,248 ballni tashkil etib, I sinf chegarasiga yaqinlashgan</w:t>
      </w:r>
      <w:r>
        <w:rPr/>
        <w:t xml:space="preserve">.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w:t>
      </w:r>
      <w:r>
        <w:rPr/>
        <w:t xml:space="preserve">deyarli o‘zgartirmaydi. Xususan, tartib</w:t>
      </w:r>
      <w:r>
        <w:rPr/>
        <w:t xml:space="preserve">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w:t>
      </w:r>
      <w:r>
        <w:rPr/>
        <w:t xml:space="preserve">. Jumladan,</w:t>
      </w:r>
      <w:r>
        <w:t xml:space="preserve"> P. Athanasoglou, S. Brissimis va M. Delis bank daromadliligiga bank, tarmoq va makroiqtisodiy omillar ta’sirini dinamik panel modeli yordamida o‘rganib, daromadlilikning sezilarli darajada inersiyaga ega ekanini ko‘rsatgan</w:t>
      </w:r>
      <w:r>
        <w:rPr>
          <w:rStyle w:val="aff8"/>
        </w:rPr>
        <w:footnoteReference w:id="438"/>
      </w:r>
      <w:r>
        <w:t>, L. Laeven va R. Levine esa bankning to‘lovga qobiliyatsizlik riskini Z-score ko‘rsatkichi orqali o‘lchab, uning mulkchilik tuzilmasi va tartibga solish bilan bog‘liqligini aniqlagan</w:t>
      </w:r>
      <w:r>
        <w:rPr>
          <w:rStyle w:val="aff8"/>
        </w:rPr>
        <w:footnoteReference w:id="439"/>
      </w:r>
      <w:r>
        <w:t xml:space="preserve">. O‘zbekistonda esa bank barqarorligi omillarini bank darajasidagi panel ma’lumotlar asosida, ayniqsa integral ko‘rsatkich orqali baholashga bag‘ishlangan tadqiqotlar </w:t>
      </w:r>
      <w:r>
        <w:rPr/>
        <w:t xml:space="preserve">deyarli mavjud emas. Mavjud ishlarda esa ko‘rsatkichlar</w:t>
      </w:r>
      <w:r>
        <w:t xml:space="preserve"> alohida-alohida tahlil qilinadi va ularning omillari ekonometrik jihatdan sinovdan o‘tkazilmaydi</w:t>
      </w:r>
      <w:r>
        <w:rPr>
          <w:rStyle w:val="aff8"/>
        </w:rPr>
        <w:footnoteReference w:id="440"/>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Kutilgan ta’sir</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H1</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banklarining moliyaviy barqarorligi xususiy banklarnikidan past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H2</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Jadal kreditlash bir yildan keyin barqarorlikni pasaytiradi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4 va 8 chorak lag bilan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H3</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depozit bazasi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H4</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faoliyatdan daromad olish qobiliyati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H5</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Iqtisodiy o‘sish kredit riskini kamaytiradi, pul-kredit siyosatining qat’iylashuvi esa oshiradi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asosiy stavka, so‘m kursi, inflyatsiya</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ulushiga: YaIM – manfiy; stavka va so‘m qadrsizlanishi – musbat; inflyatsiya – noaniq</w:t>
            </w:r>
          </w:p>
        </w:tc>
      </w:tr>
    </w:tbl>
    <w:p w:rsidR="005603EC" w:rsidRDefault="00AB61AC">
      <w:pPr>
        <w:pStyle w:val="af"/>
        <w:spacing w:after="0" w:line="360" w:lineRule="auto"/>
        <w:ind w:firstLine="709"/>
        <w:jc w:val="both"/>
      </w:pPr>
      <w:r>
        <w:t xml:space="preserve">Jadvalda keltirilgan gipotezalarning har biri xalqaro tadqiqotlarda tasdiqlangan mexanizmga tayanadi. Birinchi gipoteza davlat banklarining siyosiy maqsadlarda kreditlash va yumshoq byudjet cheklovi sharoitida faoliyat yuritishi bilan izohlanadi</w:t>
      </w:r>
      <w:r>
        <w:rPr/>
        <w:t xml:space="preserve">. Xususan,</w:t>
      </w:r>
      <w:r>
        <w:t xml:space="preserve">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2"/>
      </w:r>
      <w:r>
        <w:rPr>
          <w:rStyle w:val="aff8"/>
        </w:rPr>
        <w:footnoteReference w:id="443"/>
      </w:r>
      <w:r>
        <w:t xml:space="preserve">. Ikkinchi gipoteza D. Foos, L. Norden va M. Weber </w:t>
      </w:r>
      <w:r>
        <w:rPr/>
        <w:t xml:space="preserve">tadqiqotiga asoslanadi. Ushbu mualliflar kreditlarning</w:t>
      </w:r>
      <w:r>
        <w:t xml:space="preserve"> g‘ayrioddiy tez o‘sishi keyingi uch yilda kredit zaxiralarining oshishi va kapitallashuvning yomonlashuviga olib kelishini </w:t>
      </w:r>
      <w:r>
        <w:lastRenderedPageBreak/>
      </w:r>
      <w:r>
        <w:t>ko‘rsatgan</w:t>
      </w:r>
      <w:r>
        <w:rPr>
          <w:rStyle w:val="aff8"/>
        </w:rPr>
        <w:footnoteReference w:id="444"/>
      </w:r>
      <w:r>
        <w:t xml:space="preserve">. Uchinchi gipoteza A. Demirgüç-Kunt va H. Huizinga </w:t>
      </w:r>
      <w:r>
        <w:rPr/>
        <w:t xml:space="preserve">xulosasiga tayanadi. Unga ko‘ra, depozit bo‘lmagan</w:t>
      </w:r>
      <w:r>
        <w:t xml:space="preserve">, ya’ni ulgurji moliyalashtirishga ko‘proq tayanadigan banklar riskliroq bo‘ladi</w:t>
      </w:r>
      <w:r>
        <w:rPr>
          <w:rStyle w:val="aff8"/>
        </w:rPr>
        <w:footnoteReference w:id="445"/>
      </w:r>
      <w:r>
        <w:t xml:space="preserve">. </w:t>
      </w:r>
      <w:r>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w:t>
      </w:r>
      <w:r>
        <w:rPr/>
        <w:t xml:space="preserve">. Jumladan,</w:t>
      </w:r>
      <w:r>
        <w:t xml:space="preserve">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6"/>
      </w:r>
      <w:r>
        <w:rPr>
          <w:rStyle w:val="aff8"/>
        </w:rPr>
        <w:footnoteReference w:id="447"/>
      </w:r>
      <w:r>
        <w:rPr>
          <w:rStyle w:val="aff8"/>
        </w:rPr>
        <w:footnoteReference w:id="448"/>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9"/>
      </w:r>
      <w:r>
        <w:t>, yuqori likvid aktivlar, kredit zaxiralari, foizli daromad va xarajatlar, operatsion xarajatlar va sof foyda “SNS” reyting agentligining banklar ko‘rsatkichlari bazasidan</w:t>
      </w:r>
      <w:r>
        <w:rPr>
          <w:rStyle w:val="aff8"/>
        </w:rPr>
        <w:footnoteReference w:id="450"/>
      </w:r>
      <w:r>
        <w:t>, makroiqtisodiy ko‘rsatkichlar esa Markaziy bankning statistik byulletenidan olindi</w:t>
      </w:r>
      <w:r>
        <w:rPr>
          <w:rStyle w:val="aff8"/>
        </w:rPr>
        <w:footnoteReference w:id="451"/>
      </w:r>
      <w:r>
        <w:t>. Ikki bank manbasi bank nomlari bo‘yicha birlashtirildi, ma’lum xato qiymatlar tahlildan chiqarildi</w:t>
      </w:r>
      <w:r>
        <w:rPr>
          <w:rStyle w:val="aff8"/>
        </w:rPr>
        <w:footnoteReference w:id="452"/>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3"/>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w:t>
      </w:r>
      <w:r>
        <w:rPr/>
        <w:t xml:space="preserve">Bu panel indeksi 3.2-paragrafda kiritilgan MBII-8 belgisi bilan ifodalanadi.</w:t>
      </w:r>
      <w:r>
        <w:t xml:space="preserve"> Natijalarning ishonchliligini tekshirish uchun muqobil bog‘liq o‘zgaruvchi sifatida xalqaro tadqiqotlarda keng qo‘llanadigan Z-score ko‘rsatkichi olindi</w:t>
      </w:r>
      <w:r>
        <w:rPr>
          <w:rStyle w:val="aff8"/>
        </w:rPr>
        <w:footnoteReference w:id="454"/>
      </w:r>
      <w:r>
        <w:rPr>
          <w:rStyle w:val="aff8"/>
        </w:rPr>
        <w:footnoteReference w:id="455"/>
      </w:r>
      <w:r>
        <w:rPr/>
        <w:t xml:space="preserve">. Bu ko‘rsatkich aktivlar rentabelligi</w:t>
      </w:r>
      <w:r>
        <w:t xml:space="preserve"> va kapitalning aktivlarga nisbati yig‘indisining aktivlar rentabelligi standart chetlanishiga nisbati sifatida hisoblanadi va bank zarar ko‘rib kapitalini yo‘qotishi uchun daromadlilik </w:t>
      </w:r>
      <w:r>
        <w:lastRenderedPageBreak/>
      </w:r>
      <w:r>
        <w:t xml:space="preserve">o‘rtacha darajasidan necha standart chetlanishga pasayishi kerakligini ko‘rsatadi. Standart chetlanish L. Lepetit va F. Strobel tavsiyasiga muvofiq </w:t>
      </w:r>
      <w:r>
        <w:rPr/>
        <w:t xml:space="preserve">8 chorakli (tanlanma boshida kamida 4 chorakli) siljuvchi oyna bo‘yicha</w:t>
      </w:r>
      <w:r>
        <w:t xml:space="preserve"> hisoblandi</w:t>
      </w:r>
      <w:r>
        <w:rPr>
          <w:rStyle w:val="aff8"/>
        </w:rPr>
        <w:footnoteReference w:id="456"/>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chetlanish</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Minimum</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Maksimum</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Panel integral indeksi (MBII-8),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 mlrd so‘m)</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(yillik),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86,7</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r>
    </w:tbl>
    <w:p w:rsidR="005603EC" w:rsidRDefault="00AB61AC">
      <w:pPr>
        <w:pStyle w:val="af"/>
        <w:spacing w:line="240" w:lineRule="auto"/>
        <w:jc w:val="both"/>
      </w:pPr>
      <w:r>
        <w:rPr>
          <w:sz w:val="24"/>
        </w:rPr>
        <w:t xml:space="preserve">Izoh: muammoli kreditlar ulushi, kreditlar o‘sishi, depozitlar/aktivlar, sof foiz marjasi va ln(Z-score) regressiyalardagi kabi 1 va 99 foizli persentillar bo‘yicha vinzorlangan.</w:t>
      </w:r>
    </w:p>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w:t>
      </w:r>
      <w:r>
        <w:rPr/>
        <w:t xml:space="preserve">4 ball bilan baholangan, chunki tanlanmadagi</w:t>
      </w:r>
      <w:r>
        <w:t xml:space="preserve">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w:t>
      </w:r>
      <w:r>
        <w:rPr/>
        <w:t xml:space="preserve">2024-yilda davlat banklari indeksining 2,88 ballgacha pasayishiga ularning aktivlar rentabelligi medianasining 0,1 foizgacha tushib ketishi sabab bo‘lgan. Bu yilda to‘qqizta davlat bankidan beshtasida ROA 0,13 foizdan oshmagan, “Mikrokreditbank” va “Biznesni rivojlantirish banki” ATBlari esa zarar bilan yakunlagan, “Mikrokreditbank” ATB zarari esa II bobda aniqlangan yashirin kredit riskining bir yo‘la tan olinishi bilan bog‘liq. 2025-yilda farq 0,47 ballgacha qisqargan. Bunga davlat banklari indeksining 2,88 dan 3,15 ballgacha tiklanishi bilan birga boshqa banklar indeksining 2022-yildagi 3,89 dan 3,61 ballgacha izchil pasayishi sabab bo‘lgan.</w:t>
      </w:r>
      <w:r>
        <w:lastRenderedPageBreak/>
      </w:r>
      <w:r>
        <w:t xml:space="preserve"> Boshqa banklarda bu pasayish likvidlik blokining </w:t>
      </w:r>
      <w:r>
        <w:rPr/>
        <w:t xml:space="preserve">yomonlashuvi bilan izohlanadi. Xususan, ularda</w:t>
      </w:r>
      <w:r>
        <w:t xml:space="preserve">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9"/>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w:t>
      </w:r>
      <w:r>
        <w:rPr/>
        <w:t xml:space="preserve">moliyalashtirish modelidagi tafovutdir. Jumladan, davlat</w:t>
      </w:r>
      <w:r>
        <w:t xml:space="preserve">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r>
      <w:r>
        <w:t xml:space="preserve">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w:t>
      </w:r>
      <w:r>
        <w:rPr/>
        <w:t xml:space="preserve">1,65–4,90 barobar</w:t>
      </w:r>
      <w:r>
        <w:t xml:space="preserve">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 xml:space="preserve">3.3.3-rasm. Davlat banklari va boshqa banklarda </w:t>
      </w:r>
      <w:r>
        <w:rPr>
          <w:b/>
        </w:rPr>
        <w:t xml:space="preserve">Z-score logarifmining medianasi, 2022–2025-yillarning IV choragi</w:t>
      </w:r>
      <w:r>
        <w:rPr>
          <w:rStyle w:val="aff8"/>
        </w:rPr>
        <w:footnoteReference w:id="460"/>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w:t>
      </w:r>
      <w:r>
        <w:rPr/>
        <w:t xml:space="preserve">barqarorroq ko‘rinadi. Xususan, 2025-yilda</w:t>
      </w:r>
      <w:r>
        <w:t xml:space="preserve">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w:t>
      </w:r>
      <w:r>
        <w:rPr/>
        <w:t xml:space="preserve">kapitalning aktivlarga nisbati esa boshqa banklarnikidan past bo‘lsa-da (2022–2025-yillarda medianasi 13,3–14,0 foizga nisbatan 15,8–16,6 foiz), aktivlar rentabelligining standart chetlanishi ancha kichik (2025-yilda 1,16 foiz punktga nisbatan 0,71 foiz punkt).</w:t>
      </w:r>
      <w:r>
        <w:t xml:space="preserve"> Natijada Z-score davlat ko‘magini bankning o‘z barqarorligi sifatida qabul qiladi, integral </w:t>
      </w:r>
      <w:r>
        <w:lastRenderedPageBreak/>
      </w:r>
      <w:r>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 xml:space="preserve">MBII-8</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1"/>
      </w:r>
      <w:r>
        <w:rPr>
          <w:rStyle w:val="aff8"/>
        </w:rPr>
        <w:footnoteReference w:id="462"/>
      </w:r>
      <w:r>
        <w:t>. Usullar o‘rtasida tanlov Breusch–Pagan va Hausman testlari asosida amalga oshirildi</w:t>
      </w:r>
      <w:r>
        <w:rPr>
          <w:rStyle w:val="aff8"/>
        </w:rPr>
        <w:footnoteReference w:id="463"/>
      </w:r>
      <w:r>
        <w:rPr>
          <w:rStyle w:val="aff8"/>
        </w:rPr>
        <w:footnoteReference w:id="464"/>
      </w:r>
      <w:r>
        <w:t>. Standart xatolar heteroskedastiklik va avtokorrelyatsiyani hisobga olish uchun bank bo‘yicha klasterlangan. Indeksning inersiyasini hisobga oluvchi dinamik model esa qisqa panellardagi siljishni</w:t>
      </w:r>
      <w:r>
        <w:rPr>
          <w:rStyle w:val="aff8"/>
        </w:rPr>
        <w:footnoteReference w:id="465"/>
      </w:r>
      <w:r>
        <w:t xml:space="preserve"> bartaraf etish maqsadida </w:t>
      </w:r>
      <w:r>
        <w:lastRenderedPageBreak/>
      </w:r>
      <w:r>
        <w:t>T. Anderson va C. Hsiao usuli bo‘yicha birinchi farqlarda, indeksning ikki chorak oldingi qiymatini instrument sifatida qo‘llab baholandi</w:t>
      </w:r>
      <w:r>
        <w:rPr>
          <w:rStyle w:val="aff8"/>
        </w:rPr>
        <w:footnoteReference w:id="466"/>
      </w:r>
      <w:r>
        <w:rPr>
          <w:rStyle w:val="aff8"/>
        </w:rPr>
        <w:footnoteReference w:id="467"/>
      </w:r>
      <w:r>
        <w:t xml:space="preserve">. Omillar o‘rtasidagi multikollinearlik dispersiya inflyatsiyasi koeffitsiyenti </w:t>
      </w:r>
      <w:r>
        <w:rPr/>
        <w:t xml:space="preserve">(VIF) orqali tekshirildi. Natijalarga ko‘ra, uning eng yuqori</w:t>
      </w:r>
      <w:r>
        <w:t xml:space="preserve">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Dinamik (Anderson–Hsiao)</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MBII-8 (t−1)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0,502*** (0,185)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0,057 (0,084)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−0,071 (0,091)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 (0,139)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0,274*** (0,095)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−0,0009*** (0,0003)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0,0001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0,007*** (0,003)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0,008*** (0,001)</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0,021* (0,013)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0,022*** (0,003)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−0,278 (0,205)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0,364* (0,215)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r>
      <w:tr w:rsidR="005603EC" w:rsidTr="005603EC">
        <w:trPr>
          <w:cantSplit/>
        </w:trPr>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 (umumiy)</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(bank ichidagi)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Testlar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Breusch–Pagan LM = 616,1 (p &lt; 0,001)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χ²(4) = 17,34 (p =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 xml:space="preserve">statistik ahamiyatli ta’sir ko‘rsatadi </w:t>
      </w:r>
      <w:r>
        <w:rPr/>
        <w:t xml:space="preserve">(barcha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9"/>
      </w:r>
      <w:r>
        <w:t xml:space="preserve">. Ikkinchidan, sof foiz marjasi integral indeksga </w:t>
      </w:r>
      <w:r>
        <w:rPr/>
        <w:t xml:space="preserve">musbat ta’sir ko‘rsatadi. Xususan, marjaning</w:t>
      </w:r>
      <w:r>
        <w:t xml:space="preserve"> 1 foiz punktga oshishi qayd etilgan effektli modelga ko‘ra indeksni 0,009 ballga, dinamik modelga ko‘ra 0,022 ballga oshiradi. Bu </w:t>
      </w:r>
      <w:r>
        <w:rPr/>
        <w:t xml:space="preserve">to‘rtinchi gipotezani tasdiqlaydi, ya’ni asosiy</w:t>
      </w:r>
      <w:r>
        <w:t xml:space="preserve">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 xml:space="preserve">Dinamik model integral indeksning sezilarli </w:t>
      </w:r>
      <w:r>
        <w:rPr/>
        <w:t xml:space="preserve">inersiyaga ega ekanini ko‘rsatadi. Xususan, oldingi</w:t>
      </w:r>
      <w:r>
        <w:t xml:space="preserve">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70"/>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 xml:space="preserve">qariyb 0,17 ballga oshiradi</w:t>
      </w:r>
      <w:r>
        <w:t xml:space="preserve">. Bu natija P. Athanasoglou va hammualliflar xulosasiga mos keladi</w:t>
      </w:r>
      <w:r>
        <w:rPr>
          <w:rStyle w:val="aff8"/>
        </w:rPr>
        <w:footnoteReference w:id="471"/>
      </w:r>
      <w:r>
        <w:t xml:space="preserve">, biroq inersiyaning nisbatan pastligi bir martalik zararlar va qayta kapitallashtirishlar bilan izohlanadi. </w:t>
      </w:r>
      <w:r>
        <w:rPr/>
        <w:t xml:space="preserve">Mazkur holat</w:t>
      </w:r>
      <w:r>
        <w:t xml:space="preserve"> indeksni har chorakda hisoblash zarurligini asoslaydi.</w:t>
      </w:r>
    </w:p>
    <w:p w:rsidR="005603EC" w:rsidRDefault="00AB61AC">
      <w:pPr>
        <w:pStyle w:val="af"/>
        <w:spacing w:after="0" w:line="360" w:lineRule="auto"/>
        <w:ind w:firstLine="709"/>
        <w:jc w:val="both"/>
      </w:pPr>
      <w:r>
        <w:t xml:space="preserve">Kreditlar o‘sishining ta’siri spetsifikatsiyaga bog‘liq bo‘lgan. Banklar o‘rtasidagi farqni ham hisobga oluvchi Pooled modelda to‘rt chorak oldingi kreditlar o‘sishi indeksni 1 foiz darajada </w:t>
      </w:r>
      <w:r>
        <w:rPr/>
        <w:t xml:space="preserve">ahamiyatli pasaytiradi. Boshqacha aytganda, kreditlarning yillik</w:t>
      </w:r>
      <w:r>
        <w:t xml:space="preserve"> o‘sishi 50 foiz punktga yuqori bo‘lgan bankda bir yildan keyin </w:t>
      </w:r>
      <w:r>
        <w:rPr/>
        <w:t xml:space="preserve">indeks qariyb 0,04 ballga past bo‘ladi</w:t>
      </w:r>
      <w:r>
        <w:t xml:space="preserve">.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w:t>
      </w:r>
      <w:r>
        <w:rPr/>
        <w:t xml:space="preserve">(koeffitsiyent qayd etilgan effektli modelda +0,0005, p = 0,05, tasodifiy effektlar modelida +0,0005, p = 0,007)</w:t>
      </w:r>
      <w:r>
        <w:rPr/>
        <w:t xml:space="preserve">, Z-score bo‘yicha esa sakkiz chorak lagli ta’sir barcha modellarda ahamiyatsiz. </w:t>
      </w:r>
      <w:r>
        <w:rPr/>
        <w:t xml:space="preserve">Demak, jadal kreditlashning Z-score ga ta’siri asosan bir yil ichida namoyon bo‘ladi (3.3.5-jadval).</w:t>
      </w:r>
      <w:r>
        <w:t xml:space="preserve"> Buning sababi quyida satellit model natijalari orqali tushuntiriladi. Bank hajmining </w:t>
      </w:r>
      <w:r>
        <w:rPr/>
        <w:t xml:space="preserve">ta’siri ham barqaror emas, chunki u faqat</w:t>
      </w:r>
      <w:r>
        <w:t xml:space="preserve">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1-model: moliyalashtirish tuzilmasi nazoratisiz</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2-model: depozitlar ulushi va sof foiz marjasi nazorati bilan</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−0,690*** (0,185)</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−0,344* (0,202)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0,095 (0,093)</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0,119 (0,080)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0,0109*** (0,0025)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ta’sirining </w:t>
            </w:r>
            <w:r>
              <w:rPr>
                <w:rFonts w:ascii="Times New Roman" w:hAnsi="Times New Roman" w:eastAsia="Times New Roman" w:cs="Times New Roman"/>
                <w:sz w:val="24"/>
                <w:szCs w:val="24"/>
              </w:rPr>
              <w:t xml:space="preserve">moliyalashtirish modeli orqali</w:t>
            </w:r>
            <w:r>
              <w:rPr>
                <w:rFonts w:ascii="Times New Roman" w:hAnsi="Times New Roman" w:eastAsia="Times New Roman" w:cs="Times New Roman"/>
                <w:sz w:val="24"/>
                <w:szCs w:val="24"/>
              </w:rPr>
              <w:t xml:space="preserve"> izohlanadigan qismi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w:t>
      </w:r>
      <w:r>
        <w:rPr/>
        <w:t xml:space="preserve">davlat banklarining integral indeksi boshqa banklarnikidan o‘rtacha 0,69</w:t>
      </w:r>
      <w:r>
        <w:t xml:space="preserve">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0,184 (0,134)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−0,246 (0,150)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−0,776* (0,430)</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−0,0021*** (0,0008)</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−0,0017** (0,0008)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−0,0027** (0,0012)</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(0,006)</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−0,013 (0,009)</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0,017 (0,025)</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 (0,014)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−0,016 (0,016)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−0,371 (0,427)</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0,544 (0,413)</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testi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χ²(4) = 6,83 (p = 0,145)</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 xml:space="preserve">Jadvaldan ko‘rinib turibdiki, Z-score bo‘yicha natijalar integral indeks natijalaridan ikki jihatdan farq qiladi. Birinchidan, kreditlar o‘sishining salbiy ta’siri bu yerda barcha uchta modelda, </w:t>
      </w:r>
      <w:r>
        <w:rPr/>
        <w:t xml:space="preserve">jumladan qayd etilgan effektli modelda ham statistik ahamiyatli. RE va FE modellariga ko‘ra, kreditlarning yillik o‘sishi 10 foiz punktga oshishi bir yildan keyin Z-score ni 1,7–2,7 foizga pasaytiradi, Hausman testi esa bu holatda tasodifiy effektlar modelini rad etmaydi (p = 0,145).</w:t>
      </w:r>
      <w:r>
        <w:t xml:space="preserve"> Bu ikkinchi gipotezani tasdiqlaydi va D. Foos hamda hammualliflar natijasi bilan mos keladi</w:t>
      </w:r>
      <w:r>
        <w:rPr>
          <w:rStyle w:val="aff8"/>
        </w:rPr>
        <w:footnoteReference w:id="474"/>
      </w:r>
      <w:r>
        <w:t xml:space="preserve">. </w:t>
      </w:r>
      <w:r>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w:t>
      </w:r>
      <w:r>
        <w:rPr/>
        <w:t xml:space="preserve">aniqlangan holatni tasdiqlaydi, ya’ni Z-score</w:t>
      </w:r>
      <w:r>
        <w:t xml:space="preserv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effektlari)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0,623*** (0,051)</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0,805*** (0,061)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0,0011 (0,0037)</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0,0055 (0,0038)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(t−8),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−0,0012 (0,0014)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−0,0006 (0,0010)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1,119 (1,216)</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0,205 (0,151)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 (0,498)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−1,927*** (0,588)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0,705* (0,398)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0,999** (0,438)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dollari kursi o‘zgarishi,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(0,040)</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 (0,023)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−0,165 (0,118)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−0,188 (0,130)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0,133 (0,304)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 (bank ichidagi)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6"/>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7"/>
      </w:r>
      <w:r>
        <w:t xml:space="preserve">. </w:t>
      </w:r>
      <w:r>
        <w:rPr/>
        <w:t xml:space="preserve">AQSh dollari kursining (so‘m qadrsizlanishining) ta’siri esa</w:t>
      </w:r>
      <w:r>
        <w:t xml:space="preserve">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8"/>
      </w:r>
      <w:r>
        <w:t xml:space="preserve">, birinchi qarashda ikkinchi gipotezani rad etadi. Biroq bu natija II bobda aniqlangan holat </w:t>
      </w:r>
      <w:r>
        <w:rPr/>
        <w:t xml:space="preserve">bilan to‘liq izohlanadi. Ma’lumki, milliy tasnif</w:t>
      </w:r>
      <w:r>
        <w:t xml:space="preserve"> kredit riskini MHXS 9 ga nisbatan </w:t>
      </w:r>
      <w:r>
        <w:rPr/>
        <w:t xml:space="preserve">1,65–4,90 barobar</w:t>
      </w:r>
      <w:r>
        <w:t xml:space="preserve">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Integral indeks (MBII-8)</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Z-score</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Xulosa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H1. Davlat ulushi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−0,69*** (yarmi moliyalashtirish modeli orqali)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 Z-score uni aniqlamaydi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H2. Jadal kreditlash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Pooled modelda manfiy*** (4 va 8 chorak lag), </w:t>
            </w:r>
            <w:r>
              <w:rPr>
                <w:rFonts w:ascii="Times New Roman" w:hAnsi="Times New Roman" w:eastAsia="Times New Roman" w:cs="Times New Roman"/>
                <w:sz w:val="24"/>
                <w:szCs w:val="24"/>
              </w:rPr>
              <w:t xml:space="preserve">bank ichida manfiy ta’sir aniqlanmadi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modellarda manfiy (**/***) (4 chorak lag); 8 chorak lag – 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H3. Depozit bazasi barqarorlikni oshiradi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musbat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Pooled modelda manfiy**</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H4. Sof foiz marjasi barqarorlikni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musbat (Pooled modelda *, RE, FE va dinamik modellarda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H5. YaIM o‘sishi kredit riskini kamaytiradi, asosiy stavka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 orqali nazorat qilindi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manfiy***, stavka: musbat (*/**)</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bl>
    <w:p w:rsidR="005603EC" w:rsidRDefault="00AB61AC">
      <w:pPr>
        <w:pStyle w:val="af"/>
        <w:spacing w:after="0" w:line="360" w:lineRule="auto"/>
        <w:ind w:firstLine="709"/>
        <w:jc w:val="both"/>
      </w:pPr>
      <w:r>
        <w:t xml:space="preserve">Jadvaldan ko‘rinib turibdiki, </w:t>
      </w:r>
      <w:r>
        <w:rPr/>
        <w:t xml:space="preserve">beshta gipotezadan to‘rttasi (H1, H3 va H4 – integral indeks bo‘yicha, H5 – muammoli kreditlar bo‘yicha) tasdiqlangan, bittasi (H2) qisman tasdiqlangan</w:t>
      </w:r>
      <w:r>
        <w:t xml:space="preserve">.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r>
      <w: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 xml:space="preserve">qariyb 0,17 ballga oshiradi</w:t>
      </w:r>
      <w:r>
        <w:t xml:space="preserve">.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w:t>
      </w:r>
      <w:r>
        <w:rPr/>
        <w:t xml:space="preserve">boshqa banklarnikidan 0,69 ballga past</w:t>
      </w:r>
      <w:r>
        <w:t xml:space="preserve">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w:t>
      </w:r>
      <w:r>
        <w:rPr/>
        <w:t xml:space="preserve">davlat banklarini boshqa banklardan barqarorroq</w:t>
      </w:r>
      <w:r>
        <w:t xml:space="preserve">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r>
      <w:r>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w:t>
      </w:r>
      <w:r>
        <w:rPr>
          <w:color w:val="0070C0"/>
        </w:rPr>
        <w:t xml:space="preserve">va guruhlab tahlil tizimlari, risklarni kompleks baholash tizimlari hamda</w:t>
      </w:r>
      <w:r>
        <w:t xml:space="preserve"> statistik bashorat modellariga ajratilgan hamda nazorat organlarining ko‘pchiligi ularni birgalikda qo‘llashi qayd etilgan</w:t>
      </w:r>
      <w:r>
        <w:rPr>
          <w:rStyle w:val="aff8"/>
        </w:rPr>
        <w:footnoteReference w:id="480"/>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1"/>
      </w:r>
      <w:r>
        <w:t xml:space="preserve">. II bob tahlili O‘zbekistonda xuddi shunday muammo </w:t>
      </w:r>
      <w:r>
        <w:rPr/>
        <w:t xml:space="preserve">mavjudligini ko‘rsatdi. Xususan, “Mikrokreditbank” ATB ning</w:t>
      </w:r>
      <w:r>
        <w:t xml:space="preserve">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Cheklovi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reytinglari (CAMELS)</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tekshiruv natijasida bankka 1–5 ball beriladi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Sifat omillarini, jumladan boshqaruv sifatini hisobga oladi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Tekshiruvlar oralig‘ida eskiradi, bashorat elementi yo‘q</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Signallar usuli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chegaradan o‘tganda signal beriladi, chegara xatolar nisbati bo‘yicha tanlanadi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natijasi oson talqin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alohida baholanadi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bashorat modellari (logit, probit)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ehtimoli bir nechta ko‘rsatkich orqali baholanadi (AQSh Federal rezerv tizimidagi FIMS modeli)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Ehtimol shaklidagi miqdoriy natija beradi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va buxgalteriya ko‘rsatkichlari (Z-score)</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daromadlilikning tebranuvchanlikka nisbati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Kam ma’lumot talab qiladi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asosidagi tizim (taklif)</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 qiymatiga qarab bank uch zonadan biriga kiritiladi, har bir zona uchun choralar belgilanadi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Bashorat kuchini bloklar bo‘yicha sabab tahlili bilan birlashtiradi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3"/>
      </w:r>
      <w:r>
        <w:rPr>
          <w:rStyle w:val="aff8"/>
        </w:rPr>
        <w:footnoteReference w:id="484"/>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5"/>
      </w:r>
      <w:r>
        <w:t>. E. Davis va D. Karim bu ikki yondashuvni solishtirib, logit modellar ko‘p mamlakatli global tizimlar uchun, signallar usuli esa alohida mamlakat uchun qurilgan tizimlarda maqbulroq ekanini ko‘rsatgan</w:t>
      </w:r>
      <w:r>
        <w:rPr>
          <w:rStyle w:val="aff8"/>
        </w:rPr>
        <w:footnoteReference w:id="486"/>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7"/>
      </w:r>
      <w:r>
        <w:t>. Yevropa banklari misolida F. Betz va hammualliflar bank darajasidagi ko‘rsatkichlarni makroiqtisodiy ko‘rsatkichlar bilan birlashtirish bashorat aniqligini oshirishini aniqlagan</w:t>
      </w:r>
      <w:r>
        <w:rPr>
          <w:rStyle w:val="aff8"/>
        </w:rPr>
        <w:footnoteReference w:id="488"/>
      </w:r>
      <w:r>
        <w:t>, L. Chiaramonte va F. Poli esa Z-score muammoga uchragan banklarning 75 foizini to‘g‘ri aniqlashini ko‘rsatgan</w:t>
      </w:r>
      <w:r>
        <w:rPr>
          <w:rStyle w:val="aff8"/>
        </w:rPr>
        <w:footnoteReference w:id="489"/>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r>
      <w:r>
        <w:t xml:space="preserve">davrda xususiy banklar ham faoliyatni kengaytirish maqsadida kapitalini oshirgan. Hisob-kitoblar 3.3-paragrafda shakllantirilgan 25 ta bank paneli </w:t>
      </w:r>
      <w:r>
        <w:rPr>
          <w:color w:val="0070C0"/>
        </w:rPr>
        <w:t xml:space="preserve">va integral indeksning shu panel uchun milliy hisobot ma’lumotlari asosida hisoblanadigan 8 ko‘rsatkichli choraklik varianti (3.2-paragrafda kiritilgan MBII-8) bo‘yicha</w:t>
      </w:r>
      <w:r>
        <w:t xml:space="preserve">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90"/>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 zararining kapitalga nisbati, %</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bl>
    <w:p w:rsidR="005603EC" w:rsidRDefault="00AB61AC">
      <w:pPr>
        <w:pStyle w:val="af"/>
        <w:spacing w:after="0" w:line="360" w:lineRule="auto"/>
        <w:ind w:firstLine="709"/>
        <w:jc w:val="both"/>
      </w:pPr>
      <w: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w:t>
      </w:r>
      <w:r>
        <w:rPr>
          <w:color w:val="0070C0"/>
        </w:rPr>
        <w:t xml:space="preserve">banki”), xususiylashtirilgan “Ipoteka-bank” ATB da va kichik xususiy “Garant bank”</w:t>
      </w:r>
      <w:r>
        <w:t xml:space="preserve">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r>
      <w:r>
        <w:t xml:space="preserve">aniqlanadi. To‘rt chorak muddat nazorat organi va bank rahbariyatiga tuzatish choralarini ko‘rish uchun yetarli vaqtni ta’minlaydi. Tahlil davri </w:t>
      </w:r>
      <w:r>
        <w:rPr/>
        <w:t xml:space="preserve">2021–2025-yillarni qamraydi. Bunda muammo hodisalari</w:t>
      </w:r>
      <w:r>
        <w:t xml:space="preserve">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1"/>
      </w:r>
      <w:r>
        <w:t xml:space="preserve">. Bu ko‘rsatkich tasodifiy tanlangan muammoli bankning ko‘rsatkichi tasodifiy tanlangan sog‘lom bankning ko‘rsatkichidan yomonroq bo‘lish </w:t>
      </w:r>
      <w:r>
        <w:rPr/>
        <w:t xml:space="preserve">ehtimolini bildiradi. Bunda 0,5 qiymat</w:t>
      </w:r>
      <w:r>
        <w:t xml:space="preserve"> bashorat kuchi yo‘qligini, 1 esa mukammal bashoratni anglatadi, amaliyotda esa 0,7 dan yuqori qiymat qoniqarli, 0,8 dan yuqorisi esa yaxshi deb hisoblanadi</w:t>
      </w:r>
      <w:r>
        <w:rPr>
          <w:rStyle w:val="aff8"/>
        </w:rPr>
        <w:footnoteReference w:id="492"/>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Shundan hodisadan oldingi</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AUC</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0,895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 – 0,96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0,862</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0,94</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 – 0,86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0,751</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 – 0,85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 – 0,69</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 – 0,55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r>
      <w:r>
        <w:t xml:space="preserve">Jadvaldan ko‘rinib turibdiki, integral indeks muammo hodisalarini </w:t>
      </w:r>
      <w:r>
        <w:rPr/>
        <w:t xml:space="preserve">yaxshi bashorat qiladi. Xususan, uning AUC</w:t>
      </w:r>
      <w:r>
        <w:t xml:space="preserve"> qiymati 0,864 ni tashkil etib, ishonch oralig‘ining quyi chegarasi </w:t>
      </w:r>
      <w:r>
        <w:rPr>
          <w:color w:val="0070C0"/>
        </w:rPr>
        <w:t xml:space="preserve">(0,76) ham qoniqarli daraja hisoblangan 0,7</w:t>
      </w:r>
      <w:r>
        <w:t xml:space="preserve">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4"/>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5"/>
      </w:r>
    </w:p>
    <w:p w:rsidR="005603EC" w:rsidRDefault="00AB61AC">
      <w:pPr>
        <w:pStyle w:val="af"/>
        <w:spacing w:after="0" w:line="360" w:lineRule="auto"/>
        <w:ind w:firstLine="709"/>
        <w:jc w:val="both"/>
      </w:pPr>
      <w:r>
        <w:t xml:space="preserve">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w:t>
      </w:r>
      <w:r>
        <w:rPr/>
        <w:t xml:space="preserve">omil izohlaydi. Gap shundaki, Z-score</w:t>
      </w:r>
      <w:r>
        <w:t xml:space="preserv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6"/>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7"/>
      </w:r>
      <w:r>
        <w:rPr>
          <w:rStyle w:val="aff8"/>
        </w:rPr>
        <w:footnoteReference w:id="498"/>
      </w:r>
      <w:r>
        <w:t xml:space="preserve">. Taqqoslash maqsadida Z-score asosidagi, indeks bloklari asosidagi va davlat </w:t>
      </w:r>
      <w:r>
        <w:rPr>
          <w:color w:val="0070C0"/>
        </w:rPr>
        <w:t xml:space="preserve">banklari uchun fiktiv o‘zgaruvchi kiritilgan</w:t>
      </w:r>
      <w:r>
        <w:t xml:space="preserve">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5-model</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 (3,18)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(2,31)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19,14*** (5,99)</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(1,92)</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12,29*** (3,99)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(1,12)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−7,05*** (1,88)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−4,49*** (1,27)</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 (0,78)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 (0,53)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 (0,50)</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(0,79)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Psevdo-R²</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AUC</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0,955</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0,911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w:t>
      </w:r>
      <w:r>
        <w:rPr>
          <w:color w:val="0070C0"/>
        </w:rPr>
        <w:t xml:space="preserve">u kiritilgan barcha modellarda (1-, 3- va 5-modellar)</w:t>
      </w:r>
      <w:r>
        <w:t xml:space="preserve">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w:t>
      </w:r>
      <w:r>
        <w:rPr/>
        <w:t xml:space="preserve">qiziqarli natija beradi. Unga ko‘ra, integral indeks</w:t>
      </w:r>
      <w:r>
        <w:t xml:space="preserve"> bir xil bo‘lganda davlat banklarida muammo hodisasi ehtimoli pastroq (koeffitsiyent </w:t>
      </w:r>
      <w:r>
        <w:lastRenderedPageBreak/>
      </w:r>
      <w:r>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500"/>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w:t>
      </w:r>
      <w:r>
        <w:rPr>
          <w:color w:val="0070C0"/>
        </w:rPr>
        <w:t xml:space="preserve">kamida har</w:t>
      </w:r>
      <w:r>
        <w:t xml:space="preserve"> to‘rtinchi bankda bir yil ichida jiddiy zarar kutiladi. Shu sababli erta ogohlantirish tizimining chegaralarini aynan shu ikki nuqta atrofida belgilash maqsadga muvofiq. Chegaralarni aniqlash uchun G. Kaminsky va C. Reinhart</w:t>
      </w:r>
      <w:r>
        <w:rPr/>
        <w:t xml:space="preserve">ning</w:t>
      </w:r>
      <w:r>
        <w:t xml:space="preserve"> signallar usuli qo‘llandi</w:t>
      </w:r>
      <w:r>
        <w:rPr>
          <w:rStyle w:val="aff8"/>
        </w:rPr>
        <w:footnoteReference w:id="501"/>
      </w:r>
      <w:r>
        <w:rPr/>
        <w:t xml:space="preserve">. Bunda har bir chegara uchun ikki turdagi xato</w:t>
      </w:r>
      <w:r>
        <w:t xml:space="preserve"> hisoblandi. I tur xato muammo hodisasidan oldin signal berilmagan holatlar ulushini, II tur xato esa </w:t>
      </w:r>
      <w:r>
        <w:lastRenderedPageBreak/>
      </w:r>
      <w:r>
        <w:t xml:space="preserve">muammo yuz bermagan holatda berilgan noto‘g‘ri signallar ulushini bildiradi (</w:t>
      </w:r>
      <w:r>
        <w:rPr>
          <w:color w:val="0070C0"/>
        </w:rPr>
        <w:t xml:space="preserve">4.1.5-jadval, to‘liq jadval 6-ilovada keltirilgan</w:t>
      </w:r>
      <w:r>
        <w:t xml:space="preserve">).</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 xml:space="preserve">MBII-8</w:t>
            </w:r>
            <w:r>
              <w:rPr>
                <w:rFonts w:ascii="Times New Roman" w:hAnsi="Times New Roman" w:eastAsia="Times New Roman" w:cs="Times New Roman"/>
                <w:b/>
                <w:sz w:val="24"/>
                <w:szCs w:val="24"/>
              </w:rPr>
              <w:t xml:space="preserve"> chegarasi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w:t>
      </w:r>
      <w:r>
        <w:rPr/>
        <w:t xml:space="preserve">2,85 ballni tashkil etadi. Bunda muammo</w:t>
      </w:r>
      <w:r>
        <w:t xml:space="preserve"> hodisalarining 69 foizi oldindan aniqlanadi, sog‘lom kuzatuvlarning faqat 8,2 foizida noto‘g‘ri signal beriladi, shovqin/signal nisbati esa 0,12 ga teng. </w:t>
      </w:r>
      <w:r>
        <w:rPr>
          <w:color w:val="0070C0"/>
        </w:rPr>
        <w:t xml:space="preserve">Jadvaldagi chegaralar ichida 2,75 ballik chegarada shovqin/signal nisbati eng past (0,09), ya’ni signal eng ishonchli bo‘ladi (undan past chegaralarda bu nisbat yanada kamayadi, biroq I tur xato 38 foizdan oshadi – 6-ilova)</w:t>
      </w:r>
      <w:r>
        <w:t xml:space="preserve">.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w:t>
      </w:r>
      <w:r>
        <w:rPr/>
        <w:t xml:space="preserve">maqsadga muvofiq. Jumladan, 3,25 ballik chegara</w:t>
      </w:r>
      <w:r>
        <w:t xml:space="preserve">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w:t>
      </w:r>
      <w:r>
        <w:rPr/>
        <w:t xml:space="preserve">sinov o‘tkazildi. Bunda logit model</w:t>
      </w:r>
      <w:r>
        <w:t xml:space="preserve"> faqat 2021-yil IV choragidan 2022-yil IV choragigacha bo‘lgan 113 ta kuzatuv asosida baholandi va 2023–2024-yillardagi 195 ta kuzatuvga qo‘llandi. Sinov davrida 18 ta kuzatuv muammo hodisasidan oldingi davrga to‘g‘ri </w:t>
      </w:r>
      <w:r>
        <w:lastRenderedPageBreak/>
      </w:r>
      <w:r>
        <w:t xml:space="preserve">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w:t>
      </w:r>
      <w:r>
        <w:rPr>
          <w:color w:val="0070C0"/>
        </w:rPr>
        <w:t xml:space="preserve">o‘qitish davri (2021-yil IV choragi – 2022-yil IV choragi)</w:t>
      </w:r>
      <w:r>
        <w:t xml:space="preserve">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3"/>
      </w:r>
      <w:r>
        <w:rPr/>
        <w:t xml:space="preserve">. Bunda integral indeks AUC qiymatining 95 foizlik ishonch oralig‘i 0,65–0,96 ni tashkil etib kengaydi, biroq quyi chegarasi tasodifiy bashorat darajasidan (0,5) yuqori qoldi. Z-score bilan umumiy kuzatuvlarda integral indeksning ustunligi klasterlangan </w:t>
      </w:r>
      <w:r>
        <w:rPr/>
        <w:t xml:space="preserve">bootstrapda ham tasdiqlandi, chunki AUC farqining</w:t>
      </w:r>
      <w:r>
        <w:rPr/>
        <w:t xml:space="preserve"> ishonch oralig‘i 0,19–0,98 ni tashkil etib, noldan katta. Muammoli kreditlar ulushi bilan farq esa −0,10 dan +0,07 gacha oraliqda bo‘lib, statistik ahamiyatsiz. Ikkinchidan, muammo hodisasining </w:t>
      </w:r>
      <w:r>
        <w:rPr/>
        <w:t xml:space="preserve">muqobil ta’riflari qo‘llandi. Xususan, chorak zararining</w:t>
      </w:r>
      <w:r>
        <w:rPr/>
        <w:t xml:space="preserve">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4"/>
      </w:r>
      <w:r>
        <w:rPr/>
        <w:t xml:space="preserve">. Demak, indeksning bashorat kuchi hodisa ta’rifi va baholash usuliga nisbatan barqaror, Z-score dan ustunligi statistik ahamiyatli, biroq muammoli kreditlar </w:t>
      </w:r>
      <w:r>
        <w:rPr/>
        <w:lastRenderedPageBreak/>
      </w:r>
      <w:r>
        <w:rPr/>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 xml:space="preserve">Integral indeksning erta ogohlantirish signalini qanday berganini tadqiqotning asosiy </w:t>
      </w:r>
      <w:r>
        <w:rPr>
          <w:color w:val="0070C0"/>
        </w:rPr>
        <w:t xml:space="preserve">obyektlaridan</w:t>
      </w:r>
      <w:r>
        <w:t xml:space="preserve"> bo‘lgan “Mikrokreditbank” ATB va “O‘zsanoatqurilishbank” ATB misolida ko‘rib chiqish mumkin. Dastlab “Mikrokreditbank” ATB ning integral indeksi dinamikasini ko‘rib chiqamiz (</w:t>
      </w:r>
      <w:r>
        <w:rPr>
          <w:color w:val="0070C0"/>
        </w:rPr>
        <w:t xml:space="preserve">4.1.3-rasm; barcha banklar bo‘yicha choraklik indeks qiymatlari 4-ilovada keltirilgan</w:t>
      </w:r>
      <w:r>
        <w:t xml:space="preserve">).</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r>
      <w:r>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w:t>
      </w:r>
      <w:r>
        <w:rPr>
          <w:color w:val="0070C0"/>
        </w:rPr>
        <w:t xml:space="preserve">(MBII-13) esa butun davr mobaynida 2,18–2,47 ball bilan qizil zonada, ya’ni milliy indeksdan 0,4–0,6 ball pastda bo‘lgan (bir xil tarkibdagi MBII-13 bo‘yicha ham farq 0,43–0,66 ballni tashkil etadi, 3.1.3-rasm)</w:t>
      </w:r>
      <w:r>
        <w:t xml:space="preserve">. Bunga aktivlar sifati bloki (1,28–1,53 ball) va daromadlilik bloki (1,00–1,64 ball) sabab bo‘lgan</w:t>
      </w:r>
      <w:r>
        <w:rPr/>
        <w:t xml:space="preserve">.</w:t>
      </w:r>
      <w:r>
        <w:t xml:space="preserve"> II bobda ko‘rsatilganidek, bank MHXS bo‘yicha zararni 2023-yildayoq tan olgan, milliy hisobotda esa u bir yil kechikib, 2024-yilda aks etgan. Demak, MHXS ma’lumotlari asosidagi indeks muammo haqida yanada barqaror va kuchli signal bergan, milliy indeks esa </w:t>
      </w:r>
      <w:r>
        <w:rPr>
          <w:color w:val="0070C0"/>
        </w:rPr>
        <w:t xml:space="preserve">2024-yil I choragigacha chegara atrofida tebranib, kuchli signalni faqat zarardan ikki chorak oldin</w:t>
      </w:r>
      <w:r>
        <w:t xml:space="preserve"> bergan. Xuddi shunday manzara 2024-yilda kapitalining 48 foizini yo‘qotgan “Biznesni rivojlantirish banki” </w:t>
      </w:r>
      <w:r>
        <w:rPr/>
        <w:t xml:space="preserve">ATB da ham kuzatilgan. Chunonchi, uning indeksi</w:t>
      </w:r>
      <w:r>
        <w:t xml:space="preserve"> 2023-yil </w:t>
      </w:r>
      <w:r>
        <w:rPr>
          <w:color w:val="0070C0"/>
        </w:rPr>
        <w:t xml:space="preserve">II choragidan boshlab qizil zonada bo‘lib, 2023-yil IV choragida 2,44 ballgacha va 2024-yil I choragida 2,20 ballgacha pasaygan, ya’ni har ikki zarardan kamida uch chorak oldin signal bergan</w:t>
      </w:r>
      <w:r>
        <w:t xml:space="preserve">. Shunga o‘xshash signal “Garant bank” ATB da (2024-yil II–III choraklarida 2,55–2,57 ball), “Ipoteka-bank” ATB da (2024-yil III choragida 2,50 ball) va “Xalq banki” ATB da (2022-yilda 2,35–2,51 ball) ham kuzatilgan. Integral indeks </w:t>
      </w:r>
      <w:r>
        <w:rPr>
          <w:color w:val="0070C0"/>
        </w:rPr>
        <w:t xml:space="preserve">2022-yilda yashil zonada bo‘lgan xususiy banklardagi (“Anor bank”, “Invest Finance bank”, “Tibisi bank”) hodisalarni oldindan aniqlamagan, ulardan eng yirigi “Tibisi bank” ATB ning zararlaridir (kapitalning 12–15 foizi). O‘sha paytda, ya’ni bank faoliyatining dastlabki bosqichida, yuqori daromadlilik va kam muammoli kreditlar hisobiga uning indeksi 3,83 ballni tashkil etgan, zarar esa yangi bank xarajatlari va kredit portfelining jadal kengayishi bilan bog‘liq bo‘lishi mumkin (2022-yilda bank kreditlari qariyb 4,4 barobar oshgan)</w:t>
      </w:r>
      <w:r>
        <w:t xml:space="preserve">.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 xml:space="preserve">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w:t>
      </w:r>
      <w:r>
        <w:rPr>
          <w:color w:val="0070C0"/>
        </w:rPr>
        <w:t xml:space="preserve">(MBII-8) va 3.2-paragrafda MHXS hisobotlari asosida hisoblangan yillik indeks (MBII-13)</w:t>
      </w:r>
      <w:r>
        <w:t xml:space="preserve">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6"/>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w:t>
      </w:r>
      <w:r>
        <w:rPr>
          <w:color w:val="0070C0"/>
        </w:rPr>
        <w:t xml:space="preserve">zonada joylashgan, 2022-yil IV choragidan 2024-yil II choragigacha bo‘lgan davrda esa indeks yashil va sariq zonalar chegarasi atrofida (3,17–3,36 ball) tebrangan</w:t>
      </w:r>
      <w:r>
        <w:t xml:space="preserve">.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w:t>
      </w:r>
      <w:r>
        <w:rPr>
          <w:color w:val="0070C0"/>
        </w:rPr>
        <w:t xml:space="preserve">0,45–0,80 ballni tashkil etgan. Bu farqning bir qismi indekslar tarkibidagi farq bilan bog‘liq, chunki milliy hisobot bo‘yicha MBII-8, MHXS bo‘yicha esa MBII-13 qo‘llangan. Bir xil tarkibdagi MBII-13 bo‘yicha farq 0,23–0,46 ballni, jumladan 2025-yilda 0,46 ballni (3,27 va 2,81) tashkil etadi (3.1.3-rasm). Farqning</w:t>
      </w:r>
      <w:r>
        <w:rPr/>
        <w:t xml:space="preserve"> asosiy sababi 2.3-paragrafda aniqlangan </w:t>
      </w:r>
      <w:r>
        <w:rPr/>
        <w:t xml:space="preserve">holat bilan izohlanadi, ya’ni 2025-yil yakunida</w:t>
      </w:r>
      <w:r>
        <w:t xml:space="preserve">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Bir yil ichida muammo ehtimoli (logit model)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Tahlil davrida kuzatilgan hodisalar ulushi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Nazorat organining choralari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rahbariyatining choralari</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va undan yuqori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 dan past</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(200 kuzatuvdan 4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Odatiy masofaviy monitoring, yiliga bir marta indeks bloklarini tahlil qilish</w:t>
            </w:r>
          </w:p>
        </w:tc>
        <w:tc>
          <w:tcPr>
            <w:tcW w:w="215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Odatiy risklarni boshqarish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 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5–27 %</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6,8 % (74 kuzatuvdan 5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dan past</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 dan yuqori</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50,0 % (34 kuzatuvdan 17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w:t>
      </w:r>
      <w:r>
        <w:rPr/>
        <w:t xml:space="preserve">sinflari bilan muvofiqlashtirilgan. Xususan, yashil zona</w:t>
      </w:r>
      <w:r>
        <w:lastRenderedPageBreak/>
      </w:r>
      <w:r>
        <w:t xml:space="preserve"> I sinfga, sariq </w:t>
      </w:r>
      <w:r>
        <w:rPr>
          <w:color w:val="0070C0"/>
        </w:rPr>
        <w:t xml:space="preserve">zona II sinfning yuqori qismiga (2,75–3,25 ball), qizil zona esa II sinfning quyi qismi (2,50–2,75 ball)</w:t>
      </w:r>
      <w:r>
        <w:t xml:space="preserve"> hamda III–IV sinflarga to‘g‘ri keladi. Shu bilan birga, tizim faqat indeks qiymatiga </w:t>
      </w:r>
      <w:r>
        <w:rPr/>
        <w:t xml:space="preserve">tayanmasligi kerak. Shu bois sariq yoki</w:t>
      </w:r>
      <w:r>
        <w:t xml:space="preserve">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w:t>
      </w:r>
      <w:r>
        <w:rPr>
          <w:color w:val="0070C0"/>
        </w:rPr>
        <w:t xml:space="preserve">ma’lumotlar asosidagi MBII-8 ga tayanadi, Markaziy bank esa banklarning prudensial hisobotlari asosida uni kapital monandligi, likvidlik, valyuta riski ko‘rsatkichlari va MHXS 9 bo‘yicha kreditlar bosqichlari bilan to‘ldirib, to‘liq MBII-13 ni qo‘llashi</w:t>
      </w:r>
      <w:r>
        <w:t xml:space="preserve"> mumkin.</w:t>
      </w:r>
    </w:p>
    <w:p w:rsidR="005603EC" w:rsidRDefault="00AB61AC">
      <w:pPr>
        <w:pStyle w:val="af"/>
        <w:spacing w:after="0" w:line="360" w:lineRule="auto"/>
        <w:ind w:firstLine="709"/>
        <w:jc w:val="both"/>
      </w:pPr>
      <w:r>
        <w:t xml:space="preserve">Shunday qilib, tahlil natijalari 3.1-paragrafda taklif etilgan integral indeksning </w:t>
      </w:r>
      <w:r>
        <w:rPr>
          <w:color w:val="0070C0"/>
        </w:rPr>
        <w:t xml:space="preserve">(ochiq choraklik ma’lumotlar asosidagi MBII-8 varianti) tijorat</w:t>
      </w:r>
      <w:r>
        <w:t xml:space="preserve"> banklarida moliyaviy muammolarni bir yil oldin yuqori aniqlik bilan </w:t>
      </w:r>
      <w:r>
        <w:rPr/>
        <w:t xml:space="preserve">bashorat qilishini ko‘rsatdi. Xususan, uning AUC</w:t>
      </w:r>
      <w:r>
        <w:t xml:space="preserve">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8"/>
      </w:r>
      <w:r>
        <w:t>. M. Sorge va K. Virolainen esa makro stress-testlarda kredit riskining makroiqtisodiy omillarga sezgirligini baholovchi “satellit” modellardan foydalanishni asosiy yondashuv sifatida ko‘rsatadi</w:t>
      </w:r>
      <w:r>
        <w:rPr>
          <w:rStyle w:val="aff8"/>
        </w:rPr>
        <w:footnoteReference w:id="509"/>
      </w:r>
      <w:r>
        <w:t xml:space="preserve">. Bazel qo‘mitasining stress-test tamoyillari ham ssenariylar </w:t>
      </w:r>
      <w:r>
        <w:rPr>
          <w:color w:val="0070C0"/>
        </w:rPr>
        <w:t xml:space="preserve">yetarlicha jiddiy, biroq ehtimoldan yiroq bo‘lmasligi hamda modellar va ularning</w:t>
      </w:r>
      <w:r>
        <w:t xml:space="preserve"> natijalari muntazam tekshirilishi lozimligini talab qiladi</w:t>
      </w:r>
      <w:r>
        <w:rPr>
          <w:rStyle w:val="aff8"/>
        </w:rPr>
        <w:footnoteReference w:id="510"/>
      </w:r>
      <w:r>
        <w:t xml:space="preserve">. O‘zbekistonda esa bu yo‘nalishdagi ilmiy ishlar alohida ko‘rsatkichlarni prognoz qilish </w:t>
      </w:r>
      <w:r>
        <w:rPr/>
        <w:t xml:space="preserve">bilan cheklangan. Masalan, B.T. Berdiyarov</w:t>
      </w:r>
      <w:r>
        <w:t xml:space="preserve"> likvidlik ko‘rsatkichini ARIMA modeli yordamida prognoz qilgan</w:t>
      </w:r>
      <w:r>
        <w:rPr>
          <w:rStyle w:val="aff8"/>
        </w:rPr>
        <w:footnoteReference w:id="511"/>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2026-yil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2027-yil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2028-yil</w:t>
            </w:r>
          </w:p>
        </w:tc>
        <w:tc>
          <w:tcPr>
            <w:tcW w:w="476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Ssenariyning asosi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2021–2025-yillardagi o‘rtacha o‘sish sur’ati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Ijobiy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Tahlil davridagi eng yuqori o‘sish sur’ati (2021-yil)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Keskin 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color w:val="0070C0"/>
        </w:rPr>
        <w:t xml:space="preserve">asosiy stavka va inflyatsiya YaIM o‘sishi bilan kuchli bog‘langan (korrelyatsiya koeffitsiyenti mos ravishda −0,76 va −0,68), 3.3-paragrafda esa asosiy stavkaning ta’siri faqat 5–10 foiz darajada, so‘m kursiniki faqat Pooled modelda ahamiyatli, inflyatsiyaniki esa ahamiyatsiz</w:t>
      </w:r>
      <w:r>
        <w:rPr/>
        <w:t xml:space="preserve"> bo‘lgan</w:t>
      </w:r>
      <w:r>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3"/>
      </w:r>
      <w:r>
        <w:t xml:space="preserve">. Bu kreditlar bo‘yicha to‘lovlarni kechiktirish choralari tugaganidan keyin yashirin muammolar yuzaga chiqqanini ko‘rsatadi. YaIM o‘sishining turli laglari bilan baholangan modellar ichida eng yaxshi natijani to‘rt chorak </w:t>
      </w:r>
      <w:r>
        <w:rPr/>
        <w:t xml:space="preserve">lagli model bergan. Xususan, uning Akaike</w:t>
      </w:r>
      <w:r>
        <w:t xml:space="preserv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 tizim, 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 bank paneli, muammoli kreditlar ulushi</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 bank paneli, ROA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0,494*** (0,134)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0,684*** (0,100)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−0,151*** (0,059)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−0,153** (0,060)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−0,201*** (0,076)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2,983*** (0,874)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2,049*** (0,536)</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3,353*** (0,266)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effektlari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 chorak – 2025-y. IV chorak (YaIM laglari 2020-yildan)</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IV chorak – 2025-y. IV chorak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2022-y. I</w:t>
            </w:r>
            <w:r>
              <w:rPr>
                <w:rFonts w:ascii="Times New Roman" w:hAnsi="Times New Roman" w:eastAsia="Times New Roman" w:cs="Times New Roman"/>
                <w:sz w:val="24"/>
                <w:szCs w:val="24"/>
              </w:rPr>
              <w:t xml:space="preserve"> chorak – 2025-y. IV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rsidTr="005603EC">
        <w:trPr>
          <w:cantSplit/>
        </w:trPr>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 (bank ichidagi)</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 (bank ichidagi)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o‘sishining 1 foiz punktga barqaror pasayishining uzoq muddatli ta’siri, foiz punkt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 xml:space="preserve">Izoh: qavs ichida standart xatolar (1-modelda – Newey–West, 2- va 3-modellarda – bank bo‘yicha klasterlangan); ***, **, * – koeffitsiyent mos ravishda 1, 5 va 10 foiz darajada statistik </w:t>
      </w:r>
      <w:r>
        <w:rPr>
          <w:color w:val="0070C0"/>
          <w:sz w:val="24"/>
        </w:rPr>
        <w:t xml:space="preserve">ahamiyatli. 3-modelda choraklik ROA oldingi chorak ma’lumotini talab qilgani sababli kuzatuvlar 2022-yil I choragidan boshlanadi.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w:t>
      </w:r>
      <w:r>
        <w:rPr/>
        <w:t xml:space="preserve">bir xil natija bergan. Jumladan, tizim darajasidagi</w:t>
      </w:r>
      <w:r>
        <w:t xml:space="preserve">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t xml:space="preserve">Ta’kidlash joizki, 3</w:t>
      </w:r>
      <w:r>
        <w:rPr/>
        <w:t xml:space="preserve">.3-paragrafdagi satellit modelda olingan ancha yuqori baho (1,4–1,9 foiz punkt) faqat sakkiz chorakni va o‘zaro kuchli bog‘langan makroiqtisodiy omillarni qamragani sababli prognozda qo‘llanmadi</w:t>
      </w:r>
      <w:r>
        <w:t xml:space="preserve">. Muammoli kreditlar ulushi sezilarli inersiyaga ega (0,49–0,68), shu sababli shokning ta’siri bir necha chorak </w:t>
      </w:r>
      <w:r>
        <w:rPr/>
        <w:t xml:space="preserve">davomida saqlanadi. Natijada YaIM o‘sishining</w:t>
      </w:r>
      <w:r>
        <w:t xml:space="preserve"> 1 foiz punktga barqaror pasayishi uzoq muddatda muammoli kreditlar ulushini 0,30–0,48 foiz punktga oshiradi. Uchinchi model kredit riskining daromadlilikka </w:t>
      </w:r>
      <w:r>
        <w:rPr/>
        <w:t xml:space="preserve">ta’sirini baholaydi. Unga ko‘ra, muammoli kreditlar</w:t>
      </w:r>
      <w:r>
        <w:t xml:space="preserve">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5"/>
      </w:r>
      <w:r>
        <w:rPr>
          <w:rStyle w:val="aff8"/>
        </w:rPr>
        <w:footnoteReference w:id="516"/>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r>
      <w:r>
        <w:t xml:space="preserve">esa bankning zaxiralar bilan qoplanish darajasini hisobga olgan holda hisoblandi. To‘rtinchidan, qolgan ko‘rsatkichlar 2025-yil oxiridagi darajada saqlangan holda har bir bank uchun panel integral indeksi </w:t>
      </w:r>
      <w:r>
        <w:rPr>
          <w:color w:val="0070C0"/>
        </w:rPr>
        <w:t xml:space="preserve">(MBII-8) va</w:t>
      </w:r>
      <w:r>
        <w:t xml:space="preserve"> 4.1-paragrafdagi erta ogohlantirish zonasi aniqlandi. Prognoz qilishdan oldin usulning ishonchliligi orqaga tekshiruv orqali </w:t>
      </w:r>
      <w:r>
        <w:rPr/>
        <w:t xml:space="preserve">sinovdan o‘tkazildi. Bunda model ketma-ket</w:t>
      </w:r>
      <w:r>
        <w:t xml:space="preserve">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Prognoz qilingan yil</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Haqiqiy qiymat (I–IV chorak), %</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etilgan usul bo‘yicha prognoz,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taklif etilgan usul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o‘zgarishsiz holat</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o‘rtachaga qaytuvchi model</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3,38; 3,73; 3,53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 3,84; 3,77; 3,65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0,21</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4,52; 4,05; 4,18; 3,97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3,40; 3,43; 3,48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0,65</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0,33</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 3,80; 3,65; 2,99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 3,98; 3,99; 3,98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t xml:space="preserve">Shu bilan birga,</w:t>
      </w:r>
      <w:r>
        <w:t xml:space="preserve"> taklif etilgan usul o‘zgarishsiz holat prognozidan </w:t>
      </w:r>
      <w:r>
        <w:rPr>
          <w:color w:val="0070C0"/>
        </w:rPr>
        <w:t xml:space="preserve">aniqroq emas, chunki 2023 va 2024-yillarda uning xatosi biroz yuqori (0,21 va 0,73 ga nisbatan 0,12 va 0,65), 2025-yilda esa teng bo‘lgan</w:t>
      </w:r>
      <w:r>
        <w:t xml:space="preserve">. Bank darajasida ham 2025-yil uchun prognoz qilingan integral indeks bo‘yicha erta ogohlantirish zonasi 25 ta bankdan 19 tasida to‘g‘ri aniqlangan, indeksning o‘rtacha xatosi esa 0,21 ballni tashkil </w:t>
      </w:r>
      <w:r>
        <w:rPr>
          <w:color w:val="0070C0"/>
        </w:rPr>
        <w:t xml:space="preserve">etgan, biroq o‘zgarishsiz holat prognozi ham xuddi shunday natija beradi (19 ta bank, 0,21 ball)</w:t>
      </w:r>
      <w:r>
        <w:t xml:space="preserve">.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t xml:space="preserve">.</w:t>
      </w:r>
      <w:r>
        <w:t xml:space="preserve"> Bazel qo‘mitasining tamoyillari ham stress-test natijalarini aynan shu ma’noda talqin qilishni tavsiya etadi</w:t>
      </w:r>
      <w:r>
        <w:rPr>
          <w:rStyle w:val="aff8"/>
        </w:rPr>
        <w:footnoteReference w:id="518"/>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9"/>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w:t>
      </w:r>
      <w:r>
        <w:rPr>
          <w:color w:val="0070C0"/>
        </w:rPr>
        <w:t xml:space="preserve">mos ravishda 2023–2024-yillardagi va 2022-yildagi</w:t>
      </w:r>
      <w:r>
        <w:t xml:space="preserve"> darajaga to‘g‘ri keladi. </w:t>
      </w:r>
      <w:r>
        <w:lastRenderedPageBreak/>
      </w:r>
      <w:r>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2028</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 soni: yashil / sariq / qizil zona</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 9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 8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 7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 9 / 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9 / 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 9 / 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8 / 2</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aktivlari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bl>
    <w:p w:rsidR="005603EC" w:rsidRDefault="00AB61AC">
      <w:pPr>
        <w:pStyle w:val="af"/>
        <w:spacing w:line="240" w:lineRule="auto"/>
        <w:jc w:val="both"/>
      </w:pPr>
      <w:r>
        <w:rPr>
          <w:sz w:val="24"/>
        </w:rPr>
        <w:t xml:space="preserve">Izoh: muammoli kreditlar ulushi va ROA aktivlar bo‘yicha tortilgan </w:t>
      </w:r>
      <w:r>
        <w:rPr>
          <w:color w:val="0070C0"/>
          <w:sz w:val="24"/>
        </w:rPr>
        <w:t xml:space="preserve">o‘rtacha; MBII – 8 ko‘rsatkichli panel indeksi (MBII-8); aktivlar ulushi tanlangan 25 ta bank jami aktivlariga nisbatan (2025-yil oxirida ular bank tizimi aktivlarining 96,9 foizini tashkil etgan);</w:t>
      </w:r>
      <w:r>
        <w:rPr>
          <w:sz w:val="24"/>
        </w:rPr>
        <w:t xml:space="preserve">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w:t>
      </w:r>
      <w:r>
        <w:rPr/>
        <w:t xml:space="preserve">deyarli o‘zgarmaydi, ya’ni integral indeks</w:t>
      </w:r>
      <w:r>
        <w:t xml:space="preserve"> medianasi 3,39–3,42 ball darajasida saqlanadi, birorta ham bank qizil zonaga tushmaydi. Salbiy ssenariyda 2027-yilda ikki bank qizil zonaga tushib, ular </w:t>
      </w:r>
      <w:r>
        <w:rPr>
          <w:color w:val="0070C0"/>
        </w:rPr>
        <w:t xml:space="preserve">tanlangan banklar</w:t>
      </w:r>
      <w:r>
        <w:t xml:space="preserve"> aktivlarining 5,9 foizini tashkil etadi. Keskin salbiy ssenariyda esa vaziyat </w:t>
      </w:r>
      <w:r>
        <w:rPr/>
        <w:t xml:space="preserve">sezilarli yomonlashadi. Bunda aktivlar rentabelligi</w:t>
      </w:r>
      <w:r>
        <w:t xml:space="preserve"> 1,69 foizdan 1,35 foizgacha pasayadi, integral indeks medianasi 3,18 ballgacha tushadi, qizil zonadagi banklar soni to‘rttaga yetib, ularning </w:t>
      </w:r>
      <w:r>
        <w:rPr>
          <w:color w:val="0070C0"/>
        </w:rPr>
        <w:t xml:space="preserve">tanlangan banklar aktivlaridagi ulushi 24,3 foizni tashkil etadi, sariq va qizil zonadagi banklarning</w:t>
      </w:r>
      <w:r>
        <w:t xml:space="preserve"> ulushi esa 45,9 foizga yetadi. Eng muhim natija shundaki, ikkala salbiy ssenariyda ham qizil zonaga faqat davlat banklari tushadi: keskin salbiy ssenariyda bular “Agrobank”, “Asaka bank”, “Mikrokreditbank” va “Turonbank” </w:t>
      </w:r>
      <w:r>
        <w:rPr>
          <w:color w:val="0070C0"/>
        </w:rPr>
        <w:t xml:space="preserve">ATBlaridir (banklar kesimidagi natijalar 7-ilovada keltirilgan)</w:t>
      </w:r>
      <w:r>
        <w:t xml:space="preserve">. Davlat banklarida integral indeks medianasi keskin salbiy ssenariyda 3,15 dan 2,81 ballgacha, ya’ni sariq zonaning quyi </w:t>
      </w:r>
      <w:r>
        <w:rPr>
          <w:color w:val="0070C0"/>
        </w:rPr>
        <w:t xml:space="preserve">chegarasiga yaqin darajagacha</w:t>
      </w:r>
      <w:r>
        <w:t xml:space="preserve"> pasayadi, </w:t>
      </w:r>
      <w:r>
        <w:rPr>
          <w:color w:val="0070C0"/>
        </w:rPr>
        <w:t xml:space="preserve">boshqa</w:t>
      </w:r>
      <w:r>
        <w:t xml:space="preserve"> banklarda esa 3,61 dan 3,50 ballgacha, ya’ni yashil zonada qoladi. Bu</w:t>
      </w:r>
      <w:r>
        <w:rPr/>
        <w:t xml:space="preserve"> holat</w:t>
      </w:r>
      <w:r>
        <w:t xml:space="preserve"> 3.3-paragrafda </w:t>
      </w:r>
      <w:r>
        <w:lastRenderedPageBreak/>
      </w:r>
      <w:r>
        <w:t xml:space="preserve">aniqlangan </w:t>
      </w:r>
      <w:r>
        <w:rPr/>
        <w:t xml:space="preserve">omillar bilan izohlanadi. Xususan, davlat banklarida</w:t>
      </w:r>
      <w:r>
        <w:t xml:space="preserve"> daromadlilik past (aktivlar bo‘yicha tortilgan ROA 1,0 foiz), shu sababli muammoli kreditlarning </w:t>
      </w:r>
      <w:r>
        <w:rPr/>
        <w:t>nisbatan kichik oshishi ham ularning daromadliligini sezilarli pasaytiradi (ROA 1,0 foizdan 0,6 foizgacha)</w:t>
      </w:r>
      <w:r>
        <w:t xml:space="preserve">, </w:t>
      </w:r>
      <w:r>
        <w:rPr>
          <w:color w:val="0070C0"/>
        </w:rPr>
        <w:t xml:space="preserve">boshqa</w:t>
      </w:r>
      <w:r>
        <w:t xml:space="preserve"> banklarda esa yuqori foiz marjasi zarar uchun bufer vazifasini bajaradi.</w:t>
      </w:r>
    </w:p>
    <w:p w:rsidR="005603EC" w:rsidRDefault="00AB61AC">
      <w:pPr>
        <w:pStyle w:val="af"/>
        <w:spacing w:after="0" w:line="360" w:lineRule="auto"/>
        <w:ind w:firstLine="709"/>
        <w:jc w:val="both"/>
      </w:pPr>
      <w:r>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 xml:space="preserve">4.2.2-rasm. Tanlangan 25 ta bankning </w:t>
      </w:r>
      <w:r>
        <w:rPr>
          <w:b/>
          <w:color w:val="0070C0"/>
        </w:rPr>
        <w:t xml:space="preserve">erta ogohlantirish zonalari bo‘yicha taqsimlanishi: 2025-yil (haqiqiy) va 2027-yil oxiri (ssenariylar bo‘yicha prognoz)</w:t>
      </w:r>
      <w:r>
        <w:rPr>
          <w:b/>
        </w:rPr>
        <w:t xml:space="preserve">, banklar soni</w:t>
      </w:r>
      <w:r>
        <w:rPr>
          <w:rStyle w:val="aff8"/>
        </w:rPr>
        <w:footnoteReference w:id="521"/>
      </w:r>
    </w:p>
    <w:p w:rsidR="005603EC" w:rsidRDefault="00AB61AC">
      <w:pPr>
        <w:pStyle w:val="af"/>
        <w:spacing w:after="0" w:line="360" w:lineRule="auto"/>
        <w:ind w:firstLine="709"/>
        <w:jc w:val="both"/>
      </w:pPr>
      <w:r>
        <w:t xml:space="preserve">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w:t>
      </w:r>
      <w:r>
        <w:rPr>
          <w:color w:val="0070C0"/>
        </w:rPr>
        <w:t xml:space="preserve">tanlangan banklar</w:t>
      </w:r>
      <w:r>
        <w:t xml:space="preserve">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Guruh</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r>
    </w:tbl>
    <w:p w:rsidR="005603EC" w:rsidRDefault="00AB61AC">
      <w:pPr>
        <w:pStyle w:val="af"/>
        <w:spacing w:line="240" w:lineRule="auto"/>
        <w:jc w:val="both"/>
      </w:pPr>
      <w:r>
        <w:rPr>
          <w:sz w:val="24"/>
        </w:rPr>
        <w:t xml:space="preserve">Izoh: muammoli kreditlar ulushi va ROA aktivlar bo‘yicha tortilgan </w:t>
      </w:r>
      <w:r>
        <w:rPr>
          <w:color w:val="0070C0"/>
          <w:sz w:val="24"/>
        </w:rPr>
        <w:t xml:space="preserve">o‘rtacha; MBII – 8 ko‘rsatkichli panel indeksi (MBII-8)</w:t>
      </w:r>
      <w:r>
        <w:rPr>
          <w:sz w:val="24"/>
        </w:rPr>
        <w:t xml:space="preserve">.</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 xml:space="preserve">Milliy hisobot asosidagi prognoz kredit riskini kamsitib ko‘rsatishini hisobga olgan holda, </w:t>
      </w:r>
      <w:r>
        <w:rPr>
          <w:color w:val="0070C0"/>
        </w:rPr>
        <w:t xml:space="preserve">tadqiqot obyektlari bo‘lgan uch</w:t>
      </w:r>
      <w:r>
        <w:t xml:space="preserve"> bank uchun prognoz milliy va MHXS hisobotlari asosida alohida amalga oshirildi. MHXS varianti uchun muammoli kreditlar ulushining o‘zgarishi 2.3-paragrafda taklif etilgan yashirin kredit riski </w:t>
      </w:r>
      <w:r>
        <w:rPr/>
        <w:t xml:space="preserve">koeffitsiyentiga ko‘paytirildi. Bu koeffitsiyent</w:t>
      </w:r>
      <w:r>
        <w:t xml:space="preserve"> 2025-yilda “O‘zsanoatqurilishbank” ATB uchun 2,96 ni, “Mikrokreditbank” ATB uchun 2,80 </w:t>
      </w:r>
      <w:r>
        <w:rPr>
          <w:color w:val="0070C0"/>
        </w:rPr>
        <w:t xml:space="preserve">ni, “Aloqabank” ATB uchun 2,83 ni tashkil etgan. Dastlabki ikki bank bo‘yicha natijalar 4.2.6-jadvalda keltirilgan</w:t>
      </w:r>
      <w:r>
        <w:t xml:space="preserve">.</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2,5 %)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2,7 %)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 2,5 %)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 3,3 %)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 4,0 %)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 7,5 %)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(sariq; 8,1 %)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(sariq; 7,3 %)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 9,7 %)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(qizil; 11,8 %)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 4,4 %)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2,84 (sariq; </w:t>
            </w:r>
            <w:r>
              <w:rPr>
                <w:rFonts w:ascii="Times New Roman" w:hAnsi="Times New Roman" w:eastAsia="Times New Roman" w:cs="Times New Roman"/>
                <w:color w:val="0070C0"/>
                <w:sz w:val="24"/>
                <w:szCs w:val="24"/>
              </w:rPr>
              <w:t xml:space="preserve">4,7</w:t>
            </w:r>
            <w:r>
              <w:rPr>
                <w:rFonts w:ascii="Times New Roman" w:hAnsi="Times New Roman" w:eastAsia="Times New Roman" w:cs="Times New Roman"/>
                <w:sz w:val="24"/>
                <w:szCs w:val="24"/>
              </w:rPr>
              <w:t xml:space="preserve">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 4,3 %)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 5,7 %)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2,58 (qizil; </w:t>
            </w:r>
            <w:r>
              <w:rPr>
                <w:rFonts w:ascii="Times New Roman" w:hAnsi="Times New Roman" w:eastAsia="Times New Roman" w:cs="Times New Roman"/>
                <w:color w:val="0070C0"/>
                <w:sz w:val="24"/>
                <w:szCs w:val="24"/>
              </w:rPr>
              <w:t xml:space="preserve">6,9</w:t>
            </w:r>
            <w:r>
              <w:rPr>
                <w:rFonts w:ascii="Times New Roman" w:hAnsi="Times New Roman" w:eastAsia="Times New Roman" w:cs="Times New Roman"/>
                <w:sz w:val="24"/>
                <w:szCs w:val="24"/>
              </w:rPr>
              <w:t xml:space="preserve">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 (qizil; 12,3 %)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(qizil; 13,3 %)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 (qizil; 12,0 %)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16,1 %)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w:t>
      </w:r>
      <w:r>
        <w:rPr>
          <w:color w:val="0070C0"/>
        </w:rPr>
        <w:t xml:space="preserve">yetadi. Xuddi shu usulda hisoblangan “Aloqabank” ATB bo‘yicha natijalar ham shunga o‘xshash. Milliy hisobot bo‘yicha bank 2027-yilda ijobiy ssenariyda yashil zonada (3,27 ball), qolgan ssenariylarda sariq zonada (3,04–3,24 ball) bo‘lsa, MHXS bo‘yicha asosiy ssenariyda sariq va qizil zonalar chegarasida (2,75 ball) joylashib, salbiy ssenariylarda qizil zonaga (2,58–2,66 ball) tushadi, 3-bosqich kreditlari ulushi esa 7,2 foizdan 11,3 foizgacha oshadi.</w:t>
      </w:r>
      <w:r>
        <w:t xml:space="preserve"> </w:t>
      </w:r>
      <w:r>
        <w:rPr>
          <w:color w:val="0070C0"/>
        </w:rPr>
        <w:t xml:space="preserve">Dastlabki ikki bank bo‘yicha bu</w:t>
      </w:r>
      <w:r>
        <w:t xml:space="preserve">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4"/>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t xml:space="preserve">. Jumladan,</w:t>
      </w:r>
      <w:r>
        <w:t xml:space="preserve"> “O‘zsanoatqurilishbank” ATB da </w:t>
      </w:r>
      <w:r>
        <w:rPr/>
        <w:t xml:space="preserve">farq </w:t>
      </w:r>
      <w:r>
        <w:rPr>
          <w:color w:val="0070C0"/>
        </w:rPr>
        <w:t xml:space="preserve">0,80–0</w:t>
      </w:r>
      <w:r>
        <w:rPr/>
        <w:t xml:space="preserve">,90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w:t>
      </w:r>
      <w:r>
        <w:rPr/>
        <w:t xml:space="preserve">oshirib ko‘rsatadi. </w:t>
      </w:r>
      <w:r>
        <w:rPr>
          <w:color w:val="0070C0"/>
        </w:rPr>
        <w:t xml:space="preserve">Xususan</w:t>
      </w:r>
      <w:r>
        <w:rPr/>
        <w:t xml:space="preserve">, “O‘zsanoatqurilishbank” ATB misolida</w:t>
      </w:r>
      <w:r>
        <w:t xml:space="preserve">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 xml:space="preserve">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w:t>
      </w:r>
      <w:r>
        <w:rPr>
          <w:color w:val="0070C0"/>
        </w:rPr>
        <w:t xml:space="preserve">tanlangan banklar</w:t>
      </w:r>
      <w:r>
        <w:t xml:space="preserve"> aktivlaridagi ulushi 24,3 foizga yetadi. Milliy hisobot ma’lumotlari asosidagi prognoz bu riskni kamsitib ko‘rsatadi, MHXS ma’lumotlari asosida esa </w:t>
      </w:r>
      <w:r>
        <w:rPr>
          <w:color w:val="0070C0"/>
        </w:rPr>
        <w:t xml:space="preserve">tadqiqot obyektlari bo‘lgan “O‘zsanoatqurilishbank” va “Aloqabank” ATBlari</w:t>
      </w:r>
      <w:r>
        <w:t xml:space="preserve">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t xml:space="preserve">ning</w:t>
      </w:r>
      <w:r>
        <w:t xml:space="preserve">, ayniqsa davlat banklarining kapital monandligi minimal talabdan pastga tushadi</w:t>
      </w:r>
      <w:r>
        <w:rPr>
          <w:rStyle w:val="aff8"/>
        </w:rPr>
        <w:footnoteReference w:id="525"/>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6"/>
      </w:r>
      <w:r>
        <w:t xml:space="preserve">. Salbiy ssenariyda tizim kapital monandligi 9,9 foizgacha pasayib, kapital yetishmovchiligi 48 trln so‘mni (YaIMning 2,2 foizi) tashkil etadi, boshlang‘ich kapital </w:t>
      </w:r>
      <w:r>
        <w:rPr>
          <w:color w:val="0070C0"/>
        </w:rPr>
        <w:t xml:space="preserve">monandligi to‘liq aks ettirilmagan muammoli kreditlarga tuzatilib, subordinar qarzlar chegirilganda</w:t>
      </w:r>
      <w:r>
        <w:t xml:space="preserve"> esa monandlik 7,7 foizgacha pasayib, yetishmovchilik 79 trln so‘mga (YaIMning 3,6 foizi) yetadi</w:t>
      </w:r>
      <w:r>
        <w:rPr>
          <w:rStyle w:val="aff8"/>
        </w:rPr>
        <w:footnoteReference w:id="527"/>
      </w:r>
      <w:r>
        <w:t>. Hatto asosiy ssenariyda ham to‘qqizta davlat bankidan beshtasi, jumladan ikkita tizimli ahamiyatga molik bank minimal talabdan pastga tushadi</w:t>
      </w:r>
      <w:r>
        <w:rPr>
          <w:rStyle w:val="aff8"/>
        </w:rPr>
        <w:footnoteReference w:id="528"/>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w:t>
      </w:r>
      <w:r>
        <w:rPr>
          <w:color w:val="0070C0"/>
        </w:rPr>
        <w:t xml:space="preserve">35 ta chora sakkiz yo‘nalish bo‘yicha guruhlangan bo‘lib, ularning asosiylari qonunchilikni takomillashtirish, prudensial talablarni kuchaytirish, korporativ boshqaruv, risklarni boshqarish va litsenziyalash talablarini takomillashtirish, Markaziy bankning nazorat jarayonlarini takomillashtirish, banklarni sanatsiya qilish, tugatish va omonatlarni sug‘urtalash tizimini rivojlantirish hamda moliyaviy barqarorlikni ta’minlash choralarini kuchaytirishdan iborat</w:t>
      </w:r>
      <w:r>
        <w:lastRenderedPageBreak/>
      </w:r>
      <w:r>
        <w:rPr>
          <w:rStyle w:val="aff8"/>
        </w:rPr>
        <w:footnoteReference w:id="529"/>
      </w:r>
      <w:r>
        <w:t xml:space="preserve">. Moliyaviy barqarorlikni baholash nuqtai nazaridan ulardan eng muhimlari quyidagilardir: aktivlarni tasniflash va </w:t>
      </w:r>
      <w:r>
        <w:rPr>
          <w:color w:val="0070C0"/>
        </w:rPr>
        <w:t xml:space="preserve">zaxiralarni</w:t>
      </w:r>
      <w:r>
        <w:t xml:space="preserve"> shakllantirish talablarini Bazel standartlari va MHXS 9 asosida qayta ko‘rib chiqish, jumladan muammoli kreditlar ta’rifini 3-bosqich aktivlarini to‘liq qamraydigan qilib kengaytirish va qayta tuzilgan aktivlar ta’rifini </w:t>
      </w:r>
      <w:r>
        <w:rPr>
          <w:color w:val="0070C0"/>
        </w:rPr>
        <w:t xml:space="preserve">Bazel standartidagi “forborne exposures” ta’rifiga</w:t>
      </w:r>
      <w:r>
        <w:t xml:space="preserve">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30"/>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Yo‘nalish</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FSAP tavsiyasi va “yo‘l xaritasi” chorasi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Tadqiqot natijasi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 taklifi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to‘g‘ri aks ettirish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yashirin kredit riski koeffitsiyenti </w:t>
            </w:r>
            <w:r>
              <w:rPr>
                <w:rFonts w:ascii="Times New Roman" w:hAnsi="Times New Roman" w:eastAsia="Times New Roman" w:cs="Times New Roman"/>
                <w:color w:val="0070C0"/>
                <w:sz w:val="24"/>
                <w:szCs w:val="24"/>
              </w:rPr>
              <w:t xml:space="preserve">uch bankda 1,65–4,90; SQB da 2025-yilda</w:t>
            </w:r>
            <w:r>
              <w:rPr>
                <w:rFonts w:ascii="Times New Roman" w:hAnsi="Times New Roman" w:eastAsia="Times New Roman" w:cs="Times New Roman"/>
                <w:sz w:val="24"/>
                <w:szCs w:val="24"/>
              </w:rPr>
              <w:t xml:space="preserve"> 3-bosqich kreditlarining 57,2 % milliy tasnifda “standart” yoki “substandart”</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5-chora: oshkor qilishga minimal talablar; 19-chora: MHXS asosidagi nazorat hisobotlari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3.2-§: ochiq ma’lumotlarda </w:t>
            </w:r>
            <w:r>
              <w:rPr>
                <w:rFonts w:ascii="Times New Roman" w:hAnsi="Times New Roman" w:eastAsia="Times New Roman" w:cs="Times New Roman"/>
                <w:color w:val="0070C0"/>
                <w:sz w:val="24"/>
                <w:szCs w:val="24"/>
              </w:rPr>
              <w:t xml:space="preserve">milliy tasnif va MHXS 9 bosqichlari kesishmasi faqat ayrim banklarda oshkor qilinadi, bank kesimidagi prudensial ko‘rsatkichlar esa</w:t>
            </w:r>
            <w:r>
              <w:rPr>
                <w:rFonts w:ascii="Times New Roman" w:hAnsi="Times New Roman" w:eastAsia="Times New Roman" w:cs="Times New Roman"/>
                <w:sz w:val="24"/>
                <w:szCs w:val="24"/>
              </w:rPr>
              <w:t xml:space="preserve"> yo‘q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Masofaviy baholash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masofaviy nazoratda banklarning risk profilini baholashni takomillashtirish (8-tavsiya)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3.1-§: 5 blok va 13 ko‘rsatkichdan iborat integral indeks; 3.3-§: indeks iqtisodiy omillar bilan ahamiyatli bog‘langan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va tezkor choralar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 indeksning bashorat kuchi AUC = 0,86; qizil </w:t>
            </w:r>
            <w:r>
              <w:rPr>
                <w:rFonts w:ascii="Times New Roman" w:hAnsi="Times New Roman" w:eastAsia="Times New Roman" w:cs="Times New Roman"/>
                <w:color w:val="0070C0"/>
                <w:sz w:val="24"/>
                <w:szCs w:val="24"/>
              </w:rPr>
              <w:t xml:space="preserve">zonadagi kuzatuvlarda muammo hodisalari ulushi</w:t>
            </w:r>
            <w:r>
              <w:rPr>
                <w:rFonts w:ascii="Times New Roman" w:hAnsi="Times New Roman" w:eastAsia="Times New Roman" w:cs="Times New Roman"/>
                <w:sz w:val="24"/>
                <w:szCs w:val="24"/>
              </w:rPr>
              <w:t xml:space="preserve"> 50 %, yashil zonada 2 %</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FSAP: stress-test ma’lumotlarini qoidalardagi bo‘shliqlarga tuzatish (1-tavsiya); “yo‘l xaritasi”, 7, </w:t>
            </w:r>
            <w:r>
              <w:rPr>
                <w:rFonts w:ascii="Times New Roman" w:hAnsi="Times New Roman" w:eastAsia="Times New Roman" w:cs="Times New Roman"/>
                <w:color w:val="0070C0"/>
                <w:sz w:val="24"/>
                <w:szCs w:val="24"/>
              </w:rPr>
              <w:t xml:space="preserve">12, 31-choralar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4.2-§: salbiy ssenariylarda qizil zonaga faqat davlat banklari tushadi; SQB </w:t>
            </w:r>
            <w:r>
              <w:rPr>
                <w:rFonts w:ascii="Times New Roman" w:hAnsi="Times New Roman" w:eastAsia="Times New Roman" w:cs="Times New Roman"/>
                <w:color w:val="0070C0"/>
                <w:sz w:val="24"/>
                <w:szCs w:val="24"/>
              </w:rPr>
              <w:t xml:space="preserve">keskin salbiy ssenariyda milliy</w:t>
            </w:r>
            <w:r>
              <w:rPr>
                <w:rFonts w:ascii="Times New Roman" w:hAnsi="Times New Roman" w:eastAsia="Times New Roman" w:cs="Times New Roman"/>
                <w:sz w:val="24"/>
                <w:szCs w:val="24"/>
              </w:rPr>
              <w:t xml:space="preserve"> hisobot bo‘yicha yashil, MHXS bo‘yicha qizil zonada</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ishtirokidagi banklar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 MKB ning davlat ko‘magisiz bahosi 1,72 ball; 3.3-§: davlat banklarining indeksi </w:t>
            </w:r>
            <w:r>
              <w:rPr>
                <w:rFonts w:ascii="Times New Roman" w:hAnsi="Times New Roman" w:eastAsia="Times New Roman" w:cs="Times New Roman"/>
                <w:color w:val="0070C0"/>
                <w:sz w:val="24"/>
                <w:szCs w:val="24"/>
              </w:rPr>
              <w:t xml:space="preserve">boshqa banklarnikidan 0</w:t>
            </w:r>
            <w:r>
              <w:rPr>
                <w:rFonts w:ascii="Times New Roman" w:hAnsi="Times New Roman" w:eastAsia="Times New Roman" w:cs="Times New Roman"/>
                <w:sz w:val="24"/>
                <w:szCs w:val="24"/>
              </w:rPr>
              <w:t xml:space="preserve">,69 ball past, farqning yarmi moliyalashtirish modeli bilan izohlanadi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Banklarning ichki baholashi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7-chora: tizimli banklarda ICAAP</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3.3, 4.1-§: likvidlik bloki eng zaif; aktivlar sifati bloki eng kuchli signal beradi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2"/>
      </w:r>
      <w:r>
        <w:t xml:space="preserve">. Integral indeks bu jarayonga yagona, takrorlanuvchan va empirik tekshirilgan miqdoriy asos beradi. Uni Markaziy bankka taqdim etiladigan prudensial hisobotlar asosida har chorakda hisoblash mumkin, bunda </w:t>
      </w:r>
      <w:r>
        <w:rPr>
          <w:color w:val="0070C0"/>
        </w:rPr>
        <w:t xml:space="preserve">3.3–4.2-paragraflarda</w:t>
      </w:r>
      <w:r>
        <w:t xml:space="preserve">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w:t>
      </w:r>
      <w:r>
        <w:rPr/>
        <w:t xml:space="preserve">tendensiyaga ham mos keladi. Xususan, AQShda</w:t>
      </w:r>
      <w:r>
        <w:rPr/>
        <w:t xml:space="preserve">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3"/>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4"/>
      </w:r>
      <w:r>
        <w:t xml:space="preserve">. 4.1-paragrafda taklif etilgan uch zonali tizim bu </w:t>
      </w:r>
      <w:r>
        <w:rPr/>
        <w:t xml:space="preserve">bo‘shliqni to‘ldiradi, chunki uning chegaralari</w:t>
      </w:r>
      <w:r>
        <w:lastRenderedPageBreak/>
      </w:r>
      <w:r>
        <w:t xml:space="preserve">, ya’ni 2,75 va 3,25 ball, 2021–2025-yillardagi ma’lumotlar asosida tekshirilgan va tahlil davrida qizil zonadagi </w:t>
      </w:r>
      <w:r>
        <w:rPr>
          <w:color w:val="0070C0"/>
        </w:rPr>
        <w:t xml:space="preserve">kuzatuvlarning yarmidan keyin</w:t>
      </w:r>
      <w:r>
        <w:t xml:space="preserve">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5"/>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6"/>
      </w:r>
      <w:r>
        <w:t xml:space="preserve">. Taklif etilayotgan tizim bu ikki </w:t>
      </w:r>
      <w:r>
        <w:rPr/>
        <w:t xml:space="preserve">yondashuvni birlashtiradi, ya’ni SREP kabi</w:t>
      </w:r>
      <w:r>
        <w:t xml:space="preserve"> bir nechta blok bo‘yicha integral ballga tayanadi, AQSh tizimi kabi esa har bir zonaga aniq choralarni bog‘laydi. Uning afzalligi shundaki, zonalar chegaralari faqat kapital ko‘rsatkichiga emas, balki aktivlar sifati, likvidlik va daromadlilikka ham asoslanadi, 4.1-paragrafda esa aynan </w:t>
      </w:r>
      <w:r>
        <w:rPr>
          <w:color w:val="0070C0"/>
        </w:rPr>
        <w:t xml:space="preserve">kapitalning aktivlarga nisbati</w:t>
      </w:r>
      <w:r>
        <w:t xml:space="preserve">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7"/>
      </w:r>
      <w:r>
        <w:t xml:space="preserve">.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w:t>
      </w:r>
      <w:r>
        <w:rPr>
          <w:color w:val="0070C0"/>
        </w:rPr>
        <w:t xml:space="preserve">hamda “Aloqabank” ATB misolida</w:t>
      </w:r>
      <w:r>
        <w:t xml:space="preserve">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milliy, %</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3-bosqich kreditlari ulushi: MHXS, %</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Yashirin kredit riski koeffitsiyenti</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MBII-8: milliy hisobot</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MBII-13: MHXS hisoboti</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milliy hisobot</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MHXS hisoboti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3,5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bl>
    <w:p w:rsidR="005603EC" w:rsidRDefault="00AB61AC">
      <w:pPr>
        <w:pStyle w:val="af"/>
        <w:spacing w:after="0" w:line="360" w:lineRule="auto"/>
        <w:ind w:firstLine="709"/>
        <w:jc w:val="both"/>
      </w:pPr>
      <w:r>
        <w:lastRenderedPageBreak/>
      </w:r>
      <w:r>
        <w:t xml:space="preserve">Jadvaldan ko‘rinib turibdiki, MHXS ma’lumotlariga o‘tish beshta bankdan uchtasining erta ogohlantirish zonasini yomon </w:t>
      </w:r>
      <w:r>
        <w:rPr/>
        <w:t xml:space="preserve">tomonga o‘zgartiradi. Xususan, “O‘zsanoatqurilishbank”</w:t>
      </w:r>
      <w:r>
        <w:t xml:space="preserve"> ATB va “Ipoteka-bank” ATB yashil zonadan sariq zonaga, “Mikrokreditbank” ATB esa sariq zonadan qizil zonaga o‘tadi.</w:t>
      </w:r>
      <w:r>
        <w:rPr/>
        <w:t xml:space="preserve"> Oltinchi bank – “Aloqabank” ATB da ham xuddi shunday </w:t>
      </w:r>
      <w:r>
        <w:rPr/>
        <w:t xml:space="preserve">holat kuzatiladi, chunki u milliy</w:t>
      </w:r>
      <w:r>
        <w:rPr/>
        <w:t xml:space="preserve"> hisobot bo‘yicha yashil zonada (3,26 ball), MHXS bo‘yicha esa sariq zonada (2,78 ball) joylashadi, ya’ni oltita bankdan to‘rttasining zonasi yomonlashadi.</w:t>
      </w:r>
      <w:r>
        <w:t xml:space="preserve"> Yashirin kredit riski koeffitsiyenti banklar o‘rtasida </w:t>
      </w:r>
      <w:r>
        <w:rPr/>
        <w:t xml:space="preserve">keskin farq qiladi. Masalan, “Xalq banki”</w:t>
      </w:r>
      <w:r>
        <w:t xml:space="preserve">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w:t>
      </w:r>
      <w:r>
        <w:rPr/>
        <w:t xml:space="preserve">milliy indeksdan biroz yuqori, chunki 3-bosqich</w:t>
      </w:r>
      <w:r>
        <w:t xml:space="preserve"> kreditlari ulushi yuqori bo‘lsa-da, 2-bosqich kreditlari ulushi nisbatan past (11,0 foiz), MHXS bo‘yicha kapital rentabelligi 16,3 foizni tashkil etib, milliy hisobotdagi 9,6 foizdan yuqori, </w:t>
      </w:r>
      <w:r>
        <w:rPr>
          <w:color w:val="0070C0"/>
        </w:rPr>
        <w:t xml:space="preserve">8 ko‘rsatkichli panel indeksida mavjud bo‘lmagan valyuta riski bloki esa yuqori ball (3,96) olgan. Demak, MHXS ma’lumotlariga va to‘liq indeksga o‘tish faqat aktivlar sifatini emas, balki boshqa bloklarni ham</w:t>
      </w:r>
      <w:r>
        <w:t xml:space="preserve"> o‘zgartiradi va uning ta’siri har bir bank uchun alohida baholanishi lozim.</w:t>
      </w:r>
      <w:r>
        <w:rPr/>
        <w:t xml:space="preserve"> Ta’kidlash lozimki, jadvaldagi </w:t>
      </w:r>
      <w:r>
        <w:rPr>
          <w:color w:val="0070C0"/>
        </w:rPr>
        <w:t xml:space="preserve">“MBII-8:</w:t>
      </w:r>
      <w:r>
        <w:rPr/>
        <w:t xml:space="preserve"> milliy hisobot” ustunida 4.1-paragrafdagi 8 ko‘rsatkichli choraklik panel indeksi keltirilgan</w:t>
      </w:r>
      <w:r>
        <w:rPr/>
        <w:t xml:space="preserve">. </w:t>
      </w:r>
      <w:r>
        <w:rPr>
          <w:color w:val="0070C0"/>
        </w:rPr>
        <w:t xml:space="preserve">13 ko‘rsatkichli to‘liq indeks (MBII-13)</w:t>
      </w:r>
      <w:r>
        <w:rPr/>
        <w:t xml:space="preserve"> bo‘yicha milliy hisobot asosidagi qiymatlar 3.1.5-jadvalda berilgan (“O‘zsanoatqurilishbank” ATB – 3,27, “Mikrokreditbank” ATB – 3,13</w:t>
      </w:r>
      <w:r>
        <w:rPr/>
        <w:t xml:space="preserve">, “Aloqabank” ATB – 3,248</w:t>
      </w:r>
      <w:r>
        <w:rPr/>
        <w:t xml:space="preserve">) va ular </w:t>
      </w:r>
      <w:r>
        <w:rPr>
          <w:color w:val="0070C0"/>
        </w:rPr>
        <w:t xml:space="preserve">“O‘zsanoatqurilishbank” ATB hamda “Mikrokreditbank” ATB bo‘yicha zonalar o‘zgarishi to‘g‘risidagi xulosani o‘zgartirmaydi. “Aloqabank” ATB ning MBII-13 bo‘yicha milliy indeksi esa yashil zona chegarasidan 0,002 ball past bo‘lgani sababli bank ikkala variantda ham sariq zonada qoladi, biroq MHXS ma’lumotlariga o‘tishda indeks 0,47 ballga pasayib, qizil zona chegarasiga yaqinlashadi</w:t>
      </w:r>
      <w:r>
        <w:rPr/>
        <w:t xml:space="preserve">.</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9"/>
      </w:r>
      <w:r>
        <w:t xml:space="preserve">. Dissertatsiya davomida bu muammo </w:t>
      </w:r>
      <w:r>
        <w:rPr/>
        <w:t xml:space="preserve">amaliy jihatdan tasdiqlandi. Xususan, ochiq</w:t>
      </w:r>
      <w:r>
        <w:t xml:space="preserve"> ma’lumotlarda bank kesimidagi kapital monandligi koeffitsiyentlari, likvidlik </w:t>
      </w:r>
      <w:r>
        <w:lastRenderedPageBreak/>
      </w:r>
      <w:r>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40"/>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 xml:space="preserve">Beshinchi taklif stress-test amaliyotini takomillashtirishga qaratilgan. 4.2-paragrafda ko‘rsatilganidek, milliy hisobot ma’lumotlari asosidagi stress-test bankning bardoshliligini sezilarli </w:t>
      </w:r>
      <w:r>
        <w:rPr/>
        <w:t xml:space="preserve">oshirib ko‘rsatadi. Masalan, “O‘zsanoatqurilishbank” ATB keskin</w:t>
      </w:r>
      <w:r>
        <w:t xml:space="preserve"> salbiy ssenariyda milliy hisobot bo‘yicha yashil zonada qolsa, MHXS bo‘yicha qizil zonaga tushadi. FSAP ham kapital to‘liq aks ettirilmagan muammoli kreditlarga tuzatilganda stress natijalari ancha yomonlashishini ko‘rsatgan</w:t>
      </w:r>
      <w:r>
        <w:rPr>
          <w:rStyle w:val="aff8"/>
        </w:rPr>
        <w:footnoteReference w:id="541"/>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2"/>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 xml:space="preserve">qariyb 0,17 ballga oshiradi</w:t>
      </w:r>
      <w:r>
        <w:t xml:space="preserve">.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3"/>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Jihat</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Amaldagi amaliyot</w:t>
            </w:r>
          </w:p>
        </w:tc>
        <w:tc>
          <w:tcPr>
            <w:tcW w:w="385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tizim</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asosi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Prudensial normativlarga rioya qilish va kuratorlarning asoslangan mulohazasi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bo‘yicha muammoli kreditlar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baholanmaydi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 uchun davlat ko‘magisiz indeks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 va choralar</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Choralar asosan normativ buzilgandan keyin qo‘llanadi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Bashorat elementi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stress-test</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Empirik tekshiruv</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e’lon qilinmaydi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kesimida cheklangan ko‘rsatkichlar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5"/>
      </w:r>
      <w:r>
        <w:t>.</w:t>
      </w:r>
    </w:p>
    <w:p w:rsidR="005603EC" w:rsidRDefault="00AB61AC">
      <w:pPr>
        <w:pStyle w:val="af"/>
        <w:spacing w:after="0" w:line="360" w:lineRule="auto"/>
        <w:ind w:firstLine="709"/>
        <w:jc w:val="both"/>
      </w:pPr>
      <w:r>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6"/>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r>
      <w:r>
        <w:t xml:space="preserve">darajasiga keltiriladi. Ikkinchi bosqichda besh blok bo‘yicha integral </w:t>
      </w:r>
      <w:r>
        <w:rPr>
          <w:color w:val="0070C0"/>
        </w:rPr>
        <w:t xml:space="preserve">indeks va MHXS hamda milliy indekslar farqi (ΔMBII)</w:t>
      </w:r>
      <w:r>
        <w:t xml:space="preserve">,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Bosqich</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Chora-tadbirlar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bog‘liq chora</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Natija ko‘rsatkichi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bosqich (2026-yil)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 18, 19-choralar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bosqich (2027-yil)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Iqtisodiyot va moliya vazirligi, banklar</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7, 9, 12, </w:t>
            </w:r>
            <w:r>
              <w:rPr>
                <w:rFonts w:ascii="Times New Roman" w:hAnsi="Times New Roman" w:eastAsia="Times New Roman" w:cs="Times New Roman"/>
                <w:color w:val="0070C0"/>
                <w:sz w:val="24"/>
                <w:szCs w:val="24"/>
              </w:rPr>
              <w:t xml:space="preserve">17, 31-choralar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bosqich (2028-yil)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 </w:t>
            </w:r>
            <w:r>
              <w:rPr>
                <w:rFonts w:ascii="Times New Roman" w:hAnsi="Times New Roman" w:eastAsia="Times New Roman" w:cs="Times New Roman"/>
                <w:color w:val="0070C0"/>
                <w:sz w:val="24"/>
                <w:szCs w:val="24"/>
              </w:rPr>
              <w:t xml:space="preserve">19, 31, 35-choralar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w:t>
      </w:r>
      <w:r>
        <w:rPr>
          <w:color w:val="0070C0"/>
        </w:rPr>
        <w:t xml:space="preserve">indeksni hisoblash uchun qo‘shimcha normativ hujjatlar talab qilinmaydi, chunki u Markaziy bankda mavjud prudensial hisobotlar asosida hisoblanishi mumkin, kesishma jadvali esa “yo‘l xaritasi” doirasida ishlab chiqilayotgan oshkor qilish talablariga kiritiladi</w:t>
      </w:r>
      <w:r>
        <w:lastRenderedPageBreak/>
      </w:r>
      <w:r>
        <w:t xml:space="preserve">.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 xml:space="preserve">Taklif etilgan integral indeks muammo hodisalarini to‘rt chorak oldin yuqori aniqlik bilan </w:t>
      </w:r>
      <w:r>
        <w:rPr/>
        <w:t xml:space="preserve">bashorat qiladi. Xususan, uning ROC</w:t>
      </w:r>
      <w:r>
        <w:t xml:space="preserve">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 xml:space="preserve">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w:t>
      </w:r>
      <w:r>
        <w:rPr>
          <w:color w:val="0070C0"/>
        </w:rPr>
        <w:t xml:space="preserve">2025-yilda milliy</w:t>
      </w:r>
      <w:r>
        <w:t xml:space="preserve">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r>
      <w:r>
        <w:t xml:space="preserve">2022-yillardagi iqtisodiy o‘sish pasayishi asosida tuzildi. YaIM o‘sishining kredit riskiga ta’siri taxminan to‘rt chorakdan keyin namoyon bo‘lishi aniqlandi, ikki mustaqil model esa deyarli bir xil sezgirlik </w:t>
      </w:r>
      <w:r>
        <w:rPr/>
        <w:t xml:space="preserve">koeffitsiyentini berdi. Natijalarga ko‘ra, YaIM o‘sish</w:t>
      </w:r>
      <w:r>
        <w:t xml:space="preserve">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 xml:space="preserve">Asosiy va ijobiy ssenariylarda bank tizimi barqaror qoladi, keskin salbiy ssenariyda esa 2027-yilda muammoli kreditlar ulushi 2,9 foizdan 4,6 foizgacha oshadi, to‘rtta bank qizil zonaga tushib, ularning </w:t>
      </w:r>
      <w:r>
        <w:rPr>
          <w:color w:val="0070C0"/>
        </w:rPr>
        <w:t xml:space="preserve">tanlangan banklar</w:t>
      </w:r>
      <w:r>
        <w:t xml:space="preserve"> aktivlaridagi ulushi 24,3 foizni tashkil etadi. Qizil zonaga tushadigan banklarning barchasi davlat banklari hisoblanadi. Milliy hisobot ma’lumotlari asosidagi stress-test bankning shokka bardoshliligini </w:t>
      </w:r>
      <w:r>
        <w:rPr/>
        <w:t xml:space="preserve">oshirib ko‘rsatadi. Masalan, “O‘zsanoatqurilishbank” ATB keskin</w:t>
      </w:r>
      <w:r>
        <w:t xml:space="preserve"> salbiy ssenariyda milliy hisobot bo‘yicha yashil zonada qolsa, MHXS bo‘yicha qizil zonaga tushadi.</w:t>
      </w:r>
    </w:p>
    <w:p w:rsidR="005603EC" w:rsidRDefault="00AB61AC">
      <w:pPr>
        <w:numPr>
          <w:ilvl w:val="0"/>
          <w:numId w:val="13"/>
        </w:numPr>
        <w:spacing w:after="0" w:line="360" w:lineRule="auto"/>
        <w:ind w:firstLine="709"/>
        <w:jc w:val="both"/>
      </w:pPr>
      <w:r>
        <w:t xml:space="preserve">Xalqaro valyuta jamg‘armasi va Jahon bankining moliya sektorini baholash dasturi (FSAP) natijalari dissertatsiyada aniqlangan </w:t>
      </w:r>
      <w:r>
        <w:rPr/>
        <w:t xml:space="preserve">muammolarni tasdiqladi. Xususan, tizim darajasida</w:t>
      </w:r>
      <w:r>
        <w:t xml:space="preserve">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w:t>
      </w:r>
      <w:r>
        <w:rPr/>
        <w:t xml:space="preserve">bo‘lib qolmoqda, chunki rasmiy muammoli</w:t>
      </w:r>
      <w:r>
        <w:t xml:space="preserve">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 xml:space="preserve">Milliy hisobotdagi muammoli kreditlar ko‘rsatkichining kredit riskini kamsitib ko‘rsatish darajasini o‘lchash uchun yashirin kredit riski koeffitsiyenti taklif etildi. U tahlil qilingan banklarda 1,7–5,6 ni, “O‘zsanoatqurilishbank” ATB da 1,65–2,96 ni, “Mikrokreditbank” ATB da </w:t>
      </w:r>
      <w:r>
        <w:rPr/>
        <w:t xml:space="preserve">2,77–3,28</w:t>
      </w:r>
      <w:r>
        <w:t xml:space="preserve">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t xml:space="preserve">(</w:t>
      </w:r>
      <w:r>
        <w:t xml:space="preserve">kapital yetarliligi, aktivlar sifati, likvidlik, daromadlilik va valyuta riskiga sezgirlik</w:t>
      </w:r>
      <w:r>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w:t>
      </w:r>
      <w:r>
        <w:rPr/>
        <w:t xml:space="preserve">empirik jihatdan tekshirildi. Xususan, aktivlar sifati</w:t>
      </w:r>
      <w:r>
        <w:rPr/>
        <w:t xml:space="preserve">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t xml:space="preserve">. Shu bilan birga, banklar tartibi</w:t>
      </w:r>
      <w:r>
        <w:t xml:space="preserve"> vaznlarning oqilona o‘zgarishlariga barqaror </w:t>
      </w:r>
      <w:r>
        <w:rPr/>
        <w:t>(tartib korrelyatsiyasi 0,95–0,98)</w:t>
      </w:r>
      <w:r>
        <w:t xml:space="preserve">. </w:t>
      </w:r>
      <w:r>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w:t>
      </w:r>
      <w:r>
        <w:rPr/>
        <w:t xml:space="preserve">boshqa banklarnikidan 0,69 ballga past</w:t>
      </w:r>
      <w:r>
        <w:t xml:space="preserve">ligini va bu farqning qariyb yarmi moliyalashtirish modeli bilan izohlanishini ko‘rsatdi. Davlat ko‘magi chiqarib tashlangan holda “Mikrokreditbank” ATB ning indeksi 2,47 balldan 1,72 ballgacha, ya’ni nobarqaror sinfgacha pasayadi. An’anaviy Z-score </w:t>
      </w:r>
      <w:r>
        <w:lastRenderedPageBreak/>
      </w:r>
      <w:r>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t xml:space="preserve">Bundan tashqari, i</w:t>
      </w:r>
      <w:r>
        <w:t xml:space="preserve">ntegral indeks bankda jiddiy zarar yuzaga kelishini to‘rt chorak oldin yuqori aniqlik bilan </w:t>
      </w:r>
      <w:r>
        <w:rPr/>
        <w:t xml:space="preserve">bashorat qiladi. Xususan, uning bashorat kuchi</w:t>
      </w:r>
      <w:r>
        <w:t xml:space="preserve">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 xml:space="preserve">2020 va 2022-yillarda kuzatilgan iqtisodiy shoklar asosida tuzilgan 2026–2028-yillarga shartli ssenariy prognozi asosiy va ijobiy ssenariylarda bank tizimi barqaror qolishini, keskin salbiy ssenariyda esa 2027-yilda muammoli kreditlar ulushi 2,9 foizdan 4,6 foizgacha oshib, </w:t>
      </w:r>
      <w:r>
        <w:rPr>
          <w:color w:val="0070C0"/>
        </w:rPr>
        <w:t xml:space="preserve">tanlangan banklar</w:t>
      </w:r>
      <w:r>
        <w:t xml:space="preserve">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rPr>
          <w:color w:val="0070C0"/>
        </w:rPr>
        <w:t xml:space="preserve">57. National Financial Regulatory Administration (2023-yil maygacha – China Banking and Insurance Regulatory Commission). Supervisory Statistics of the Banking and Insurance Sectors (Major regulatory indicators of the banking and insurance sectors): 2021–2025-yillar IV choraklari,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 xml:space="preserve">90.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415 с.</w:t>
      </w:r>
    </w:p>
    <w:p w:rsidR="005603EC" w:rsidRPr="009E01BD" w:rsidRDefault="00AB61AC">
      <w:pPr>
        <w:pStyle w:val="af"/>
        <w:spacing w:after="0" w:line="360" w:lineRule="auto"/>
        <w:ind w:firstLine="709"/>
        <w:jc w:val="both"/>
        <w:rPr>
          <w:lang w:val="ru-RU"/>
        </w:rPr>
      </w:pPr>
      <w:r>
        <w:rPr>
          <w:lang w:val="ru-RU"/>
        </w:rPr>
        <w:t>91.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92.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94.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95.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96.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97.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98.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99. Adrian T., Brunnermeier M.K. CoVaR // American Economic Review. – 2016. – Vol. 106, No. 7. – P. 1705–1741.</w:t>
      </w:r>
    </w:p>
    <w:p w:rsidR="005603EC" w:rsidRDefault="00AB61AC">
      <w:pPr>
        <w:pStyle w:val="af"/>
        <w:spacing w:after="0" w:line="360" w:lineRule="auto"/>
        <w:ind w:firstLine="709"/>
        <w:jc w:val="both"/>
      </w:pPr>
      <w:r>
        <w:t>100.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101.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102.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103.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104.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105.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106.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107.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108.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109. Charoenwong B., Miao M., Ruan T. Nonperforming Loan Disposals Without Resolution // Management Science. – 2025. – Vol. 71, No. 1. – P. 898–916.</w:t>
      </w:r>
    </w:p>
    <w:p w:rsidR="005603EC" w:rsidRDefault="00AB61AC">
      <w:pPr>
        <w:pStyle w:val="af"/>
        <w:spacing w:after="0" w:line="360" w:lineRule="auto"/>
        <w:ind w:firstLine="709"/>
        <w:jc w:val="both"/>
      </w:pPr>
      <w:r>
        <w:t>110.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111.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112.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113.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114. Correia S., Luck S., Verner E. Failing Banks // Quarterly Journal of Economics. – 2026. – Vol. 141, No. 1. – P. 147–204.</w:t>
      </w:r>
    </w:p>
    <w:p w:rsidR="005603EC" w:rsidRDefault="00AB61AC">
      <w:pPr>
        <w:pStyle w:val="af"/>
        <w:spacing w:after="0" w:line="360" w:lineRule="auto"/>
        <w:ind w:firstLine="709"/>
        <w:jc w:val="both"/>
      </w:pPr>
      <w:r>
        <w:t>115.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116.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117.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118.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119.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120. Diamond D.W., Dybvig P.H. Bank Runs, Deposit Insurance, and Liquidity // Journal of Political Economy. – 1983. – Vol. 91, No. 3. – P. 401–419.</w:t>
      </w:r>
    </w:p>
    <w:p w:rsidR="005603EC" w:rsidRDefault="00AB61AC">
      <w:pPr>
        <w:pStyle w:val="af"/>
        <w:spacing w:after="0" w:line="360" w:lineRule="auto"/>
        <w:ind w:firstLine="709"/>
        <w:jc w:val="both"/>
      </w:pPr>
      <w:r>
        <w:rPr/>
        <w:t xml:space="preserve">121. Diamond D.W., Rajan R.G. Liquidity Risk, Liquidity Creation, and Financial Fragility: A Theory of Banking // Journal of Political Economy. – 2001. – Vol. 109, No. 2. – P. 287–327.</w:t>
      </w:r>
    </w:p>
    <w:p w:rsidR="005603EC" w:rsidRDefault="00AB61AC">
      <w:pPr>
        <w:pStyle w:val="af"/>
        <w:spacing w:after="0" w:line="360" w:lineRule="auto"/>
        <w:ind w:firstLine="709"/>
        <w:jc w:val="both"/>
      </w:pPr>
      <w:r>
        <w:t>122. Fawcett T. An introduction to ROC analysis // Pattern Recognition Letters. – 2006. – Vol. 27, No. 8. – P. 861–874.</w:t>
      </w:r>
    </w:p>
    <w:p w:rsidR="005603EC" w:rsidRDefault="00AB61AC">
      <w:pPr>
        <w:pStyle w:val="af"/>
        <w:spacing w:after="0" w:line="360" w:lineRule="auto"/>
        <w:ind w:firstLine="709"/>
        <w:jc w:val="both"/>
      </w:pPr>
      <w:r>
        <w:t>123. Foos D., Norden L., Weber M. Loan growth and riskiness of banks // Journal of Banking &amp; Finance. – 2010. – Vol. 34, No. 12. – P. 2929–2940.</w:t>
      </w:r>
    </w:p>
    <w:p w:rsidR="005603EC" w:rsidRDefault="00AB61AC">
      <w:pPr>
        <w:pStyle w:val="af"/>
        <w:spacing w:after="0" w:line="360" w:lineRule="auto"/>
        <w:ind w:firstLine="709"/>
        <w:jc w:val="both"/>
      </w:pPr>
      <w:r>
        <w:t>124.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125. Hausman J.A. Specification Tests in Econometrics // Econometrica. – 1978. – Vol. 46, No. 6. – P. 1251–1271.</w:t>
      </w:r>
    </w:p>
    <w:p w:rsidR="005603EC" w:rsidRDefault="00AB61AC">
      <w:pPr>
        <w:pStyle w:val="af"/>
        <w:spacing w:after="0" w:line="360" w:lineRule="auto"/>
        <w:ind w:firstLine="709"/>
        <w:jc w:val="both"/>
      </w:pPr>
      <w:r>
        <w:t>126.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127.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128.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129. Kaminsky G., Lizondo S., Reinhart C.M. Leading Indicators of Currency Crises // IMF Staff Papers. – 1998. – Vol. 45, No. 1. – P. 1–48.</w:t>
      </w:r>
    </w:p>
    <w:p w:rsidR="005603EC" w:rsidRDefault="00AB61AC">
      <w:pPr>
        <w:pStyle w:val="af"/>
        <w:spacing w:after="0" w:line="360" w:lineRule="auto"/>
        <w:ind w:firstLine="709"/>
        <w:jc w:val="both"/>
      </w:pPr>
      <w:r>
        <w:t>130.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131. Laeven L., Levine R. Bank governance, regulation and risk taking // Journal of Financial Economics. – 2009. – Vol. 93, No. 2. – P. 259–275.</w:t>
      </w:r>
    </w:p>
    <w:p w:rsidR="005603EC" w:rsidRDefault="00AB61AC">
      <w:pPr>
        <w:pStyle w:val="af"/>
        <w:spacing w:after="0" w:line="360" w:lineRule="auto"/>
        <w:ind w:firstLine="709"/>
        <w:jc w:val="both"/>
      </w:pPr>
      <w:r>
        <w:t>132. Laeven L., Valencia F. Systemic Banking Crises Database II // IMF Economic Review. – 2020. – Vol. 68, No. 2. – P. 307–361.</w:t>
      </w:r>
    </w:p>
    <w:p w:rsidR="005603EC" w:rsidRDefault="00AB61AC">
      <w:pPr>
        <w:pStyle w:val="af"/>
        <w:spacing w:after="0" w:line="360" w:lineRule="auto"/>
        <w:ind w:firstLine="709"/>
        <w:jc w:val="both"/>
      </w:pPr>
      <w:r>
        <w:t>133.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134.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135.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136.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137.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138. Mishkin F.S. Global Financial Instability: Framework, Events, Issues // Journal of Economic Perspectives. – 1999. – Vol. 13, No. 4. – P. 3–20.</w:t>
      </w:r>
    </w:p>
    <w:p w:rsidR="005603EC" w:rsidRDefault="00AB61AC">
      <w:pPr>
        <w:pStyle w:val="af"/>
        <w:spacing w:after="0" w:line="360" w:lineRule="auto"/>
        <w:ind w:firstLine="709"/>
        <w:jc w:val="both"/>
      </w:pPr>
      <w:r>
        <w:t>139. Nickell S. Biases in Dynamic Models with Fixed Effects // Econometrica. – 1981. – Vol. 49, No. 6. – P. 1417–1426.</w:t>
      </w:r>
    </w:p>
    <w:p w:rsidR="005603EC" w:rsidRDefault="00AB61AC">
      <w:pPr>
        <w:pStyle w:val="af"/>
        <w:spacing w:after="0" w:line="360" w:lineRule="auto"/>
        <w:ind w:firstLine="709"/>
        <w:jc w:val="both"/>
      </w:pPr>
      <w:r>
        <w:t>140. Roy A.D. Safety First and the Holding of Assets // Econometrica. – 1952. – Vol. 20, No. 3. – P. 431–449.</w:t>
      </w:r>
    </w:p>
    <w:p w:rsidR="005603EC" w:rsidRDefault="00AB61AC">
      <w:pPr>
        <w:pStyle w:val="af"/>
        <w:spacing w:after="0" w:line="360" w:lineRule="auto"/>
        <w:ind w:firstLine="709"/>
        <w:jc w:val="both"/>
      </w:pPr>
      <w:r>
        <w:t>141.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142. Shannon C.E. A Mathematical Theory of Communication // Bell System Technical Journal. – 1948. – Vol. 27, No. 3. – P. 379–423.</w:t>
      </w:r>
    </w:p>
    <w:p w:rsidR="005603EC" w:rsidRDefault="00AB61AC">
      <w:pPr>
        <w:pStyle w:val="af"/>
        <w:spacing w:after="0" w:line="360" w:lineRule="auto"/>
        <w:ind w:firstLine="709"/>
        <w:jc w:val="both"/>
      </w:pPr>
      <w:r>
        <w:t>143.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144.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145.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146.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147.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148.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149.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150.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151.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152.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153.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154.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155.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156.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157.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158.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159.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160.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161.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162.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163.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164.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165.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166.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167.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168.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169. O‘zbekiston Respublikasi Markaziy banki. Statistik byulleten: 2021-yil. – Toshkent, 2022. – https://cbu.uz/uz/statistics/buleten/.</w:t>
      </w:r>
    </w:p>
    <w:p w:rsidR="005603EC" w:rsidRDefault="00AB61AC">
      <w:pPr>
        <w:pStyle w:val="af"/>
        <w:spacing w:after="0" w:line="360" w:lineRule="auto"/>
        <w:ind w:firstLine="709"/>
        <w:jc w:val="both"/>
      </w:pPr>
      <w:r>
        <w:t>170. O‘zbekiston Respublikasi Markaziy banki. Statistik byulleten: 2026-yil mart. – Toshkent, 2026. – https://cbu.uz/uz/statistics/buleten/.</w:t>
      </w:r>
    </w:p>
    <w:p w:rsidR="005603EC" w:rsidRDefault="00AB61AC">
      <w:pPr>
        <w:pStyle w:val="af"/>
        <w:spacing w:after="0" w:line="360" w:lineRule="auto"/>
        <w:ind w:firstLine="709"/>
        <w:jc w:val="both"/>
      </w:pPr>
      <w:r>
        <w:t>171. O‘zbekiston Respublikasi Markaziy banki. Moliyaviy barqarorlik sharhi: 2022-yil. – Toshkent, 2023.</w:t>
      </w:r>
    </w:p>
    <w:p w:rsidR="005603EC" w:rsidRDefault="00AB61AC">
      <w:pPr>
        <w:pStyle w:val="af"/>
        <w:spacing w:after="0" w:line="360" w:lineRule="auto"/>
        <w:ind w:firstLine="709"/>
        <w:jc w:val="both"/>
      </w:pPr>
      <w:r>
        <w:t xml:space="preserve">172. </w:t>
      </w:r>
      <w:r>
        <w:rPr>
          <w:color w:val="0070C0"/>
        </w:rPr>
        <w:t xml:space="preserve">O‘zbekiston Respublikasi Markaziy banki. Moliyaviy barqarorlik sharhi: 2023-yil. – Toshkent, 2024.</w:t>
      </w:r>
    </w:p>
    <w:p w:rsidR="005603EC" w:rsidRDefault="00AB61AC">
      <w:pPr>
        <w:pStyle w:val="af"/>
        <w:spacing w:after="0" w:line="360" w:lineRule="auto"/>
        <w:ind w:firstLine="709"/>
        <w:jc w:val="both"/>
      </w:pPr>
      <w:r>
        <w:t>173. O‘zbekiston Respublikasi Markaziy banki. 2024-yil uchun moliyaviy barqarorlik sharhi. – Toshkent, 2025.</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 xml:space="preserve">181.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2022 года, и аудиторское заключение независимого аудитора. – Ташкент, 2023.</w:t>
      </w:r>
    </w:p>
    <w:p w:rsidR="005603EC" w:rsidRPr="009E01BD" w:rsidRDefault="00AB61AC">
      <w:pPr>
        <w:pStyle w:val="af"/>
        <w:spacing w:after="0" w:line="360" w:lineRule="auto"/>
        <w:ind w:firstLine="709"/>
        <w:jc w:val="both"/>
        <w:rPr>
          <w:lang w:val="ru-RU"/>
        </w:rPr>
      </w:pPr>
      <w:r>
        <w:rPr>
          <w:lang w:val="ru-RU"/>
        </w:rPr>
        <w:t>182.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 xml:space="preserve">183. Joint Stock Commercial Bank “Uzbek Industrial and Construction Bank” and its subsidiaries. Consolidated Financial Statements and Independent Auditor’s Report for the year ended 31 December 2024. – Tashkent, 2025.</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 xml:space="preserve">185.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w:t>
      </w:r>
    </w:p>
    <w:p w:rsidR="005603EC" w:rsidRPr="009E01BD" w:rsidRDefault="00AB61AC">
      <w:pPr>
        <w:pStyle w:val="af"/>
        <w:spacing w:after="0" w:line="360" w:lineRule="auto"/>
        <w:ind w:firstLine="709"/>
        <w:jc w:val="both"/>
        <w:rPr>
          <w:lang w:val="ru-RU"/>
        </w:rPr>
      </w:pPr>
      <w:r>
        <w:rPr>
          <w:lang w:val="ru-RU"/>
        </w:rPr>
        <w:t>186.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 xml:space="preserve">187.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w:t>
      </w:r>
    </w:p>
    <w:p w:rsidR="005603EC" w:rsidRPr="009E01BD" w:rsidRDefault="00AB61AC">
      <w:pPr>
        <w:pStyle w:val="af"/>
        <w:spacing w:after="0" w:line="360" w:lineRule="auto"/>
        <w:ind w:firstLine="709"/>
        <w:jc w:val="both"/>
        <w:rPr>
          <w:lang w:val="ru-RU"/>
        </w:rPr>
      </w:pPr>
      <w:r>
        <w:rPr>
          <w:lang w:val="ru-RU"/>
        </w:rPr>
        <w:t>188.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189.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190.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191.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192.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rPr/>
        <w:t xml:space="preserve">193. Joint-Stock Commercial Bank “Qishloq Qurilish Bank”. Consolidated Financial Statements for the year ended 31 December 2022 and Independent Auditor’s Report. – Tashkent: Deloitte &amp; Touche, 2023.</w:t>
      </w:r>
    </w:p>
    <w:p w:rsidR="005603EC" w:rsidRDefault="00AB61AC">
      <w:pPr>
        <w:pStyle w:val="af"/>
        <w:spacing w:after="0" w:line="360" w:lineRule="auto"/>
        <w:ind w:firstLine="709"/>
        <w:jc w:val="both"/>
      </w:pPr>
      <w:r>
        <w:rPr/>
        <w:t xml:space="preserve">194. Joint-Stock Commercial Bank “Business Development Bank”. Consolidated Financial Statements for the year ended 31 December 2023 and Independent Auditor’s Report. – Tashkent: Deloitte &amp; Touche, 2024.</w:t>
      </w:r>
    </w:p>
    <w:p w:rsidR="005603EC" w:rsidRDefault="00AB61AC">
      <w:pPr>
        <w:pStyle w:val="af"/>
        <w:spacing w:after="0" w:line="360" w:lineRule="auto"/>
        <w:ind w:firstLine="709"/>
        <w:jc w:val="both"/>
      </w:pPr>
      <w:r>
        <w:rPr/>
        <w:t xml:space="preserve">195. Joint-Stock Commercial Bank “Business Development Bank”. Consolidated Financial Statements for the year ended 31 December 2024 and Independent Auditor’s Report. – Tashkent: Deloitte &amp; Touche, 2025.</w:t>
      </w:r>
    </w:p>
    <w:p w:rsidR="005603EC" w:rsidRDefault="00AB61AC">
      <w:pPr>
        <w:pStyle w:val="af"/>
        <w:spacing w:after="0" w:line="360" w:lineRule="auto"/>
        <w:ind w:firstLine="709"/>
        <w:jc w:val="both"/>
      </w:pPr>
      <w:r>
        <w:t>196.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197.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rPr/>
        <w:t xml:space="preserve">198. Joint-Stock Commercial “Xalq Bank”.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199. Joint-Stock Commercial “Xalq Bank”.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200.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rPr/>
        <w:t xml:space="preserve">201. Joint Stock Commercial Mortgage Bank “Ipoteka Bank” and its subsidiaries. Consolidated Financial Statements and Independent Auditors’ Report for the year ended 31 December 2022. – Tashkent: KPMG Audit, 2023.</w:t>
      </w:r>
    </w:p>
    <w:p w:rsidR="005603EC" w:rsidRDefault="00AB61AC">
      <w:pPr>
        <w:pStyle w:val="af"/>
        <w:spacing w:after="0" w:line="360" w:lineRule="auto"/>
        <w:ind w:firstLine="709"/>
        <w:jc w:val="both"/>
      </w:pPr>
      <w:r>
        <w:t>202.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203. Joint Stock Commercial Mortgage Bank “Ipoteka-bank” and its subsidiaries.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 xml:space="preserve">204. </w:t>
      </w:r>
      <w:r>
        <w:rPr/>
        <w:t>O‘zbekiston Respublikasi Markaziy banki. Moliyaviy barqarorlik sharhi: 2025-yil. – Toshkent, 2026.</w:t>
      </w:r>
    </w:p>
    <w:p w:rsidR="005603EC" w:rsidRDefault="00AB61AC">
      <w:pPr>
        <w:pStyle w:val="af"/>
        <w:spacing w:after="0" w:line="360" w:lineRule="auto"/>
        <w:ind w:firstLine="709"/>
        <w:jc w:val="both"/>
      </w:pPr>
      <w:r>
        <w:t>205. The Central Bank of the Republic of Uzbekistan. Financial Stability Report for H1 2025. – Tashkent, 2025. – https://cbu.uz.</w:t>
      </w:r>
    </w:p>
    <w:p w:rsidR="005603EC" w:rsidRDefault="00AB61AC">
      <w:pPr>
        <w:pStyle w:val="af"/>
        <w:spacing w:after="0" w:line="360" w:lineRule="auto"/>
        <w:ind w:firstLine="709"/>
        <w:jc w:val="both"/>
      </w:pPr>
      <w:r>
        <w:t>206.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207.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208.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 (1,79)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(3,03)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221,0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(3,49)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(3,14)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64,9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63,0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62,4 (1,17)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61,2 (1,25)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60,4 (1,64)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(1,30)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(1,83)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 (1,88)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(1,92)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 (1,97)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(1,58)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(1,09)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 (1,07)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(1,16)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71,1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 (1,62)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2,18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2,31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2,22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(3,16)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(1,49)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(1,82)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 (2,37)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(3,69)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 (1,73)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 (1,86)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(3,20)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62,2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47,6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81,0 (1,95)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(3,91)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(3,59)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 (3,47)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2,03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(3,90)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(1,25)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 (2,96)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(2,86)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 (3,89)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(2,17)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(1,99)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448,1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(3,40)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46,8 (3,88)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(2,62)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(2,91)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47,5 (3,83)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 (2,71)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(3,72)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3,32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3,37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 (3,71)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 (3,04)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(2,73)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(3,48)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(2,30)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12,7 (2,54)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123,1 (2,54)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128,0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 (2,20)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(2,82)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57,1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52,2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89,0 (1,55)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45,3 (2,65)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(3,88)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(3,61)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(2,66)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62,6 (1,16)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60,1 (1,33)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69,8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66,0 (1,27)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60,9 (1,61)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3,29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3,14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(2,80)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 (2,57)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 (2,05)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(2,37)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(3,38)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(2,74)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(2,97)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(1,85)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(1,22)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(1,69)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(2,47)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89,7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65,5 (2,72)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(3,46)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(3,42)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2,65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Tarkibiy qismlar</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1-variant: Markaziy bank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2-variant: Bazel III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3-variant: Markaziy bank metodikasi, MHXS</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4-variant: Bazel III metodikasi, MHXS</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va muddatsiz majburiyatlar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Mavjud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74 132,6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78 157,9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72 531,3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76 556,6</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42 221,4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35 639,3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39 837,5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33 613,0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yilgacha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11 317,3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16 926,9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10 852,7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16 152,3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va sud jarayonidagi kreditlar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2 639,0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5 539,9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3 336,9</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vositalar va boshqa nolikvid aktivlar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Balansdan tashqari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Talab qilinadigan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60 647,6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61 255,3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60 700,0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61 355,3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Sof barqaror moliyalashtirish me’yori,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119,5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IV</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vAlign w:val="center"/>
          </w:tcPr>
          <w:p w:rsidR="005603EC" w:rsidRDefault="005603EC">
            <w:pPr>
              <w:jc w:val="center"/>
              <w:rPr>
                <w:rFonts w:ascii="Times New Roman" w:hAnsi="Times New Roman" w:eastAsia="Times New Roman" w:cs="Times New Roman"/>
                <w:sz w:val="24"/>
                <w:szCs w:val="24"/>
              </w:rPr>
            </w:pP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ln(Z)</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ln(aktivlar)</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Kredit o‘sishi (t−4)</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Depozit/aktiv</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NIM</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Davlat</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YaIM o‘sishi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Inflyatsiya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stavka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USD kursi</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(t−4)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Depozit/aktiv</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NIM</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USD kursi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Chegara (</w:t>
            </w:r>
            <w:r>
              <w:rPr>
                <w:rFonts w:ascii="Times New Roman" w:hAnsi="Times New Roman" w:eastAsia="Times New Roman" w:cs="Times New Roman"/>
                <w:b/>
                <w:color w:val="0070C0"/>
                <w:sz w:val="24"/>
                <w:szCs w:val="24"/>
              </w:rPr>
              <w:t xml:space="preserve">MBII-8</w:t>
            </w:r>
            <w:r>
              <w:rPr>
                <w:rFonts w:ascii="Times New Roman" w:hAnsi="Times New Roman" w:eastAsia="Times New Roman" w:cs="Times New Roman"/>
                <w:b/>
                <w:sz w:val="24"/>
                <w:szCs w:val="24"/>
              </w:rPr>
              <w:t xml:space="preserve">)</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58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“signalsiz”</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Youden indeksi, %</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98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243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2025 → keskin salbiy 2027, %</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 5,2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 7,5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 5,7</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 7,1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 → 5,1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 → 7,8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 1,3</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5,6</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 0,0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6,9</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 0,2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 9,0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 → 5,4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 → 0,8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 4,8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vazni</w:t>
            </w:r>
          </w:p>
        </w:tc>
        <w:tc>
          <w:tcPr>
            <w:tcW w:w="606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0,193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0,207</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0,062</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0,084</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92,8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93,0 / 55,8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92,3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86,0 / 50,5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95,2 / 62,2</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 63,2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77,9 / 55,5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81,4 / 49,9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81,2 / 50,9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56,2 / 43,1</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 / 48,2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99,6 / 80,6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 60,8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 / 47,3</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87,2 / 63,7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92,9 / 55,0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59,2 /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74,5 / 70,6</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72,5 / 58,5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77,1 / 60,3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83,2 / 62,4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73,1 / 41,2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2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mamlakat</w:t>
            </w:r>
          </w:p>
        </w:tc>
        <w:tc>
          <w:tcPr>
            <w:tcW w:w="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Yil</w:t>
            </w:r>
          </w:p>
        </w:tc>
        <w:tc>
          <w:tcPr>
            <w:tcW w:w="63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Rasmiy hisobotlarda qayd etilgan sabablar</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N</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F</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L</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D</w:t>
            </w:r>
          </w:p>
        </w:tc>
        <w:tc>
          <w:tcPr>
            <w:tcW w:w="133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Manba</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Greensill Bank AG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2021</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Balansdagi GFG Alliance guruhi debitorlik qarzlari mavjudligini tasdiqlay olmaslik (kredit konsentratsiyasi); balansni soxtalashtirish bo‘yicha jinoiy ariza</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Silicon Valley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tez o‘sish va konsentratsiya risklarini nazorat qilmagan; foiz stavkasi riski xedjlari olib tashlangan; 40 mlrd dollarlik depozitlar oqimi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2023-SR-B-013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Signature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favqulodda moliyalashtirish mexanizmlarining yetarli emasligi; boshqaruvning risk menejmenti amaliyoti zaif</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EVAL-24-02</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Republic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Sug‘urtalanmagan depozitlar konsentratsiyasi, aktiv va passivlar muddatlarining nomutanosibligi, foiz stavkasi riski; boshqa banklar inqirozining yuqumli ta’siri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Heartland Tri-State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direktorning firibgarlik bilan bog‘liq 47,1 mln dollarlik pul o‘tkazmalari; ichki nazoratning buzilishi va rahbarning hukmron mavqei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2024-SR-B-004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Citizens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Kengash va boshqaruvning sust kreditlash amaliyoti; yirik yuk tashish kompaniyalari kreditlarining yomonlashuvi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AEC 24-01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North Channel Bank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Surunkali zarar va barqaror biznes modelining yo‘qligi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SVB UK (Buyuk Britaniya)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bank inqirozi sababli depozitlar oqimi va likvidlik tanqisligi; mijozlar bazasining texnologiya sohasida konsentratsiyasi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Angliya banki</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Republic First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Muddatigacha saqlanadigan qimmatli qog‘ozlar bo‘yicha zararlarni tan olish (foiz stavkasi riski); kengash va boshqaruvning samarasizligi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EVAL-25-01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National Bank of Lindsay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 va likvid aktivlarga ta’sir qilgan firibgarlik</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OIG-25-024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Pulaski Savings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Kapitalning qadrsizlanishi: buxgalteriya tizimida aks ettirilmagan 20,7 mln dollarlik depozit sertifikatlari; kengash va boshqaruv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REV-25-02, EVAL-26-01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Santa Anna National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portfeliga ta’sir qilgan firibgarlik; kengash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OIG-26-023</w:t>
            </w:r>
          </w:p>
        </w:tc>
      </w:tr>
      <w:tr>
        <w:trPr>
          <w:cantSplit/>
        </w:trPr>
        <w:tc>
          <w:tcPr>
            <w:tcW w:w="6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2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Jami, %</w:t>
            </w:r>
          </w:p>
        </w:tc>
        <w:tc>
          <w:tcPr>
            <w:tcW w:w="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63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12 ta bank bo‘yicha ulush</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58</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17</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25</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8</w:t>
            </w:r>
          </w:p>
        </w:tc>
        <w:tc>
          <w:tcPr>
            <w:tcW w:w="1330" w:type="dxa"/>
            <w:shd w:val="clear" w:color="auto" w:fill="DEEBF7"/>
          </w:tcPr>
          <w:p>
            <w:pP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rPr>
          <w:color w:val="0070C0"/>
        </w:rPr>
        <w:t xml:space="preserve">Tadqiqotlar jarayonida muallif tomonidan tuzilgan.</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rPr>
          <w:color w:val="0070C0"/>
        </w:rPr>
        <w:t xml:space="preserve">Tadqiqotlar jarayonida muallif tomonidan tuzilgan.</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w:t>
      </w:r>
      <w:r>
        <w:rPr>
          <w:lang w:val="ru-RU"/>
        </w:rPr>
        <w:t xml:space="preserve">Финансы и статистика, 1999. – С. 17; </w:t>
      </w:r>
      <w:r w:rsidRPr="009E01BD">
        <w:rPr>
          <w:lang w:val="ru-RU"/>
        </w:rPr>
        <w:t xml:space="preserve">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Default="00AB61AC">
      <w:pPr>
        <w:pStyle w:val="aff9"/>
      </w:pPr>
      <w:r>
        <w:rPr>
          <w:rStyle w:val="aff8"/>
        </w:rPr>
        <w:footnoteRef/>
      </w:r>
      <w:r>
        <w:rPr/>
        <w:t xml:space="preserve">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С. 35–37.</w:t>
      </w:r>
    </w:p>
  </w:footnote>
  <w:footnote w:id="61">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2">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3">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5">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7">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9">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70">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1">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2">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3">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4">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5">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6">
    <w:p w:rsidR="00AB61AC" w:rsidRDefault="00AB61AC">
      <w:pPr>
        <w:pStyle w:val="aff9"/>
      </w:pPr>
      <w:r>
        <w:rPr>
          <w:rStyle w:val="aff8"/>
        </w:rPr>
        <w:footnoteRef/>
      </w:r>
      <w:r>
        <w:t xml:space="preserve"> Tadqiqot natijasida muallif tomonidan ishlab chiqildi.</w:t>
      </w:r>
    </w:p>
  </w:footnote>
  <w:footnote w:id="7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8">
    <w:p w:rsidR="00AB61AC" w:rsidRPr="009E01BD" w:rsidRDefault="00AB61AC">
      <w:pPr>
        <w:pStyle w:val="aff9"/>
        <w:rPr>
          <w:lang w:val="ru-RU"/>
        </w:rPr>
      </w:pPr>
      <w:r>
        <w:rPr>
          <w:rStyle w:val="aff8"/>
        </w:rPr>
        <w:footnoteRef/>
      </w:r>
      <w:r w:rsidRPr="009E01BD">
        <w:rPr>
          <w:lang w:val="ru-RU"/>
        </w:rPr>
        <w:t xml:space="preserve"> </w:t>
      </w:r>
      <w:r>
        <w:rPr>
          <w:color w:val="0070C0"/>
        </w:rPr>
        <w:t xml:space="preserve">Tadqiqotlar jarayonida muallif tomonidan tuzilgan.</w:t>
      </w:r>
    </w:p>
  </w:footnote>
  <w:footnote w:id="7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4">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5">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6">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7">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8">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90">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1">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3">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4">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5">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6">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7">
    <w:p w:rsidR="00AB61AC" w:rsidRDefault="00AB61AC">
      <w:pPr>
        <w:pStyle w:val="aff9"/>
      </w:pPr>
      <w:r>
        <w:rPr>
          <w:rStyle w:val="aff8"/>
        </w:rPr>
        <w:footnoteRef/>
      </w:r>
      <w:r>
        <w:t xml:space="preserve"> Roy A.D. Safety First and the Holding of Assets // Econometrica. – 1952. – Vol. 20, No. 3. – P. 431–449.</w:t>
      </w:r>
    </w:p>
  </w:footnote>
  <w:footnote w:id="98">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9">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100">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1">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2">
    <w:p w:rsidR="00AB61AC" w:rsidRDefault="00AB61AC">
      <w:pPr>
        <w:pStyle w:val="aff9"/>
      </w:pPr>
      <w:r>
        <w:rPr>
          <w:rStyle w:val="aff8"/>
        </w:rPr>
        <w:footnoteRef/>
      </w:r>
      <w:r>
        <w:t xml:space="preserve"> Adrian T., Brunnermeier M.K. CoVaR // American Economic Review. – 2016. – Vol. 106, No. 7. – P. 1705–1741.</w:t>
      </w:r>
    </w:p>
  </w:footnote>
  <w:footnote w:id="103">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4">
    <w:p w:rsidR="00AB61AC" w:rsidRDefault="00AB61AC">
      <w:pPr>
        <w:pStyle w:val="aff9"/>
      </w:pPr>
      <w:r>
        <w:rPr>
          <w:rStyle w:val="aff8"/>
        </w:rPr>
        <w:footnoteRef/>
      </w:r>
      <w:r>
        <w:t xml:space="preserve"> IFRS 9 Financial Instruments. – London: International Accounting Standards Board, 2014.</w:t>
      </w:r>
    </w:p>
  </w:footnote>
  <w:footnote w:id="105">
    <w:p w:rsidR="00AB61AC" w:rsidRDefault="00AB61AC">
      <w:pPr>
        <w:pStyle w:val="aff9"/>
      </w:pPr>
      <w:r>
        <w:rPr>
          <w:rStyle w:val="aff8"/>
        </w:rPr>
        <w:footnoteRef/>
      </w:r>
      <w:r>
        <w:t xml:space="preserve"> </w:t>
      </w:r>
      <w:r>
        <w:rPr>
          <w:color w:val="0070C0"/>
        </w:rPr>
        <w:t xml:space="preserve">Tadqiqotlar jarayonida muallif tomonidan tuzilgan.</w:t>
      </w:r>
    </w:p>
  </w:footnote>
  <w:footnote w:id="106">
    <w:p w:rsidR="00AB61AC" w:rsidRDefault="00AB61AC">
      <w:pPr>
        <w:pStyle w:val="aff9"/>
      </w:pPr>
      <w:r>
        <w:rPr>
          <w:rStyle w:val="aff8"/>
        </w:rPr>
        <w:footnoteRef/>
      </w:r>
      <w:r>
        <w:t xml:space="preserve"> Tadqiqot natijasida muallif tomonidan ishlab chiqildi.</w:t>
      </w:r>
    </w:p>
  </w:footnote>
  <w:footnote w:id="107">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9">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10">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1">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3">
    <w:p w:rsidR="00AB61AC" w:rsidRDefault="00AB61AC">
      <w:pPr>
        <w:pStyle w:val="aff9"/>
      </w:pPr>
      <w:r>
        <w:rPr>
          <w:rStyle w:val="aff8"/>
        </w:rPr>
        <w:footnoteRef/>
      </w:r>
      <w:r w:rsidRPr="009E01BD">
        <w:rPr>
          <w:lang w:val="ru-RU"/>
        </w:rPr>
        <w:t xml:space="preserve"> </w:t>
      </w:r>
      <w:r>
        <w:rPr>
          <w:color w:val="0070C0"/>
        </w:rPr>
        <w:t xml:space="preserve">Tadqiqotlar jarayonida muallif tomonidan tuzilgan.</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7">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20">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1">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3">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4">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5">
    <w:p w:rsidR="00AB61AC" w:rsidRDefault="00AB61AC">
      <w:pPr>
        <w:pStyle w:val="aff9"/>
      </w:pPr>
      <w:r>
        <w:rPr>
          <w:rStyle w:val="aff8"/>
        </w:rPr>
        <w:footnoteRef/>
      </w:r>
      <w:r>
        <w:t xml:space="preserve"> </w:t>
      </w:r>
      <w:r>
        <w:rPr>
          <w:color w:val="0070C0"/>
        </w:rPr>
        <w:t xml:space="preserve">Tadqiqotlar jarayonida muallif tomonidan tuzilgan.</w:t>
      </w:r>
    </w:p>
  </w:footnote>
  <w:footnote w:id="126">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7">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9">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30">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3">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4">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5">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6">
    <w:p w:rsidR="00AB61AC" w:rsidRDefault="00AB61AC">
      <w:pPr>
        <w:pStyle w:val="aff9"/>
      </w:pPr>
      <w:r>
        <w:rPr>
          <w:rStyle w:val="aff8"/>
        </w:rPr>
        <w:footnoteRef/>
      </w:r>
      <w:r>
        <w:t xml:space="preserve"> </w:t>
      </w:r>
      <w:r>
        <w:rPr>
          <w:color w:val="0070C0"/>
        </w:rPr>
        <w:t xml:space="preserve">Tadqiqotlar jarayonida muallif tomonidan tuzilgan.</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4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2">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3">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w:t>
      </w:r>
      <w:r>
        <w:rPr>
          <w:color w:val="0070C0"/>
        </w:rPr>
        <w:t xml:space="preserve">Tadqiqotlar jarayonida muallif tomonidan tuzilgan.</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6">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7">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8">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9">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50">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1">
    <w:p w:rsidR="00AB61AC" w:rsidRDefault="00AB61AC">
      <w:pPr>
        <w:pStyle w:val="aff9"/>
      </w:pPr>
      <w:r>
        <w:rPr>
          <w:rStyle w:val="aff8"/>
        </w:rPr>
        <w:footnoteRef/>
      </w:r>
      <w:r>
        <w:t xml:space="preserve"> Basel Committee on Banking Supervision. Basel III: The Net Stable Funding Ratio. – Basel: BIS, October 2014.</w:t>
      </w:r>
    </w:p>
  </w:footnote>
  <w:footnote w:id="152">
    <w:p w:rsidR="00AB61AC" w:rsidRDefault="00AB61AC">
      <w:pPr>
        <w:pStyle w:val="aff9"/>
      </w:pPr>
      <w:r>
        <w:rPr>
          <w:rStyle w:val="aff8"/>
        </w:rPr>
        <w:footnoteRef/>
      </w:r>
      <w:r>
        <w:t xml:space="preserve"> </w:t>
      </w:r>
      <w:r>
        <w:rPr>
          <w:color w:val="0070C0"/>
        </w:rPr>
        <w:t xml:space="preserve">Tadqiqotlar jarayonida muallif tomonidan tuzilgan.</w:t>
      </w:r>
    </w:p>
  </w:footnote>
  <w:footnote w:id="153">
    <w:p w:rsidR="00AB61AC" w:rsidRDefault="00AB61AC">
      <w:pPr>
        <w:pStyle w:val="aff9"/>
      </w:pPr>
      <w:r>
        <w:rPr>
          <w:rStyle w:val="aff8"/>
        </w:rPr>
        <w:footnoteRef/>
      </w:r>
      <w:r>
        <w:t xml:space="preserve"> Basel Committee on Banking Supervision. Basel III: Finalising post-crisis reforms. – Basel: BIS, December 2017.</w:t>
      </w:r>
    </w:p>
  </w:footnote>
  <w:footnote w:id="154">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5">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7">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8">
    <w:p w:rsidR="00AB61AC" w:rsidRDefault="00AB61AC">
      <w:pPr>
        <w:pStyle w:val="aff9"/>
      </w:pPr>
      <w:r>
        <w:rPr>
          <w:rStyle w:val="aff8"/>
        </w:rPr>
        <w:footnoteRef/>
      </w:r>
      <w:r>
        <w:t xml:space="preserve"> IFRS 9 Financial Instruments. – London: International Accounting Standards Board, 2014.</w:t>
      </w:r>
    </w:p>
  </w:footnote>
  <w:footnote w:id="159">
    <w:p w:rsidR="00AB61AC" w:rsidRDefault="00AB61AC">
      <w:pPr>
        <w:pStyle w:val="aff9"/>
      </w:pPr>
      <w:r>
        <w:rPr>
          <w:rStyle w:val="aff8"/>
        </w:rPr>
        <w:footnoteRef/>
      </w:r>
      <w:r>
        <w:t xml:space="preserve"> </w:t>
      </w:r>
      <w:r>
        <w:rPr>
          <w:color w:val="0070C0"/>
        </w:rPr>
        <w:t xml:space="preserve">Tadqiqotlar jarayonida muallif tomonidan tuzilgan.</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1">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3">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4">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5">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6">
    <w:p w:rsidR="00AB61AC" w:rsidRDefault="00AB61AC">
      <w:pPr>
        <w:pStyle w:val="aff9"/>
      </w:pPr>
      <w:r>
        <w:rPr>
          <w:rStyle w:val="aff8"/>
        </w:rPr>
        <w:footnoteRef/>
      </w:r>
      <w:r>
        <w:t xml:space="preserve"> </w:t>
      </w:r>
      <w:r>
        <w:rPr>
          <w:color w:val="0070C0"/>
        </w:rPr>
        <w:t xml:space="preserve">Tadqiqotlar jarayonida muallif tomonidan tuzilgan.</w:t>
      </w:r>
    </w:p>
  </w:footnote>
  <w:footnote w:id="167">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8">
    <w:p w:rsidR="00AB61AC" w:rsidRDefault="00AB61AC">
      <w:pPr>
        <w:pStyle w:val="aff9"/>
      </w:pPr>
      <w:r>
        <w:rPr>
          <w:rStyle w:val="aff8"/>
        </w:rPr>
        <w:footnoteRef/>
      </w:r>
      <w:r>
        <w:t xml:space="preserve"> Tadqiqot natijasida muallif tomonidan ishlab chiqildi.</w:t>
      </w:r>
    </w:p>
  </w:footnote>
  <w:footnote w:id="16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70">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1">
    <w:p w:rsidR="00AB61AC" w:rsidRDefault="00AB61AC">
      <w:pPr>
        <w:pStyle w:val="aff9"/>
      </w:pPr>
      <w:r>
        <w:rPr>
          <w:rStyle w:val="aff8"/>
        </w:rPr>
        <w:footnoteRef/>
      </w:r>
      <w:r>
        <w:t xml:space="preserve"> </w:t>
      </w:r>
      <w:r>
        <w:rPr>
          <w:color w:val="0070C0"/>
        </w:rPr>
        <w:t xml:space="preserve">Tadqiqotlar jarayonida muallif tomonidan tuzilgan.</w:t>
      </w:r>
    </w:p>
  </w:footnote>
  <w:footnote w:id="172">
    <w:p w:rsidR="00AB61AC" w:rsidRDefault="00AB61AC">
      <w:pPr>
        <w:pStyle w:val="aff9"/>
      </w:pPr>
      <w:r>
        <w:rPr>
          <w:rStyle w:val="aff8"/>
        </w:rPr>
        <w:footnoteRef/>
      </w:r>
      <w:r>
        <w:t xml:space="preserve"> </w:t>
      </w:r>
      <w:r>
        <w:rPr>
          <w:color w:val="0070C0"/>
        </w:rPr>
        <w:t xml:space="preserve">Tadqiqotlar jarayonida muallif tomonidan tuzilgan.</w:t>
      </w:r>
    </w:p>
  </w:footnote>
  <w:footnote w:id="173">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6">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7">
    <w:p w:rsidR="00AB61AC" w:rsidRDefault="00AB61AC">
      <w:pPr>
        <w:pStyle w:val="aff9"/>
      </w:pPr>
      <w:r>
        <w:rPr>
          <w:rStyle w:val="aff8"/>
        </w:rPr>
        <w:footnoteRef/>
      </w:r>
      <w:r>
        <w:t xml:space="preserve"> </w:t>
      </w:r>
      <w:r>
        <w:rPr>
          <w:color w:val="0070C0"/>
        </w:rPr>
        <w:t xml:space="preserve">Tadqiqotlar jarayonida muallif tomonidan tuzilgan.</w:t>
      </w:r>
    </w:p>
  </w:footnote>
  <w:footnote w:id="178">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80">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1">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3">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4">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5">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6">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7">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8">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9">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90">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1">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2">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3">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4">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5">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6">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9">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200">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2">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3">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5">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7">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8">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9">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10">
    <w:p w:rsidR="00AB61AC" w:rsidRDefault="00AB61AC">
      <w:pPr>
        <w:pStyle w:val="aff9"/>
      </w:pPr>
      <w:r>
        <w:rPr>
          <w:rStyle w:val="aff8"/>
        </w:rPr>
        <w:footnoteRef/>
      </w:r>
      <w:r>
        <w:t xml:space="preserve"> European Banking Authority. 2025 EU-wide stress test: Results. – Paris: EBA, 1 August 2025.</w:t>
      </w:r>
    </w:p>
  </w:footnote>
  <w:footnote w:id="211">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21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5">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6">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217">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8">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9">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20">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1">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2">
    <w:p w:rsidR="00AB61AC" w:rsidRDefault="00AB61AC">
      <w:pPr>
        <w:pStyle w:val="aff9"/>
      </w:pPr>
      <w:r>
        <w:rPr>
          <w:rStyle w:val="aff8"/>
        </w:rPr>
        <w:footnoteRef/>
      </w:r>
      <w:r>
        <w:t xml:space="preserve"> Basel Committee on Banking Supervision. Report on the 2023 banking turmoil. – Basel: BIS, October 2023.</w:t>
      </w:r>
    </w:p>
  </w:footnote>
  <w:footnote w:id="22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4">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5">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6">
    <w:p w:rsidR="00AB61AC" w:rsidRDefault="00AB61AC">
      <w:pPr>
        <w:pStyle w:val="aff9"/>
      </w:pPr>
      <w:r>
        <w:rPr>
          <w:rStyle w:val="aff8"/>
        </w:rPr>
        <w:footnoteRef/>
      </w:r>
      <w:r w:rsidRPr="00E65E68">
        <w:rPr>
          <w:lang w:val="ru-RU"/>
        </w:rPr>
        <w:t xml:space="preserve"> </w:t>
      </w:r>
      <w:r>
        <w:rPr>
          <w:color w:val="0070C0"/>
        </w:rPr>
        <w:t xml:space="preserve">Tadqiqotlar jarayonida muallif tomonidan tuzilgan.</w:t>
      </w:r>
    </w:p>
  </w:footnote>
  <w:footnote w:id="22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30">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1">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2">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3">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5">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6">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7">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9">
    <w:p w:rsidR="00AB61AC" w:rsidRDefault="00AB61AC">
      <w:pPr>
        <w:pStyle w:val="aff9"/>
      </w:pPr>
      <w:r>
        <w:rPr>
          <w:rStyle w:val="aff8"/>
        </w:rPr>
        <w:footnoteRef/>
      </w:r>
      <w:r>
        <w:t xml:space="preserve"> </w:t>
      </w:r>
      <w:r>
        <w:rPr>
          <w:color w:val="0070C0"/>
        </w:rPr>
        <w:t xml:space="preserve">Tadqiqotlar jarayonida muallif tomonidan tuzilgan.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40">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1">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6">
    <w:p w:rsidR="00AB61AC" w:rsidRDefault="00AB61AC">
      <w:pPr>
        <w:pStyle w:val="aff9"/>
      </w:pPr>
      <w:r>
        <w:rPr>
          <w:rStyle w:val="aff8"/>
        </w:rPr>
        <w:footnoteRef/>
      </w:r>
      <w:r>
        <w:t xml:space="preserve"> </w:t>
      </w:r>
      <w:r>
        <w:rPr>
          <w:color w:val="0070C0"/>
        </w:rPr>
        <w:t xml:space="preserve">Tadqiqotlar jarayonida muallif tomonidan tuzilgan.</w:t>
      </w:r>
    </w:p>
  </w:footnote>
  <w:footnote w:id="247">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6–8, 12–14-tadbirlar</w:t>
      </w:r>
      <w:r>
        <w:t xml:space="preserve">; 2026-yil uchun mahalliy tizimli ahamiyatga molik banklar belgilandi // O‘zbekiston Respublikasi Markaziy banki. – https://cbu.uz/uz/financial-stability/press-releases/2982189/</w:t>
      </w:r>
    </w:p>
  </w:footnote>
  <w:footnote w:id="248">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9">
    <w:p w:rsidR="00AB61AC" w:rsidRDefault="00AB61AC">
      <w:pPr>
        <w:pStyle w:val="aff9"/>
      </w:pPr>
      <w:r>
        <w:rPr>
          <w:rStyle w:val="aff8"/>
        </w:rPr>
        <w:footnoteRef/>
      </w:r>
      <w:r>
        <w:t xml:space="preserve"> </w:t>
      </w:r>
      <w:r>
        <w:rPr/>
        <w:t xml:space="preserve">Tadqiqot natijasida muallif tomonidan ishlab chiqildi.</w:t>
      </w:r>
    </w:p>
  </w:footnote>
  <w:footnote w:id="250">
    <w:p w:rsidR="00AB61AC" w:rsidRDefault="00AB61AC">
      <w:pPr>
        <w:pStyle w:val="aff9"/>
      </w:pPr>
      <w:r>
        <w:rPr>
          <w:rStyle w:val="aff8"/>
        </w:rPr>
        <w:footnoteRef/>
      </w:r>
      <w:r>
        <w:t xml:space="preserve"> </w:t>
      </w:r>
      <w:r>
        <w:rPr>
          <w:color w:val="0070C0"/>
        </w:rPr>
        <w:t xml:space="preserve">Tadqiqotlar jarayonida muallif tomonidan tuzilgan.</w:t>
      </w:r>
    </w:p>
  </w:footnote>
  <w:footnote w:id="251">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2">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3">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4">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5">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13-tadbir</w:t>
      </w:r>
      <w:r>
        <w:t xml:space="preserve">.</w:t>
      </w:r>
    </w:p>
  </w:footnote>
  <w:footnote w:id="256">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7">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13-tadbir</w:t>
      </w:r>
      <w:r>
        <w:t xml:space="preserve">.</w:t>
      </w:r>
    </w:p>
  </w:footnote>
  <w:footnote w:id="258">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9">
    <w:p w:rsidR="00AB61AC" w:rsidRDefault="00AB61AC">
      <w:pPr>
        <w:pStyle w:val="aff9"/>
      </w:pPr>
      <w:r>
        <w:rPr>
          <w:rStyle w:val="aff8"/>
        </w:rPr>
        <w:footnoteRef/>
      </w:r>
      <w:r>
        <w:t xml:space="preserve"> 2026-yil uchun mahalliy tizimli ahamiyatga molik banklar belgilandi // O‘zbekiston Respublikasi Markaziy banki.</w:t>
      </w:r>
    </w:p>
  </w:footnote>
  <w:footnote w:id="260">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1">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w:t>
      </w:r>
      <w:r>
        <w:rPr>
          <w:color w:val="0070C0"/>
        </w:rPr>
        <w:t xml:space="preserve">O‘zbekiston Respublikasi Markaziy banki. Moliyaviy barqarorlik sharhi: 2025-yil. – Toshkent, 2026.</w:t>
      </w:r>
    </w:p>
  </w:footnote>
  <w:footnote w:id="26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w:t>
      </w:r>
      <w:r>
        <w:rPr>
          <w:color w:val="0070C0"/>
        </w:rPr>
        <w:t xml:space="preserve">O‘zbekiston Respublikasi Markaziy banki. Moliyaviy barqarorlik sharhi: 2025-yil. – Toshkent, 2026.</w:t>
      </w:r>
    </w:p>
  </w:footnote>
  <w:footnote w:id="263">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264">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5">
    <w:p w:rsidR="00AB61AC" w:rsidRDefault="00AB61AC">
      <w:pPr>
        <w:pStyle w:val="aff9"/>
      </w:pPr>
      <w:r>
        <w:rPr>
          <w:rStyle w:val="aff8"/>
        </w:rPr>
        <w:footnoteRef/>
      </w:r>
      <w:r>
        <w:t xml:space="preserve"> </w:t>
      </w:r>
      <w:r>
        <w:rPr>
          <w:color w:val="0070C0"/>
        </w:rPr>
        <w:t xml:space="preserve">Tadqiqotlar jarayonida muallif tomonidan tuzilgan.</w:t>
      </w:r>
    </w:p>
  </w:footnote>
  <w:footnote w:id="266">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7">
    <w:p w:rsidR="00AB61AC" w:rsidRDefault="00AB61AC">
      <w:pPr>
        <w:pStyle w:val="aff9"/>
      </w:pPr>
      <w:r>
        <w:rPr>
          <w:rStyle w:val="aff8"/>
        </w:rPr>
        <w:footnoteRef/>
      </w:r>
      <w:r>
        <w:t xml:space="preserve"> </w:t>
      </w:r>
      <w:r>
        <w:rPr>
          <w:color w:val="0070C0"/>
        </w:rPr>
        <w:t xml:space="preserve">Tadqiqotlar jarayonida muallif tomonidan tuzilgan.</w:t>
      </w:r>
    </w:p>
  </w:footnote>
  <w:footnote w:id="268">
    <w:p w:rsidR="00AB61AC" w:rsidRDefault="00AB61AC">
      <w:pPr>
        <w:pStyle w:val="aff9"/>
      </w:pPr>
      <w:r>
        <w:rPr>
          <w:rStyle w:val="aff8"/>
        </w:rPr>
        <w:footnoteRef/>
      </w:r>
      <w:r>
        <w:t xml:space="preserve"> </w:t>
      </w:r>
      <w:r>
        <w:rPr/>
        <w:t xml:space="preserve">Tadqiqot natijasida muallif tomonidan ishlab chiqildi.</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70">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1">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3-tadbir</w:t>
      </w:r>
      <w:r>
        <w:t xml:space="preserve">.</w:t>
      </w:r>
    </w:p>
  </w:footnote>
  <w:footnote w:id="272">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5, 19-tadbirlar</w:t>
      </w:r>
      <w:r>
        <w:t xml:space="preserve">.</w:t>
      </w:r>
    </w:p>
  </w:footnote>
  <w:footnote w:id="273">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4">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7, 16-tadbirlar</w:t>
      </w:r>
      <w:r>
        <w:t xml:space="preserve">.</w:t>
      </w:r>
    </w:p>
  </w:footnote>
  <w:footnote w:id="275">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6">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9-tadbir</w:t>
      </w:r>
      <w:r>
        <w:t xml:space="preserve">.</w:t>
      </w:r>
    </w:p>
  </w:footnote>
  <w:footnote w:id="277">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31-tadbir</w:t>
      </w:r>
      <w:r>
        <w:t xml:space="preserve">.</w:t>
      </w:r>
    </w:p>
  </w:footnote>
  <w:footnote w:id="278">
    <w:p w:rsidR="00AB61AC" w:rsidRPr="00E65E68" w:rsidRDefault="00AB61AC">
      <w:pPr>
        <w:pStyle w:val="aff9"/>
        <w:rPr>
          <w:lang w:val="ru-RU"/>
        </w:rPr>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2–4, 7, 9-tadbirlar</w:t>
      </w:r>
      <w:r w:rsidRPr="00E65E68">
        <w:rPr>
          <w:lang w:val="ru-RU"/>
        </w:rPr>
        <w:t xml:space="preserve">.</w:t>
      </w:r>
    </w:p>
  </w:footnote>
  <w:footnote w:id="27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8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2">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3">
    <w:p w:rsidR="00AB61AC" w:rsidRDefault="00AB61AC">
      <w:pPr>
        <w:pStyle w:val="aff9"/>
      </w:pPr>
      <w:r>
        <w:rPr>
          <w:rStyle w:val="aff8"/>
        </w:rPr>
        <w:footnoteRef/>
      </w:r>
      <w:r>
        <w:t xml:space="preserve"> World Bank. Republic of Uzbekistan: Financial Sector Assessment. – Washington, DC: World Bank, 2025.</w:t>
      </w:r>
    </w:p>
  </w:footnote>
  <w:footnote w:id="284">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5">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w:t>
      </w:r>
      <w:r>
        <w:rPr>
          <w:color w:val="0070C0"/>
        </w:rPr>
        <w:t xml:space="preserve">Tadqiqotlar jarayonida muallif tomonidan tuzilgan.</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w:t>
      </w:r>
      <w:r>
        <w:rPr>
          <w:color w:val="0070C0"/>
        </w:rPr>
        <w:t xml:space="preserve">Tadqiqotlar jarayonida muallif tomonidan tuzilgan.</w:t>
      </w:r>
    </w:p>
  </w:footnote>
  <w:footnote w:id="29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2">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3">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5">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Default="00AB61AC">
      <w:pPr>
        <w:pStyle w:val="aff9"/>
      </w:pPr>
      <w:r>
        <w:rPr>
          <w:rStyle w:val="aff8"/>
        </w:rPr>
        <w:footnoteRef/>
      </w:r>
      <w:r>
        <w:t xml:space="preserve"> O‘zbekiston Respublikasi Markaziy banki. Moliyaviy barqarorlik sharhi: 2022-yil. – Toshkent, 2023.</w:t>
      </w:r>
    </w:p>
  </w:footnote>
  <w:footnote w:id="298">
    <w:p w:rsidR="00AB61AC" w:rsidRDefault="00AB61AC">
      <w:pPr>
        <w:pStyle w:val="aff9"/>
      </w:pPr>
      <w:r>
        <w:rPr>
          <w:rStyle w:val="aff8"/>
        </w:rPr>
        <w:footnoteRef/>
      </w:r>
      <w:r>
        <w:t xml:space="preserve"> The Central Bank of the Republic of Uzbekistan. Annual Report 2023. – Tashkent, 2024. – P. 57.</w:t>
      </w:r>
    </w:p>
  </w:footnote>
  <w:footnote w:id="299">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300">
    <w:p w:rsidR="00AB61AC" w:rsidRDefault="00AB61AC">
      <w:pPr>
        <w:pStyle w:val="aff9"/>
      </w:pPr>
      <w:r>
        <w:rPr>
          <w:rStyle w:val="aff8"/>
        </w:rPr>
        <w:footnoteRef/>
      </w:r>
      <w:r>
        <w:t xml:space="preserve"> World Bank. Republic of Uzbekistan: Financial Sector Assessment. – Washington, DC: World Bank, 2025.</w:t>
      </w:r>
    </w:p>
  </w:footnote>
  <w:footnote w:id="301">
    <w:p w:rsidR="00AB61AC" w:rsidRDefault="00AB61AC">
      <w:pPr>
        <w:pStyle w:val="aff9"/>
      </w:pPr>
      <w:r>
        <w:rPr>
          <w:rStyle w:val="aff8"/>
        </w:rPr>
        <w:footnoteRef/>
      </w:r>
      <w:r>
        <w:t xml:space="preserve"> Tadqiqot natijasida muallif tomonidan </w:t>
      </w:r>
      <w:r>
        <w:rPr/>
        <w:t xml:space="preserve">2.2.1-jadval ma’lumotlari asosida ishlab chiqildi.</w:t>
      </w:r>
    </w:p>
  </w:footnote>
  <w:footnote w:id="302">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6">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7">
    <w:p w:rsidR="00AB61AC" w:rsidRDefault="00AB61AC">
      <w:pPr>
        <w:pStyle w:val="aff9"/>
      </w:pPr>
      <w:r>
        <w:rPr>
          <w:rStyle w:val="aff8"/>
        </w:rPr>
        <w:footnoteRef/>
      </w:r>
      <w:r>
        <w:t xml:space="preserve"> Tadqiqot natijasida muallif tomonidan 2.2.1-jadval ma’lumotlari asosida ishlab chiqildi.</w:t>
      </w:r>
    </w:p>
  </w:footnote>
  <w:footnote w:id="30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1">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2">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3">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5">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6">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7">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9">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1">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25">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6">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9">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30">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1">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2">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3">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5">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336">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8">
    <w:p w:rsidR="00AB61AC" w:rsidRDefault="00AB61AC">
      <w:pPr>
        <w:pStyle w:val="aff9"/>
      </w:pPr>
      <w:r>
        <w:rPr>
          <w:rStyle w:val="aff8"/>
        </w:rPr>
        <w:footnoteRef/>
      </w:r>
      <w:r>
        <w:t xml:space="preserve"> IFRS 9 Financial Instruments. – London: International Accounting Standards Board, 2014.</w:t>
      </w:r>
    </w:p>
  </w:footnote>
  <w:footnote w:id="339">
    <w:p w:rsidR="00AB61AC" w:rsidRDefault="00AB61AC">
      <w:pPr>
        <w:pStyle w:val="aff9"/>
      </w:pPr>
      <w:r>
        <w:rPr>
          <w:rStyle w:val="aff8"/>
        </w:rPr>
        <w:footnoteRef/>
      </w:r>
      <w:r>
        <w:t xml:space="preserve"> Tadqiqot natijasida muallif tomonidan ishlab chiqildi.</w:t>
      </w:r>
    </w:p>
  </w:footnote>
  <w:footnote w:id="34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2">
    <w:p w:rsidR="00AB61AC" w:rsidRDefault="00AB61AC">
      <w:pPr>
        <w:pStyle w:val="aff9"/>
      </w:pPr>
      <w:r>
        <w:rPr>
          <w:rStyle w:val="aff8"/>
        </w:rPr>
        <w:footnoteRef/>
      </w:r>
      <w:r>
        <w:t xml:space="preserve"> </w:t>
      </w:r>
      <w:r>
        <w:rPr>
          <w:color w:val="0070C0"/>
        </w:rPr>
        <w:t xml:space="preserve">Tadqiqotlar jarayonida muallif tomonidan tuzilgan.</w:t>
      </w:r>
    </w:p>
  </w:footnote>
  <w:footnote w:id="343">
    <w:p w:rsidR="00AB61AC" w:rsidRDefault="00AB61AC">
      <w:pPr>
        <w:pStyle w:val="aff9"/>
      </w:pPr>
      <w:r>
        <w:rPr>
          <w:rStyle w:val="aff8"/>
        </w:rPr>
        <w:footnoteRef/>
      </w:r>
      <w:r>
        <w:t xml:space="preserve"> </w:t>
      </w:r>
      <w:r>
        <w:rPr>
          <w:color w:val="0070C0"/>
        </w:rPr>
        <w:t xml:space="preserve">Tadqiqotlar jarayonida muallif tomonidan tuzilgan.</w:t>
      </w:r>
    </w:p>
  </w:footnote>
  <w:footnote w:id="34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7">
    <w:p w:rsidR="00AB61AC" w:rsidRDefault="00AB61AC">
      <w:pPr>
        <w:pStyle w:val="aff9"/>
      </w:pPr>
      <w:r>
        <w:rPr>
          <w:rStyle w:val="aff8"/>
        </w:rPr>
        <w:footnoteRef/>
      </w:r>
      <w:r>
        <w:t xml:space="preserve"> </w:t>
      </w:r>
      <w:r>
        <w:rPr>
          <w:color w:val="0070C0"/>
        </w:rPr>
        <w:t xml:space="preserve">Tadqiqotlar jarayonida muallif tomonidan tuzilgan.</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w:t>
      </w:r>
      <w:r>
        <w:rPr>
          <w:color w:val="0070C0"/>
        </w:rPr>
        <w:t xml:space="preserve">Tadqiqotlar jarayonida muallif tomonidan tuzilgan.</w:t>
      </w:r>
    </w:p>
  </w:footnote>
  <w:footnote w:id="35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1">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35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5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5">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5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7">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8">
    <w:p w:rsidR="00AB61AC" w:rsidRDefault="00AB61AC">
      <w:pPr>
        <w:pStyle w:val="aff9"/>
      </w:pPr>
      <w:r>
        <w:rPr>
          <w:rStyle w:val="aff8"/>
        </w:rPr>
        <w:footnoteRef/>
      </w:r>
      <w:r>
        <w:t xml:space="preserve"> Basel Committee on Banking Supervision. Basel III: The Net Stable Funding Ratio. – Basel: BIS, October 2014.</w:t>
      </w:r>
    </w:p>
  </w:footnote>
  <w:footnote w:id="35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60">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1">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2">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3">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t xml:space="preserve"> </w:t>
      </w:r>
      <w:r>
        <w:rPr>
          <w:color w:val="0070C0"/>
        </w:rPr>
        <w:t xml:space="preserve">Tadqiqotlar jarayonida muallif tomonidan tuzilgan.</w:t>
      </w:r>
    </w:p>
  </w:footnote>
  <w:footnote w:id="366">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7">
    <w:p w:rsidR="00AB61AC" w:rsidRDefault="00AB61AC">
      <w:pPr>
        <w:pStyle w:val="aff9"/>
      </w:pPr>
      <w:r>
        <w:rPr>
          <w:rStyle w:val="aff8"/>
        </w:rPr>
        <w:footnoteRef/>
      </w:r>
      <w:r>
        <w:t xml:space="preserve"> Tadqiqot natijasida muallif tomonidan </w:t>
      </w:r>
      <w:r>
        <w:rPr/>
        <w:t xml:space="preserve">2.3.2- va 2.3.4-jadvallar ma’lumotlari</w:t>
      </w:r>
      <w:r>
        <w:t xml:space="preserve"> asosida ishlab chiqildi.</w:t>
      </w:r>
    </w:p>
  </w:footnote>
  <w:footnote w:id="368">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9">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70">
    <w:p w:rsidR="00AB61AC" w:rsidRDefault="00AB61AC">
      <w:pPr>
        <w:pStyle w:val="aff9"/>
      </w:pPr>
      <w:r>
        <w:rPr>
          <w:rStyle w:val="aff8"/>
        </w:rPr>
        <w:footnoteRef/>
      </w:r>
      <w:r>
        <w:rPr/>
        <w:t xml:space="preserve"> </w:t>
      </w:r>
      <w:r>
        <w:rPr>
          <w:color w:val="0070C0"/>
        </w:rPr>
        <w:t xml:space="preserve">Tadqiqotlar jarayonida muallif tomonidan tuzilgan.</w:t>
      </w:r>
    </w:p>
  </w:footnote>
  <w:footnote w:id="371">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5">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7">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8">
    <w:p w:rsidR="00AB61AC" w:rsidRDefault="00AB61AC">
      <w:pPr>
        <w:pStyle w:val="aff9"/>
      </w:pPr>
      <w:r>
        <w:rPr>
          <w:rStyle w:val="aff8"/>
        </w:rPr>
        <w:footnoteRef/>
      </w:r>
      <w:r>
        <w:t xml:space="preserve"> Tadqiqot natijasida muallif tomonidan dissertatsiyaning 2.1–2.3-paragraflari natijalari asosida ishlab chiqildi.</w:t>
      </w:r>
    </w:p>
  </w:footnote>
  <w:footnote w:id="379">
    <w:p w:rsidR="00AB61AC" w:rsidRDefault="00AB61AC">
      <w:pPr>
        <w:pStyle w:val="aff9"/>
      </w:pPr>
      <w:r>
        <w:rPr>
          <w:rStyle w:val="aff8"/>
        </w:rPr>
        <w:footnoteRef/>
      </w:r>
      <w:r>
        <w:t xml:space="preserve"> Tadqiqot natijasida muallif tomonidan ishlab chiqildi.</w:t>
      </w:r>
    </w:p>
  </w:footnote>
  <w:footnote w:id="380">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8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2">
    <w:p w:rsidR="00AB61AC" w:rsidRDefault="00AB61AC">
      <w:pPr>
        <w:pStyle w:val="aff9"/>
      </w:pPr>
      <w:r>
        <w:rPr>
          <w:rStyle w:val="aff8"/>
        </w:rPr>
        <w:footnoteRef/>
      </w:r>
      <w:r>
        <w:t xml:space="preserve"> </w:t>
      </w:r>
      <w:r>
        <w:rPr>
          <w:color w:val="0070C0"/>
        </w:rPr>
        <w:t xml:space="preserve">Tadqiqotlar jarayonida muallif tomonidan tuzilgan.</w:t>
      </w:r>
    </w:p>
  </w:footnote>
  <w:footnote w:id="38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4">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5">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6">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90">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1">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92">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3">
    <w:p w:rsidR="00AB61AC" w:rsidRDefault="00AB61AC">
      <w:pPr>
        <w:pStyle w:val="aff9"/>
      </w:pPr>
      <w:r>
        <w:rPr>
          <w:rStyle w:val="aff8"/>
        </w:rPr>
        <w:footnoteRef/>
      </w:r>
      <w:r>
        <w:t xml:space="preserve"> Basel Committee on Banking Supervision. Basel III: The Net Stable Funding Ratio. – Basel: BIS, October 2014.</w:t>
      </w:r>
    </w:p>
  </w:footnote>
  <w:footnote w:id="394">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1">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2">
    <w:p w:rsidR="00AB61AC" w:rsidRDefault="00AB61AC">
      <w:pPr>
        <w:pStyle w:val="aff9"/>
      </w:pPr>
      <w:r>
        <w:rPr>
          <w:rStyle w:val="aff8"/>
        </w:rPr>
        <w:footnoteRef/>
      </w:r>
      <w:r>
        <w:t xml:space="preserve"> Tadqiqot natijasida muallif tomonidan 3.1.2-jadval asosida ishlab chiqildi.</w:t>
      </w:r>
    </w:p>
  </w:footnote>
  <w:footnote w:id="403">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6">
    <w:p w:rsidR="00AB61AC" w:rsidRDefault="00AB61AC">
      <w:pPr>
        <w:pStyle w:val="aff9"/>
      </w:pPr>
      <w:r>
        <w:rPr>
          <w:rStyle w:val="aff8"/>
        </w:rPr>
        <w:footnoteRef/>
      </w:r>
      <w:r w:rsidRPr="00E65E68">
        <w:rPr>
          <w:lang w:val="ru-RU"/>
        </w:rPr>
        <w:t xml:space="preserve"> </w:t>
      </w:r>
      <w:r>
        <w:rPr>
          <w:color w:val="0070C0"/>
        </w:rPr>
        <w:t xml:space="preserve">Tadqiqotlar jarayonida muallif tomonidan tuzilgan.</w:t>
      </w:r>
    </w:p>
  </w:footnote>
  <w:footnote w:id="407">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9">
    <w:p w:rsidR="00AB61AC" w:rsidRDefault="00AB61AC">
      <w:pPr>
        <w:pStyle w:val="aff9"/>
      </w:pPr>
      <w:r>
        <w:rPr>
          <w:rStyle w:val="aff8"/>
        </w:rPr>
        <w:footnoteRef/>
      </w:r>
      <w:r>
        <w:t xml:space="preserve"> </w:t>
      </w:r>
      <w:r>
        <w:rPr>
          <w:color w:val="0070C0"/>
        </w:rPr>
        <w:t xml:space="preserve">Tadqiqotlar jarayonida muallif tomonidan tuzilgan.</w:t>
      </w:r>
    </w:p>
  </w:footnote>
  <w:footnote w:id="410">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1">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412">
    <w:p w:rsidR="00AB61AC" w:rsidRDefault="00AB61AC">
      <w:pPr>
        <w:pStyle w:val="aff9"/>
      </w:pPr>
      <w:r>
        <w:rPr>
          <w:rStyle w:val="aff8"/>
        </w:rPr>
        <w:footnoteRef/>
      </w:r>
      <w:r>
        <w:rPr/>
        <w:t xml:space="preserve"> </w:t>
      </w:r>
      <w:r>
        <w:rPr>
          <w:color w:val="0070C0"/>
        </w:rPr>
        <w:t xml:space="preserve">Tadqiqotlar jarayonida muallif tomonidan tuzilgan.</w:t>
      </w:r>
    </w:p>
  </w:footnote>
  <w:footnote w:id="413">
    <w:p w:rsidR="00AB61AC" w:rsidRDefault="00AB61AC">
      <w:pPr>
        <w:pStyle w:val="aff9"/>
      </w:pPr>
      <w:r>
        <w:rPr>
          <w:rStyle w:val="aff8"/>
        </w:rPr>
        <w:footnoteRef/>
      </w:r>
      <w:r>
        <w:rPr/>
        <w:t xml:space="preserve"> </w:t>
      </w:r>
      <w:r>
        <w:rPr>
          <w:color w:val="0070C0"/>
        </w:rPr>
        <w:t xml:space="preserve">Tadqiqotlar jarayonida muallif tomonidan tuzilgan.</w:t>
      </w:r>
    </w:p>
  </w:footnote>
  <w:footnote w:id="414">
    <w:p w:rsidR="00AB61AC" w:rsidRDefault="00AB61AC">
      <w:pPr>
        <w:pStyle w:val="aff9"/>
      </w:pPr>
      <w:r>
        <w:rPr>
          <w:rStyle w:val="aff8"/>
        </w:rPr>
        <w:footnoteRef/>
      </w:r>
      <w:r>
        <w:t xml:space="preserve"> Tadqiqot natijasida muallif tomonidan 3.1.3 va 3.1.5-jadvallar ma’lumotlari asosida hisoblandi.</w:t>
      </w:r>
    </w:p>
  </w:footnote>
  <w:footnote w:id="415">
    <w:p w:rsidR="00AB61AC" w:rsidRDefault="00AB61AC">
      <w:pPr>
        <w:pStyle w:val="aff9"/>
      </w:pPr>
      <w:r>
        <w:rPr>
          <w:rStyle w:val="aff8"/>
        </w:rPr>
        <w:footnoteRef/>
      </w:r>
      <w:r>
        <w:t xml:space="preserve"> </w:t>
      </w:r>
      <w:r>
        <w:rPr>
          <w:color w:val="0070C0"/>
        </w:rPr>
        <w:t xml:space="preserve">Tadqiqotlar jarayonida muallif tomonidan tuzilgan.</w:t>
      </w:r>
    </w:p>
  </w:footnote>
  <w:footnote w:id="416">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7">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8">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9">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w:t>
      </w:r>
      <w:r>
        <w:rPr>
          <w:color w:val="0070C0"/>
        </w:rPr>
        <w:t xml:space="preserve">Tadqiqotlar jarayonida muallif tomonidan tuzilgan.</w:t>
      </w:r>
    </w:p>
  </w:footnote>
  <w:footnote w:id="421">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4">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5">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6">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7">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9">
    <w:p w:rsidR="00AB61AC" w:rsidRDefault="00AB61AC">
      <w:pPr>
        <w:pStyle w:val="aff9"/>
      </w:pPr>
      <w:r>
        <w:rPr>
          <w:rStyle w:val="aff8"/>
        </w:rPr>
        <w:footnoteRef/>
      </w:r>
      <w:r>
        <w:t xml:space="preserve"> </w:t>
      </w:r>
      <w:r>
        <w:rPr>
          <w:color w:val="0070C0"/>
        </w:rPr>
        <w:t xml:space="preserve">Tadqiqotlar jarayonida muallif tomonidan tuzilgan.</w:t>
      </w:r>
    </w:p>
  </w:footnote>
  <w:footnote w:id="4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1">
    <w:p w:rsidR="00AB61AC" w:rsidRDefault="00AB61AC">
      <w:pPr>
        <w:pStyle w:val="aff9"/>
      </w:pPr>
      <w:r>
        <w:rPr>
          <w:rStyle w:val="aff8"/>
        </w:rPr>
        <w:footnoteRef/>
      </w:r>
      <w:r>
        <w:t xml:space="preserve"> </w:t>
      </w:r>
      <w:r>
        <w:rPr>
          <w:color w:val="0070C0"/>
        </w:rPr>
        <w:t xml:space="preserve">Tadqiqotlar jarayonida muallif tomonidan tuzilgan.</w:t>
      </w:r>
    </w:p>
  </w:footnote>
  <w:footnote w:id="432">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3">
    <w:p w:rsidR="00AB61AC" w:rsidRDefault="00AB61AC">
      <w:pPr>
        <w:pStyle w:val="aff9"/>
      </w:pPr>
      <w:r>
        <w:rPr>
          <w:rStyle w:val="aff8"/>
        </w:rPr>
        <w:footnoteRef/>
      </w:r>
      <w:r>
        <w:t xml:space="preserve"> </w:t>
      </w:r>
      <w:r>
        <w:rPr>
          <w:color w:val="0070C0"/>
        </w:rPr>
        <w:t xml:space="preserve">Tadqiqotlar jarayonida muallif tomonidan tuzilgan.</w:t>
      </w:r>
    </w:p>
  </w:footnote>
  <w:footnote w:id="434">
    <w:p w:rsidR="00AB61AC" w:rsidRDefault="00AB61AC">
      <w:pPr>
        <w:pStyle w:val="aff9"/>
      </w:pPr>
      <w:r>
        <w:rPr>
          <w:rStyle w:val="aff8"/>
        </w:rPr>
        <w:footnoteRef/>
      </w:r>
      <w:r>
        <w:t xml:space="preserve"> </w:t>
      </w:r>
      <w:r>
        <w:rPr>
          <w:color w:val="0070C0"/>
        </w:rPr>
        <w:t xml:space="preserve">Tadqiqotlar jarayonida muallif tomonidan tuzilgan.</w:t>
      </w:r>
    </w:p>
  </w:footnote>
  <w:footnote w:id="435">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6">
    <w:p w:rsidR="00AB61AC" w:rsidRDefault="00AB61AC">
      <w:pPr>
        <w:pStyle w:val="aff9"/>
      </w:pPr>
      <w:r>
        <w:rPr>
          <w:rStyle w:val="aff8"/>
        </w:rPr>
        <w:footnoteRef/>
      </w:r>
      <w:r>
        <w:t xml:space="preserve"> </w:t>
      </w:r>
      <w:r>
        <w:rPr>
          <w:color w:val="0070C0"/>
        </w:rPr>
        <w:t xml:space="preserve">Tadqiqotlar jarayonida muallif tomonidan tuzilgan.</w:t>
      </w:r>
    </w:p>
  </w:footnote>
  <w:footnote w:id="437">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8">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9">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4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1">
    <w:p w:rsidR="00AB61AC" w:rsidRDefault="00AB61AC">
      <w:pPr>
        <w:pStyle w:val="aff9"/>
      </w:pPr>
      <w:r>
        <w:rPr>
          <w:rStyle w:val="aff8"/>
        </w:rPr>
        <w:footnoteRef/>
      </w:r>
      <w:r>
        <w:t xml:space="preserve"> Tadqiqot natijasida muallif tomonidan </w:t>
      </w:r>
      <w:r>
        <w:rPr/>
        <w:t xml:space="preserve">ishlab chiqildi; gipotezalarning nazariy asoslari jadvaldan keyingi matnda keltirilgan manbalarga tayanadi.</w:t>
      </w:r>
    </w:p>
  </w:footnote>
  <w:footnote w:id="442">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3">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4">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5">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6">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8">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9">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50">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2">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3">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4">
    <w:p w:rsidR="00AB61AC" w:rsidRDefault="00AB61AC">
      <w:pPr>
        <w:pStyle w:val="aff9"/>
      </w:pPr>
      <w:r>
        <w:rPr>
          <w:rStyle w:val="aff8"/>
        </w:rPr>
        <w:footnoteRef/>
      </w:r>
      <w:r>
        <w:t xml:space="preserve"> Roy A.D. Safety First and the Holding of Assets // Econometrica. – 1952. – Vol. 20, No. 3. – P. 431–449.</w:t>
      </w:r>
    </w:p>
  </w:footnote>
  <w:footnote w:id="455">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6">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7">
    <w:p w:rsidR="00AB61AC" w:rsidRDefault="00AB61AC">
      <w:pPr>
        <w:pStyle w:val="aff9"/>
      </w:pPr>
      <w:r>
        <w:rPr>
          <w:rStyle w:val="aff8"/>
        </w:rPr>
        <w:footnoteRef/>
      </w:r>
      <w:r>
        <w:t xml:space="preserve"> </w:t>
      </w:r>
      <w:r>
        <w:rPr>
          <w:color w:val="0070C0"/>
        </w:rPr>
        <w:t xml:space="preserve">Tadqiqotlar jarayonida muallif tomonidan tuzilgan.</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Tadqiqot natijasida muallif tomonidan 3.3.2-jadvalda ko‘rsatilgan manbalar ma’lumotlari asosida hisoblandi.</w:t>
      </w:r>
    </w:p>
  </w:footnote>
  <w:footnote w:id="461">
    <w:p w:rsidR="00AB61AC" w:rsidRDefault="00AB61AC">
      <w:pPr>
        <w:pStyle w:val="aff9"/>
      </w:pPr>
      <w:r>
        <w:rPr>
          <w:rStyle w:val="aff8"/>
        </w:rPr>
        <w:footnoteRef/>
      </w:r>
      <w:r>
        <w:t xml:space="preserve"> Baltagi B.H. Econometric Analysis of Panel Data. – 6th ed. – Cham: Springer, 2021.</w:t>
      </w:r>
    </w:p>
  </w:footnote>
  <w:footnote w:id="462">
    <w:p w:rsidR="00AB61AC" w:rsidRDefault="00AB61AC">
      <w:pPr>
        <w:pStyle w:val="aff9"/>
      </w:pPr>
      <w:r>
        <w:rPr>
          <w:rStyle w:val="aff8"/>
        </w:rPr>
        <w:footnoteRef/>
      </w:r>
      <w:r>
        <w:t xml:space="preserve"> Wooldridge J.M. Econometric Analysis of Cross Section and Panel Data. – 2nd ed. – Cambridge, MA: MIT Press, 2010.</w:t>
      </w:r>
    </w:p>
  </w:footnote>
  <w:footnote w:id="463">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4">
    <w:p w:rsidR="00AB61AC" w:rsidRDefault="00AB61AC">
      <w:pPr>
        <w:pStyle w:val="aff9"/>
      </w:pPr>
      <w:r>
        <w:rPr>
          <w:rStyle w:val="aff8"/>
        </w:rPr>
        <w:footnoteRef/>
      </w:r>
      <w:r>
        <w:t xml:space="preserve"> Hausman J.A. Specification Tests in Econometrics // Econometrica. – 1978. – Vol. 46, No. 6. – P. 1251–1271.</w:t>
      </w:r>
    </w:p>
  </w:footnote>
  <w:footnote w:id="465">
    <w:p w:rsidR="00AB61AC" w:rsidRDefault="00AB61AC">
      <w:pPr>
        <w:pStyle w:val="aff9"/>
      </w:pPr>
      <w:r>
        <w:rPr>
          <w:rStyle w:val="aff8"/>
        </w:rPr>
        <w:footnoteRef/>
      </w:r>
      <w:r>
        <w:t xml:space="preserve"> Nickell S. Biases in Dynamic Models with Fixed Effects // Econometrica. – 1981. – Vol. 49, No. 6. – P. 1417–1426.</w:t>
      </w:r>
    </w:p>
  </w:footnote>
  <w:footnote w:id="466">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7">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8">
    <w:p w:rsidR="00AB61AC" w:rsidRDefault="00AB61AC">
      <w:pPr>
        <w:pStyle w:val="aff9"/>
      </w:pPr>
      <w:r>
        <w:rPr>
          <w:rStyle w:val="aff8"/>
        </w:rPr>
        <w:footnoteRef/>
      </w:r>
      <w:r>
        <w:t xml:space="preserve"> Tadqiqot natijasida muallif tomonidan 3.3.2-jadvalda ko‘rsatilgan manbalar ma’lumotlari asosida hisoblandi.</w:t>
      </w:r>
    </w:p>
  </w:footnote>
  <w:footnote w:id="469">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70">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1">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5">
    <w:p w:rsidR="00AB61AC" w:rsidRDefault="00AB61AC">
      <w:pPr>
        <w:pStyle w:val="aff9"/>
      </w:pPr>
      <w:r>
        <w:rPr>
          <w:rStyle w:val="aff8"/>
        </w:rPr>
        <w:footnoteRef/>
      </w:r>
      <w:r>
        <w:t xml:space="preserve"> Tadqiqot natijasida muallif tomonidan 3.3.2-jadvalda ko‘rsatilgan manbalar ma’lumotlari asosida hisoblandi.</w:t>
      </w:r>
    </w:p>
  </w:footnote>
  <w:footnote w:id="476">
    <w:p w:rsidR="00AB61AC" w:rsidRDefault="00AB61AC">
      <w:pPr>
        <w:pStyle w:val="aff9"/>
      </w:pPr>
      <w:r>
        <w:rPr>
          <w:rStyle w:val="aff8"/>
        </w:rPr>
        <w:footnoteRef/>
      </w:r>
      <w:r>
        <w:rPr/>
        <w:t xml:space="preserve"> Nickell S. Biases in Dynamic Models with Fixed Effects // Econometrica. – 1981. – Vol. 49, No. 6. – P. 1417–1426.</w:t>
      </w:r>
    </w:p>
  </w:footnote>
  <w:footnote w:id="47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8">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9">
    <w:p w:rsidR="00AB61AC" w:rsidRDefault="00AB61AC">
      <w:pPr>
        <w:pStyle w:val="aff9"/>
      </w:pPr>
      <w:r>
        <w:rPr>
          <w:rStyle w:val="aff8"/>
        </w:rPr>
        <w:footnoteRef/>
      </w:r>
      <w:r>
        <w:t xml:space="preserve"> Tadqiqot natijasida muallif tomonidan 3.3.3–3.3.6-jadvallar ma’lumotlari asosida ishlab chiqildi.</w:t>
      </w:r>
    </w:p>
  </w:footnote>
  <w:footnote w:id="480">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1">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2">
    <w:p w:rsidR="00AB61AC" w:rsidRDefault="00AB61AC">
      <w:pPr>
        <w:pStyle w:val="aff9"/>
      </w:pPr>
      <w:r>
        <w:rPr>
          <w:rStyle w:val="aff8"/>
        </w:rPr>
        <w:footnoteRef/>
      </w:r>
      <w:r>
        <w:t xml:space="preserve"> </w:t>
      </w:r>
      <w:r>
        <w:rPr>
          <w:color w:val="0070C0"/>
        </w:rPr>
        <w:t xml:space="preserve">Tadqiqotlar jarayonida muallif tomonidan tuzilgan.</w:t>
      </w:r>
    </w:p>
  </w:footnote>
  <w:footnote w:id="483">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4">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5">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6">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7">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8">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0">
    <w:p w:rsidR="00AB61AC" w:rsidRDefault="00AB61AC">
      <w:pPr>
        <w:pStyle w:val="aff9"/>
      </w:pPr>
      <w:r>
        <w:rPr>
          <w:rStyle w:val="aff8"/>
        </w:rPr>
        <w:footnoteRef/>
      </w:r>
      <w:r>
        <w:t xml:space="preserve"> </w:t>
      </w:r>
      <w:r>
        <w:rPr>
          <w:color w:val="0070C0"/>
        </w:rPr>
        <w:t xml:space="preserve">Tadqiqotlar jarayonida muallif tomonidan tuzilgan.</w:t>
      </w:r>
    </w:p>
  </w:footnote>
  <w:footnote w:id="491">
    <w:p w:rsidR="00AB61AC" w:rsidRDefault="00AB61AC">
      <w:pPr>
        <w:pStyle w:val="aff9"/>
      </w:pPr>
      <w:r>
        <w:rPr>
          <w:rStyle w:val="aff8"/>
        </w:rPr>
        <w:footnoteRef/>
      </w:r>
      <w:r>
        <w:t xml:space="preserve"> Fawcett T. An introduction to ROC analysis // Pattern Recognition Letters. – 2006. – Vol. 27, No. 8. – P. 861–874.</w:t>
      </w:r>
    </w:p>
  </w:footnote>
  <w:footnote w:id="492">
    <w:p w:rsidR="00AB61AC" w:rsidRDefault="00AB61AC">
      <w:pPr>
        <w:pStyle w:val="aff9"/>
      </w:pPr>
      <w:r>
        <w:rPr>
          <w:rStyle w:val="aff8"/>
        </w:rPr>
        <w:footnoteRef/>
      </w:r>
      <w:r>
        <w:t xml:space="preserve"> Hosmer D.W., Lemeshow S., Sturdivant R.X. Applied Logistic Regression. – 3rd ed. – Hoboken, NJ: John Wiley &amp; Sons, 2013.</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5">
    <w:p w:rsidR="00AB61AC" w:rsidRDefault="00AB61AC">
      <w:pPr>
        <w:pStyle w:val="aff9"/>
      </w:pPr>
      <w:r>
        <w:rPr>
          <w:rStyle w:val="aff8"/>
        </w:rPr>
        <w:footnoteRef/>
      </w:r>
      <w:r>
        <w:t xml:space="preserve"> Tadqiqot natijasida muallif tomonidan 4.1.2-jadvalda ko‘rsatilgan manbalar ma’lumotlari asosida hisoblandi.</w:t>
      </w:r>
    </w:p>
  </w:footnote>
  <w:footnote w:id="496">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7">
    <w:p w:rsidR="00AB61AC" w:rsidRDefault="00AB61AC">
      <w:pPr>
        <w:pStyle w:val="aff9"/>
      </w:pPr>
      <w:r>
        <w:rPr>
          <w:rStyle w:val="aff8"/>
        </w:rPr>
        <w:footnoteRef/>
      </w:r>
      <w:r>
        <w:t xml:space="preserve"> Hosmer D.W., Lemeshow S., Sturdivant R.X. Applied Logistic Regression. – 3rd ed. – Hoboken, NJ: John Wiley &amp; Sons, 2013.</w:t>
      </w:r>
    </w:p>
  </w:footnote>
  <w:footnote w:id="498">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Tadqiqot natijasida muallif tomonidan 4.1.2-jadvalda ko‘rsatilgan manbalar ma’lumotlari asosida hisoblandi.</w:t>
      </w:r>
    </w:p>
  </w:footnote>
  <w:footnote w:id="501">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2">
    <w:p w:rsidR="00AB61AC" w:rsidRDefault="00AB61AC">
      <w:pPr>
        <w:pStyle w:val="aff9"/>
      </w:pPr>
      <w:r>
        <w:rPr>
          <w:rStyle w:val="aff8"/>
        </w:rPr>
        <w:footnoteRef/>
      </w:r>
      <w:r>
        <w:t xml:space="preserve"> Tadqiqot natijasida muallif tomonidan 4.1.2-jadvalda ko‘rsatilgan manbalar ma’lumotlari asosida hisoblandi.</w:t>
      </w:r>
    </w:p>
  </w:footnote>
  <w:footnote w:id="503">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4">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5">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506">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507">
    <w:p w:rsidR="00AB61AC" w:rsidRDefault="00AB61AC">
      <w:pPr>
        <w:pStyle w:val="aff9"/>
      </w:pPr>
      <w:r>
        <w:rPr>
          <w:rStyle w:val="aff8"/>
        </w:rPr>
        <w:footnoteRef/>
      </w:r>
      <w:r>
        <w:t xml:space="preserve"> Tadqiqot natijasida muallif tomonidan 4.1.3–4.1.5-jadvallar ma’lumotlari asosida ishlab chiqildi.</w:t>
      </w:r>
    </w:p>
  </w:footnote>
  <w:footnote w:id="508">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9">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10">
    <w:p w:rsidR="00AB61AC" w:rsidRDefault="00AB61AC">
      <w:pPr>
        <w:pStyle w:val="aff9"/>
      </w:pPr>
      <w:r>
        <w:rPr>
          <w:rStyle w:val="aff8"/>
        </w:rPr>
        <w:footnoteRef/>
      </w:r>
      <w:r>
        <w:t xml:space="preserve"> Basel Committee on Banking Supervision. Stress testing principles. – Basel: BIS, October 2018.</w:t>
      </w:r>
    </w:p>
  </w:footnote>
  <w:footnote w:id="511">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2">
    <w:p w:rsidR="00AB61AC" w:rsidRDefault="00AB61AC">
      <w:pPr>
        <w:pStyle w:val="aff9"/>
      </w:pPr>
      <w:r>
        <w:rPr>
          <w:rStyle w:val="aff8"/>
        </w:rPr>
        <w:footnoteRef/>
      </w:r>
      <w:r>
        <w:t xml:space="preserve"> Tadqiqot natijasida muallif tomonidan </w:t>
      </w:r>
      <w:r>
        <w:rPr>
          <w:color w:val="0070C0"/>
        </w:rPr>
        <w:t xml:space="preserve">O‘zbekiston Respublikasi Markaziy banki statistik byulleteni (2026-yil mart, 1.1-jadval) ma’lumotlari asosida ishlab chiqildi</w:t>
      </w:r>
      <w:r>
        <w:t xml:space="preserve">.</w:t>
      </w:r>
    </w:p>
  </w:footnote>
  <w:footnote w:id="513">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w:t>
      </w:r>
      <w:r>
        <w:rPr>
          <w:color w:val="0070C0"/>
        </w:rPr>
        <w:t xml:space="preserve">1.1-jadval</w:t>
      </w:r>
      <w:r>
        <w:t xml:space="preserve">. – https://cbu.uz/uz/statistics/buleten/</w:t>
      </w:r>
    </w:p>
  </w:footnote>
  <w:footnote w:id="514">
    <w:p w:rsidR="00AB61AC" w:rsidRDefault="00AB61AC">
      <w:pPr>
        <w:pStyle w:val="aff9"/>
      </w:pPr>
      <w:r>
        <w:rPr>
          <w:rStyle w:val="aff8"/>
        </w:rPr>
        <w:footnoteRef/>
      </w:r>
      <w:r>
        <w:t xml:space="preserve"> </w:t>
      </w:r>
      <w:r>
        <w:rPr>
          <w:color w:val="0070C0"/>
        </w:rPr>
        <w:t xml:space="preserve">Tadqiqotlar jarayonida muallif tomonidan tuzilgan.</w:t>
      </w:r>
    </w:p>
  </w:footnote>
  <w:footnote w:id="51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Basel Committee on Banking Supervision. Stress testing principles. – Basel: BIS, October 2018.</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Default="00AB61AC">
      <w:pPr>
        <w:pStyle w:val="aff9"/>
      </w:pPr>
      <w:r>
        <w:rPr>
          <w:rStyle w:val="aff8"/>
        </w:rPr>
        <w:footnoteRef/>
      </w:r>
      <w:r>
        <w:t xml:space="preserve"> Tadqiqot natijasida muallif tomonidan 4.2.2-jadvalda ko‘rsatilgan manbalar ma’lumotlari asosida hisoblandi.</w:t>
      </w:r>
    </w:p>
  </w:footnote>
  <w:footnote w:id="523">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524">
    <w:p w:rsidR="00AB61AC" w:rsidRDefault="00AB61AC">
      <w:pPr>
        <w:pStyle w:val="aff9"/>
      </w:pPr>
      <w:r>
        <w:rPr>
          <w:rStyle w:val="aff8"/>
        </w:rPr>
        <w:footnoteRef/>
      </w:r>
      <w:r>
        <w:t xml:space="preserve"> Tadqiqot natijasida muallif tomonidan 4.2.6-jadval ma’lumotlari asosida ishlab chiqildi.</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9">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w:t>
      </w:r>
    </w:p>
  </w:footnote>
  <w:footnote w:id="530">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3, 5, 7, 9, 12, 19-tadbirlar</w:t>
      </w:r>
      <w:r>
        <w:t xml:space="preserve">.</w:t>
      </w:r>
    </w:p>
  </w:footnote>
  <w:footnote w:id="531">
    <w:p w:rsidR="00AB61AC" w:rsidRDefault="00AB61AC">
      <w:pPr>
        <w:pStyle w:val="aff9"/>
      </w:pPr>
      <w:r>
        <w:rPr>
          <w:rStyle w:val="aff8"/>
        </w:rPr>
        <w:footnoteRef/>
      </w:r>
      <w:r>
        <w:t xml:space="preserve"> </w:t>
      </w:r>
      <w:r>
        <w:rPr>
          <w:color w:val="0070C0"/>
        </w:rPr>
        <w:t xml:space="preserve">Tadqiqotlar jarayonida muallif tomonidan tuzilgan.</w:t>
      </w:r>
    </w:p>
  </w:footnote>
  <w:footnote w:id="53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3">
    <w:p w:rsidR="00AB61AC" w:rsidRDefault="00AB61AC">
      <w:pPr>
        <w:pStyle w:val="aff9"/>
      </w:pPr>
      <w:r>
        <w:rPr>
          <w:rStyle w:val="aff8"/>
        </w:rPr>
        <w:footnoteRef/>
      </w:r>
      <w:r>
        <w:rPr/>
        <w:t xml:space="preserve"> Sullivan &amp; Cromwell LLP. FFIEC Proposes Revisions to CAMELS Rating System</w:t>
      </w:r>
      <w:r>
        <w:rPr/>
        <w:t xml:space="preserve">. – New York, 20 May 2026. – https://www.sullcrom.com/insights/memo/2026/May/FFIEC-Proposes-Revisions-CAMELS-Rating-System.</w:t>
      </w:r>
    </w:p>
  </w:footnote>
  <w:footnote w:id="534">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9-tadbir</w:t>
      </w:r>
      <w:r>
        <w:t xml:space="preserve">.</w:t>
      </w:r>
    </w:p>
  </w:footnote>
  <w:footnote w:id="535">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6">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8">
    <w:p w:rsidR="00AB61AC" w:rsidRDefault="00AB61AC">
      <w:pPr>
        <w:pStyle w:val="aff9"/>
      </w:pPr>
      <w:r>
        <w:rPr>
          <w:rStyle w:val="aff8"/>
        </w:rPr>
        <w:footnoteRef/>
      </w:r>
      <w:r>
        <w:t xml:space="preserve"> </w:t>
      </w:r>
      <w:r>
        <w:rPr>
          <w:color w:val="0070C0"/>
        </w:rPr>
        <w:t xml:space="preserve">Tadqiqotlar jarayonida muallif tomonidan tuzilgan.</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40">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3">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7-tadbir</w:t>
      </w:r>
      <w:r>
        <w:t xml:space="preserve">.</w:t>
      </w:r>
    </w:p>
  </w:footnote>
  <w:footnote w:id="544">
    <w:p w:rsidR="00AB61AC" w:rsidRDefault="00AB61AC">
      <w:pPr>
        <w:pStyle w:val="aff9"/>
      </w:pPr>
      <w:r>
        <w:rPr>
          <w:rStyle w:val="aff8"/>
        </w:rPr>
        <w:footnoteRef/>
      </w:r>
      <w:r>
        <w:t xml:space="preserve"> </w:t>
      </w:r>
      <w:r>
        <w:rPr>
          <w:color w:val="0070C0"/>
        </w:rPr>
        <w:t xml:space="preserve">Tadqiqotlar jarayonida muallif tomonidan tuzilgan.</w:t>
      </w:r>
    </w:p>
  </w:footnote>
  <w:footnote w:id="54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6">
    <w:p w:rsidR="00AB61AC" w:rsidRDefault="00AB61AC">
      <w:pPr>
        <w:pStyle w:val="aff9"/>
      </w:pPr>
      <w:r>
        <w:rPr>
          <w:rStyle w:val="aff8"/>
        </w:rPr>
        <w:footnoteRef/>
      </w:r>
      <w:r>
        <w:t xml:space="preserve"> Tadqiqot natijasida muallif tomonidan ishlab chiqildi.</w:t>
      </w:r>
    </w:p>
  </w:footnote>
  <w:footnote w:id="547">
    <w:p w:rsidR="00AB61AC" w:rsidRDefault="00AB61AC">
      <w:pPr>
        <w:pStyle w:val="aff9"/>
      </w:pPr>
      <w:r>
        <w:rPr>
          <w:rStyle w:val="aff8"/>
        </w:rPr>
        <w:footnoteRef/>
      </w:r>
      <w:r>
        <w:t xml:space="preserve"> </w:t>
      </w:r>
      <w:r>
        <w:rPr>
          <w:color w:val="0070C0"/>
        </w:rPr>
        <w:t xml:space="preserve">Tadqiqotlar jarayonida muallif tomonidan tuzilgan.</w:t>
      </w:r>
    </w:p>
  </w:footnote>
  <w:footnote w:id="548">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Birinchi darajali 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Kapital rentabelligi (ROE)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Aktivlar rentabelligi, soliq to‘lagunga qadar (ROA)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2.94</c:v>
                </c:pt>
                <c:pt idx="1">
                  <c:v>2.83</c:v>
                </c:pt>
                <c:pt idx="2">
                  <c:v>2.77</c:v>
                </c:pt>
                <c:pt idx="3">
                  <c:v>3.28</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91,7</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76,9</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71,5</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78,1</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57,0</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52,7</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58,6</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57,7</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53,1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55,8</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“Xalq banki”</c:v>
                </c:pt>
              </c:strCache>
            </c:strRef>
          </c:tx>
          <c:spPr>
            <a:ln w="28575">
              <a:solidFill>
                <a:srgbClr val="70AD47"/>
              </a:solidFill>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2.66</c:v>
                </c:pt>
                <c:pt idx="1">
                  <c:v>2.71</c:v>
                </c:pt>
                <c:pt idx="2">
                  <c:v>2.96</c:v>
                </c:pt>
                <c:pt idx="3">
                  <c:v>3.2</c:v>
                </c:pt>
                <c:pt idx="4">
                  <c:v>3.38</c:v>
                </c:pt>
              </c:numCache>
            </c:numRef>
          </c:val>
          <c:smooth val="0"/>
        </c:ser>
        <c:ser>
          <c:idx val="1"/>
          <c:order val="1"/>
          <c:tx>
            <c:strRef>
              <c:f>Sheet1!$C$1</c:f>
              <c:strCache>
                <c:ptCount val="1"/>
                <c:pt idx="0">
                  <c:v>“Biznesni rivojlantirish banki”</c:v>
                </c:pt>
              </c:strCache>
            </c:strRef>
          </c:tx>
          <c:spPr>
            <a:ln w="28575">
              <a:solidFill>
                <a:srgbClr val="FFC000"/>
              </a:solidFill>
            </a:ln>
          </c:spPr>
          <c:marker>
            <c:symbol val="circle"/>
            <c:size val="5"/>
            <c:spPr>
              <a:solidFill>
                <a:srgbClr val="FFC000"/>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2.51</c:v>
                </c:pt>
                <c:pt idx="1">
                  <c:v>2.25</c:v>
                </c:pt>
                <c:pt idx="2">
                  <c:v>2.03</c:v>
                </c:pt>
                <c:pt idx="3">
                  <c:v>2.58</c:v>
                </c:pt>
                <c:pt idx="4">
                  <c:v>3.23</c:v>
                </c:pt>
              </c:numCache>
            </c:numRef>
          </c:val>
          <c:smooth val="0"/>
        </c:ser>
        <c:ser>
          <c:idx val="2"/>
          <c:order val="2"/>
          <c:tx>
            <c:strRef>
              <c:f>Sheet1!$D$1</c:f>
              <c:strCache>
                <c:ptCount val="1"/>
                <c:pt idx="0">
                  <c:v>“Ipoteka-bank”</c:v>
                </c:pt>
              </c:strCache>
            </c:strRef>
          </c:tx>
          <c:spPr>
            <a:ln w="28575">
              <a:solidFill>
                <a:srgbClr val="7030A0"/>
              </a:solidFill>
            </a:ln>
          </c:spPr>
          <c:marker>
            <c:symbol val="circle"/>
            <c:size val="5"/>
            <c:spPr>
              <a:solidFill>
                <a:srgbClr val="7030A0"/>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3.32</c:v>
                </c:pt>
                <c:pt idx="1">
                  <c:v>3.37</c:v>
                </c:pt>
                <c:pt idx="2">
                  <c:v>2.69</c:v>
                </c:pt>
                <c:pt idx="3">
                  <c:v>3.13</c:v>
                </c:pt>
                <c:pt idx="4">
                  <c:v>3.11</c:v>
                </c:pt>
              </c:numCache>
            </c:numRef>
          </c:val>
          <c:smooth val="0"/>
        </c:ser>
        <c:ser>
          <c:idx val="3"/>
          <c:order val="3"/>
          <c:tx>
            <c:strRef>
              <c:f>Sheet1!$E$1</c:f>
              <c:strCache>
                <c:ptCount val="1"/>
                <c:pt idx="0">
                  <c:v>“O‘zsanoatqurilishbank”</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2.92</c:v>
                </c:pt>
                <c:pt idx="1">
                  <c:v>2.81</c:v>
                </c:pt>
                <c:pt idx="2">
                  <c:v>2.91</c:v>
                </c:pt>
                <c:pt idx="3">
                  <c:v>2.72</c:v>
                </c:pt>
                <c:pt idx="4">
                  <c:v>2.81</c:v>
                </c:pt>
              </c:numCache>
            </c:numRef>
          </c:val>
          <c:smooth val="0"/>
        </c:ser>
        <c:ser>
          <c:idx val="4"/>
          <c:order val="4"/>
          <c:tx>
            <c:strRef>
              <c:f>Sheet1!$F$1</c:f>
              <c:strCache>
                <c:ptCount val="1"/>
                <c:pt idx="0">
                  <c:v>“Mikrokreditbank”</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2.18</c:v>
                </c:pt>
                <c:pt idx="1">
                  <c:v>2.31</c:v>
                </c:pt>
                <c:pt idx="2">
                  <c:v>2.22</c:v>
                </c:pt>
                <c:pt idx="3">
                  <c:v>2.25</c:v>
                </c:pt>
                <c:pt idx="4">
                  <c:v>2.47</c:v>
                </c:pt>
              </c:numCache>
            </c:numRef>
          </c:val>
          <c:smooth val="0"/>
        </c:ser>
        <c:ser>
          <c:idx val="5"/>
          <c:order val="5"/>
          <c:tx>
            <c:strRef>
              <c:f>Sheet1!$G$1</c:f>
              <c:strCache>
                <c:ptCount val="1"/>
                <c:pt idx="0">
                  <c:v>“Aloqabank” (tanlanmadan tashqari)</c:v>
                </c:pt>
              </c:strCache>
            </c:strRef>
          </c:tx>
          <c:spPr>
            <a:ln w="28575">
              <a:solidFill>
                <a:srgbClr val="00A3A3"/>
              </a:solidFill>
              <a:prstDash val="dash"/>
            </a:ln>
          </c:spPr>
          <c:marker>
            <c:symbol val="circle"/>
            <c:size val="5"/>
            <c:spPr>
              <a:solidFill>
                <a:srgbClr val="00A3A3"/>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layout>
                <c:manualLayout>
                  <c:x val="0"/>
                  <c:y val="-0.1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layout>
                <c:manualLayout>
                  <c:x val="-0.06"/>
                  <c:y val="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numFmt formatCode="0.00" sourceLinked="0"/>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numFmt formatCode="0.00" sourceLinked="0"/>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numFmt formatCode="0.00" sourceLinked="0"/>
          <c:showLegendKey val="0"/>
          <c:showVal val="0"/>
          <c:showCatName val="0"/>
          <c:showSerName val="0"/>
          <c:showPercent val="0"/>
          <c:showBubbleSize val="0"/>
        </c:dLbls>
        <c:axId val="333"/>
        <c:axId val="444"/>
      </c:scatterChart>
      <c:valAx>
        <c:axId val="333"/>
        <c:scaling>
          <c:orientation val="minMax"/>
          <c:max val="202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MBII-8,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MBII-8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MBII-8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48.8</c:v>
                </c:pt>
                <c:pt idx="6">
                  <c:v>39.3</c:v>
                </c:pt>
                <c:pt idx="7">
                  <c:v>30.5</c:v>
                </c:pt>
                <c:pt idx="8">
                  <c:v>23.0</c:v>
                </c:pt>
                <c:pt idx="9">
                  <c:v>16.9</c:v>
                </c:pt>
                <c:pt idx="10">
                  <c:v>12.1</c:v>
                </c:pt>
                <c:pt idx="11">
                  <c:v>8.6</c:v>
                </c:pt>
                <c:pt idx="12">
                  <c:v>6.0</c:v>
                </c:pt>
                <c:pt idx="13">
                  <c:v>4.2</c:v>
                </c:pt>
                <c:pt idx="14">
                  <c:v>2.9</c:v>
                </c:pt>
                <c:pt idx="15">
                  <c:v>2.0</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MBII-8,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MBII-8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MBII-13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MBII-8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MBII-13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 (MBII-8)</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 (MBII-13)</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 (MBII-8)</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 (MBII-13)</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