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20"/>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21"/>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22"/>
      </w:r>
      <w:r>
        <w:rPr>
          <w:rFonts w:ascii="Times New Roman" w:hAnsi="Times New Roman" w:cs="Times New Roman" w:eastAsia="Times New Roman"/>
          <w:sz w:val="28"/>
        </w:rPr>
        <w:t xml:space="preserve">. Ushbu tushunchalar o‘rtasidagi bog‘liqlik 1.1.1-rasmda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286000"/>
                <wp:effectExtent l="0" t="0" r="0" b="0"/>
                <wp:docPr id="100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24"/>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26"/>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2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28"/>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29"/>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tadqiqotlarda ham bu masalaga e’tibor kuchayib bormoqda. Xususan, 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31"/>
      </w:r>
      <w:r>
        <w:rPr>
          <w:rFonts w:ascii="Times New Roman" w:hAnsi="Times New Roman" w:cs="Times New Roman" w:eastAsia="Times New Roman"/>
          <w:sz w:val="28"/>
        </w:rPr>
        <w:t xml:space="preserve">. Bu ta’rifda uzluksizlik va dinamikaga urg‘u berilgani e’tiborga loyiq, ammo unda barqarorlikni qanday o‘lchash mumkinligi, ya’ni uning miqdoriy chegaralari ochiq qolgan.</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32"/>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38000"/>
                <wp:effectExtent l="0" t="0" r="0" b="0"/>
                <wp:docPr id="100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34"/>
      </w:r>
      <w:r>
        <w:rPr>
          <w:rFonts w:ascii="Times New Roman" w:hAnsi="Times New Roman" w:cs="Times New Roman" w:eastAsia="Times New Roman"/>
          <w:sz w:val="28"/>
        </w:rPr>
        <w:t xml:space="preserve">. Ushbu darajalar va ular o‘rtasidagi bog‘liqlik 1.1.3-rasmda ko‘rsatildi.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926000"/>
                <wp:effectExtent l="0" t="0" r="0" b="0"/>
                <wp:docPr id="100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36"/>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37"/>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3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10000"/>
                <wp:effectExtent l="0" t="0" r="0" b="0"/>
                <wp:docPr id="100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40"/>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5" name="1.1.5-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41"/>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42"/>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43"/>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44"/>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45"/>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46"/>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47"/>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48"/>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49"/>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50"/>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51"/>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52"/>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53"/>
      </w:r>
      <w:r>
        <w:rPr>
          <w:rFonts w:ascii="Times New Roman" w:hAnsi="Times New Roman" w:cs="Times New Roman" w:eastAsia="Times New Roman"/>
          <w:sz w:val="28"/>
        </w:rPr>
        <w:t xml:space="preserve">, bank faoliyatiga J.H. Boyd va S.L. Graham tomonidan tatbiq etilgan</w:t>
      </w:r>
      <w:r>
        <w:rPr>
          <w:rStyle w:val="FootnoteReference"/>
        </w:rPr>
        <w:footnoteReference w:id="54"/>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6" name="1.1.6-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56"/>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57"/>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58"/>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59"/>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60"/>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6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808000"/>
                <wp:effectExtent l="0" t="0" r="0" b="0"/>
                <wp:docPr id="100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62"/>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63"/>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2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2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Sharipova N.H. Tijorat banklari moliyaviy barqarorligini mustahkamlashning konseptual asoslarini takomillashtirish: iqtisodiyot fanlari doktori (DSc) dissertatsiyasi avtoreferati. – Toshkent, 2026. – B. 13–14.</w:t>
      </w:r>
    </w:p>
  </w:footnote>
  <w:footnote w:id="2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2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28">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29">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0">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31">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32">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3">
    <w:p>
      <w:pPr>
        <w:pStyle w:val="FootnoteText"/>
      </w:pPr>
      <w:r>
        <w:rPr>
          <w:rStyle w:val="FootnoteReference"/>
        </w:rPr>
        <w:footnoteRef/>
      </w:r>
      <w:r>
        <w:t xml:space="preserve"> </w:t>
      </w:r>
      <w:r>
        <w:t xml:space="preserve">Tadqiqot natijasida muallif tomonidan ishlab chiqildi.</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3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3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3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3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4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41">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4">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4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46">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47">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48">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49">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5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51">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Roy A.D. Safety First and the Holding of Assets // Econometrica. – 1952. – Vol. 20, No. 3. – P. 431–449.</w:t>
      </w:r>
    </w:p>
  </w:footnote>
  <w:footnote w:id="54">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55">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5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57">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8">
    <w:p>
      <w:pPr>
        <w:pStyle w:val="FootnoteText"/>
      </w:pPr>
      <w:r>
        <w:rPr>
          <w:rStyle w:val="FootnoteReference"/>
        </w:rPr>
        <w:footnoteRef/>
      </w:r>
      <w:r>
        <w:t xml:space="preserve"> </w:t>
      </w:r>
      <w:r>
        <w:t xml:space="preserve">Adrian T., Brunnermeier M.K. CoVaR // American Economic Review. – 2016. – Vol. 106, No. 7. – P. 1705–1741.</w:t>
      </w:r>
    </w:p>
  </w:footnote>
  <w:footnote w:id="5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60">
    <w:p>
      <w:pPr>
        <w:pStyle w:val="FootnoteText"/>
      </w:pPr>
      <w:r>
        <w:rPr>
          <w:rStyle w:val="FootnoteReference"/>
        </w:rPr>
        <w:footnoteRef/>
      </w:r>
      <w:r>
        <w:t xml:space="preserve"> </w:t>
      </w:r>
      <w:r>
        <w:t xml:space="preserve">IFRS 9 Financial Instruments. – London: International Accounting Standards Board, 2014.</w:t>
      </w:r>
    </w:p>
  </w:footnote>
  <w:footnote w:id="61">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62">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2026-10-10T17:49:20Z</dcterms:created>
  <dcterms:modified xsi:type="dcterms:W3CDTF">2026-10-10T17:49:20Z</dcterms:modified>
</cp:coreProperties>
</file>

<file path=docProps/custom.xml><?xml version="1.0" encoding="utf-8"?>
<Properties xmlns="http://schemas.openxmlformats.org/officeDocument/2006/custom-properties" xmlns:vt="http://schemas.openxmlformats.org/officeDocument/2006/docPropsVTypes"/>
</file>