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X0a8f05e5cd7bad167a6c1dddfdd9ff0edf10251"/>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1.3-§. Xorijiy mamlakatlarda banklar moliyaviy barqarorligini tartibga solish va baholash tajribasi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pPr>
        <w:pStyle w:val="BodyText"/>
        <w:spacing w:line="360" w:lineRule="auto" w:before="0" w:after="0"/>
        <w:ind w:firstLine="709"/>
        <w:jc w:val="both"/>
      </w:pPr>
      <w:r>
        <w:rPr>
          <w:rFonts w:ascii="Times New Roman" w:hAnsi="Times New Roman" w:cs="Times New Roman" w:eastAsia="Times New Roman"/>
          <w:sz w:val="28"/>
        </w:rPr>
        <w:t xml:space="preserve">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FootnoteReference"/>
        </w:rPr>
        <w:footnoteReference w:id="20"/>
      </w:r>
      <w:r>
        <w:rPr>
          <w:rFonts w:ascii="Times New Roman" w:hAnsi="Times New Roman" w:cs="Times New Roman" w:eastAsia="Times New Roman"/>
          <w:sz w:val="28"/>
        </w:rPr>
        <w:t xml:space="preserve">. Ushbu toifalar va ularga mansub milliy tizimlar 1.3.1-rasmda umumlashtirildi.</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304000"/>
                <wp:effectExtent l="0" t="0" r="0" b="0"/>
                <wp:docPr id="1001" name="1.3.1-rasm"/>
                <wp:cNvGraphicFramePr/>
                <a:graphic>
                  <a:graphicData uri="http://schemas.microsoft.com/office/word/2010/wordprocessingGroup">
                    <wpg:wgp>
                      <wpg:cNvGrpSpPr/>
                      <wpg:grpSpPr>
                        <a:xfrm>
                          <a:off x="0" y="0"/>
                          <a:ext cx="5904000" cy="2304000"/>
                          <a:chOff x="0" y="0"/>
                          <a:chExt cx="5904000" cy="2304000"/>
                        </a:xfrm>
                      </wpg:grpSpPr>
                      <wps:wsp>
                        <wps:cNvPr id="2"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Banklar moliyaviy barqarorligini baholash tizimlari</w:t>
                              </w:r>
                            </w:p>
                            <w:p>
                              <w:pPr>
                                <w:spacing w:before="0" w:after="0" w:line="228" w:lineRule="auto"/>
                                <w:jc w:val="center"/>
                                <w:ind w:firstLine="0"/>
                              </w:pPr>
                              <w:r>
                                <w:rPr>
                                  <w:rFonts w:ascii="Times New Roman" w:hAnsi="Times New Roman" w:cs="Times New Roman"/>
                                  <w:b/>
                                  <w:color w:val="FFFFFF"/>
                                  <w:sz w:val="22"/>
                                  <w:szCs w:val="22"/>
                                </w:rPr>
                                <w:t xml:space="preserve">(Xalqaro hisob-kitoblar banki tasnifi)</w:t>
                              </w:r>
                            </w:p>
                          </w:txbxContent>
                        </wps:txbx>
                        <wps:bodyPr rot="0" vert="horz" wrap="square" lIns="36000" tIns="18000" rIns="36000" bIns="18000" anchor="ctr" anchorCtr="0">
                          <a:noAutofit/>
                        </wps:bodyPr>
                      </wps:wsp>
                      <wps:wsp>
                        <wps:cNvPr id="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Nazorat reyting</w:t>
                              </w:r>
                            </w:p>
                            <w:p>
                              <w:pPr>
                                <w:spacing w:before="0" w:after="0" w:line="228" w:lineRule="auto"/>
                                <w:jc w:val="center"/>
                                <w:ind w:firstLine="0"/>
                              </w:pPr>
                              <w:r>
                                <w:rPr>
                                  <w:rFonts w:ascii="Times New Roman" w:hAnsi="Times New Roman" w:cs="Times New Roman"/>
                                  <w:b/>
                                  <w:color w:val="FFFFFF"/>
                                  <w:sz w:val="21"/>
                                  <w:szCs w:val="21"/>
                                </w:rPr>
                                <w:t xml:space="preserve">tizimlari</w:t>
                              </w:r>
                            </w:p>
                          </w:txbxContent>
                        </wps:txbx>
                        <wps:bodyPr rot="0" vert="horz" wrap="square" lIns="36000" tIns="18000" rIns="36000" bIns="18000" anchor="ctr" anchorCtr="0">
                          <a:noAutofit/>
                        </wps:bodyPr>
                      </wps:wsp>
                      <wps:wsp>
                        <wps:cNvPr id="5"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CAMELS (AQSh)</w:t>
                              </w:r>
                            </w:p>
                            <w:p>
                              <w:pPr>
                                <w:spacing w:before="0" w:after="0" w:line="228" w:lineRule="auto"/>
                                <w:jc w:val="center"/>
                                <w:ind w:firstLine="0"/>
                              </w:pPr>
                              <w:r>
                                <w:rPr>
                                  <w:rFonts w:ascii="Times New Roman" w:hAnsi="Times New Roman" w:cs="Times New Roman"/>
                                  <w:color w:val="000000"/>
                                  <w:sz w:val="20"/>
                                  <w:szCs w:val="20"/>
                                </w:rPr>
                                <w:t xml:space="preserve">ORAP (Fransiya)</w:t>
                              </w:r>
                            </w:p>
                            <w:p>
                              <w:pPr>
                                <w:spacing w:before="0" w:after="0" w:line="228" w:lineRule="auto"/>
                                <w:jc w:val="center"/>
                                <w:ind w:firstLine="0"/>
                              </w:pPr>
                              <w:r>
                                <w:rPr>
                                  <w:rFonts w:ascii="Times New Roman" w:hAnsi="Times New Roman" w:cs="Times New Roman"/>
                                  <w:color w:val="000000"/>
                                  <w:sz w:val="20"/>
                                  <w:szCs w:val="20"/>
                                </w:rPr>
                                <w:t xml:space="preserve">PATROL (Italiya)</w:t>
                              </w:r>
                            </w:p>
                            <w:p>
                              <w:pPr>
                                <w:spacing w:before="0" w:after="0" w:line="228" w:lineRule="auto"/>
                                <w:jc w:val="center"/>
                                <w:ind w:firstLine="0"/>
                              </w:pPr>
                              <w:r>
                                <w:rPr>
                                  <w:rFonts w:ascii="Times New Roman" w:hAnsi="Times New Roman" w:cs="Times New Roman"/>
                                  <w:color w:val="000000"/>
                                  <w:sz w:val="20"/>
                                  <w:szCs w:val="20"/>
                                </w:rPr>
                                <w:t xml:space="preserve">Rossiya banki</w:t>
                              </w:r>
                            </w:p>
                            <w:p>
                              <w:pPr>
                                <w:spacing w:before="0" w:after="0" w:line="228" w:lineRule="auto"/>
                                <w:jc w:val="center"/>
                                <w:ind w:firstLine="0"/>
                              </w:pPr>
                              <w:r>
                                <w:rPr>
                                  <w:rFonts w:ascii="Times New Roman" w:hAnsi="Times New Roman" w:cs="Times New Roman"/>
                                  <w:color w:val="000000"/>
                                  <w:sz w:val="20"/>
                                  <w:szCs w:val="20"/>
                                </w:rPr>
                                <w:t xml:space="preserve">reytingi</w:t>
                              </w:r>
                            </w:p>
                          </w:txbxContent>
                        </wps:txbx>
                        <wps:bodyPr rot="0" vert="horz" wrap="square" lIns="36000" tIns="18000" rIns="36000" bIns="18000" anchor="ctr" anchorCtr="0">
                          <a:noAutofit/>
                        </wps:bodyPr>
                      </wps:wsp>
                      <wps:wsp>
                        <wps:cNvPr id="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Koeffitsiyentlar va</w:t>
                              </w:r>
                            </w:p>
                            <w:p>
                              <w:pPr>
                                <w:spacing w:before="0" w:after="0" w:line="228" w:lineRule="auto"/>
                                <w:jc w:val="center"/>
                                <w:ind w:firstLine="0"/>
                              </w:pPr>
                              <w:r>
                                <w:rPr>
                                  <w:rFonts w:ascii="Times New Roman" w:hAnsi="Times New Roman" w:cs="Times New Roman"/>
                                  <w:b/>
                                  <w:color w:val="FFFFFF"/>
                                  <w:sz w:val="21"/>
                                  <w:szCs w:val="21"/>
                                </w:rPr>
                                <w:t xml:space="preserve">guruhlab tahlil</w:t>
                              </w:r>
                            </w:p>
                          </w:txbxContent>
                        </wps:txbx>
                        <wps:bodyPr rot="0" vert="horz" wrap="square" lIns="36000" tIns="18000" rIns="36000" bIns="18000" anchor="ctr" anchorCtr="0">
                          <a:noAutofit/>
                        </wps:bodyPr>
                      </wps:wsp>
                      <wps:wsp>
                        <wps:cNvPr id="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BAKIS (Germaniya)</w:t>
                              </w:r>
                            </w:p>
                            <w:p>
                              <w:pPr>
                                <w:spacing w:before="0" w:after="0" w:line="228" w:lineRule="auto"/>
                                <w:jc w:val="center"/>
                                <w:ind w:firstLine="0"/>
                              </w:pPr>
                              <w:r>
                                <w:rPr>
                                  <w:rFonts w:ascii="Times New Roman" w:hAnsi="Times New Roman" w:cs="Times New Roman"/>
                                  <w:color w:val="000000"/>
                                  <w:sz w:val="20"/>
                                  <w:szCs w:val="20"/>
                                </w:rPr>
                                <w:t xml:space="preserve">EBA risk</w:t>
                              </w:r>
                            </w:p>
                            <w:p>
                              <w:pPr>
                                <w:spacing w:before="0" w:after="0" w:line="228" w:lineRule="auto"/>
                                <w:jc w:val="center"/>
                                <w:ind w:firstLine="0"/>
                              </w:pPr>
                              <w:r>
                                <w:rPr>
                                  <w:rFonts w:ascii="Times New Roman" w:hAnsi="Times New Roman" w:cs="Times New Roman"/>
                                  <w:color w:val="000000"/>
                                  <w:sz w:val="20"/>
                                  <w:szCs w:val="20"/>
                                </w:rPr>
                                <w:t xml:space="preserve">indikatorlari</w:t>
                              </w:r>
                            </w:p>
                            <w:p>
                              <w:pPr>
                                <w:spacing w:before="0" w:after="0" w:line="228" w:lineRule="auto"/>
                                <w:jc w:val="center"/>
                                <w:ind w:firstLine="0"/>
                              </w:pPr>
                              <w:r>
                                <w:rPr>
                                  <w:rFonts w:ascii="Times New Roman" w:hAnsi="Times New Roman" w:cs="Times New Roman"/>
                                  <w:color w:val="000000"/>
                                  <w:sz w:val="20"/>
                                  <w:szCs w:val="20"/>
                                </w:rPr>
                                <w:t xml:space="preserve">(Yevropa Ittifoqi)</w:t>
                              </w:r>
                            </w:p>
                          </w:txbxContent>
                        </wps:txbx>
                        <wps:bodyPr rot="0" vert="horz" wrap="square" lIns="36000" tIns="18000" rIns="36000" bIns="18000" anchor="ctr" anchorCtr="0">
                          <a:noAutofit/>
                        </wps:bodyPr>
                      </wps:wsp>
                      <wps:wsp>
                        <wps:cNvPr id="9" name="Connector 9"/>
                        <wps:cNvCnPr/>
                        <wps:spPr>
                          <a:xfrm>
                            <a:off x="2952000" y="396000"/>
                            <a:ext cx="729000" cy="234000"/>
                          </a:xfrm>
                          <a:prstGeom prst="straightConnector1">
                            <a:avLst/>
                          </a:prstGeom>
                          <a:ln w="15875">
                            <a:solidFill>
                              <a:srgbClr val="404040"/>
                            </a:solidFill>
                            <a:tailEnd type="triangle" w="med" len="med"/>
                          </a:ln>
                        </wps:spPr>
                        <wps:bodyPr/>
                      </wps:wsp>
                      <wps:wsp>
                        <wps:cNvPr id="10"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Risklarni kompleks</w:t>
                              </w:r>
                            </w:p>
                            <w:p>
                              <w:pPr>
                                <w:spacing w:before="0" w:after="0" w:line="228" w:lineRule="auto"/>
                                <w:jc w:val="center"/>
                                <w:ind w:firstLine="0"/>
                              </w:pPr>
                              <w:r>
                                <w:rPr>
                                  <w:rFonts w:ascii="Times New Roman" w:hAnsi="Times New Roman" w:cs="Times New Roman"/>
                                  <w:b/>
                                  <w:color w:val="FFFFFF"/>
                                  <w:sz w:val="21"/>
                                  <w:szCs w:val="21"/>
                                </w:rPr>
                                <w:t xml:space="preserve">baholash</w:t>
                              </w:r>
                            </w:p>
                          </w:txbxContent>
                        </wps:txbx>
                        <wps:bodyPr rot="0" vert="horz" wrap="square" lIns="36000" tIns="18000" rIns="36000" bIns="18000" anchor="ctr" anchorCtr="0">
                          <a:noAutofit/>
                        </wps:bodyPr>
                      </wps:wsp>
                      <wps:wsp>
                        <wps:cNvPr id="11"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BAITE, RATE</w:t>
                              </w:r>
                            </w:p>
                            <w:p>
                              <w:pPr>
                                <w:spacing w:before="0" w:after="0" w:line="228" w:lineRule="auto"/>
                                <w:jc w:val="center"/>
                                <w:ind w:firstLine="0"/>
                              </w:pPr>
                              <w:r>
                                <w:rPr>
                                  <w:rFonts w:ascii="Times New Roman" w:hAnsi="Times New Roman" w:cs="Times New Roman"/>
                                  <w:color w:val="000000"/>
                                  <w:sz w:val="20"/>
                                  <w:szCs w:val="20"/>
                                </w:rPr>
                                <w:t xml:space="preserve">(Buyuk Britaniya)</w:t>
                              </w:r>
                            </w:p>
                            <w:p>
                              <w:pPr>
                                <w:spacing w:before="0" w:after="0" w:line="228" w:lineRule="auto"/>
                                <w:jc w:val="center"/>
                                <w:ind w:firstLine="0"/>
                              </w:pPr>
                              <w:r>
                                <w:rPr>
                                  <w:rFonts w:ascii="Times New Roman" w:hAnsi="Times New Roman" w:cs="Times New Roman"/>
                                  <w:color w:val="000000"/>
                                  <w:sz w:val="20"/>
                                  <w:szCs w:val="20"/>
                                </w:rPr>
                                <w:t xml:space="preserve">RAST</w:t>
                              </w:r>
                            </w:p>
                            <w:p>
                              <w:pPr>
                                <w:spacing w:before="0" w:after="0" w:line="228" w:lineRule="auto"/>
                                <w:jc w:val="center"/>
                                <w:ind w:firstLine="0"/>
                              </w:pPr>
                              <w:r>
                                <w:rPr>
                                  <w:rFonts w:ascii="Times New Roman" w:hAnsi="Times New Roman" w:cs="Times New Roman"/>
                                  <w:color w:val="000000"/>
                                  <w:sz w:val="20"/>
                                  <w:szCs w:val="20"/>
                                </w:rPr>
                                <w:t xml:space="preserve">(Niderlandiya)</w:t>
                              </w:r>
                            </w:p>
                          </w:txbxContent>
                        </wps:txbx>
                        <wps:bodyPr rot="0" vert="horz" wrap="square" lIns="36000" tIns="18000" rIns="36000" bIns="18000" anchor="ctr" anchorCtr="0">
                          <a:noAutofit/>
                        </wps:bodyPr>
                      </wps:wsp>
                      <wps:wsp>
                        <wps:cNvPr id="12" name="Connector 12"/>
                        <wps:cNvCnPr/>
                        <wps:spPr>
                          <a:xfrm>
                            <a:off x="2952000" y="396000"/>
                            <a:ext cx="2205000" cy="234000"/>
                          </a:xfrm>
                          <a:prstGeom prst="straightConnector1">
                            <a:avLst/>
                          </a:prstGeom>
                          <a:ln w="15875">
                            <a:solidFill>
                              <a:srgbClr val="404040"/>
                            </a:solidFill>
                            <a:tailEnd type="triangle" w="med" len="med"/>
                          </a:ln>
                        </wps:spPr>
                        <wps:bodyPr/>
                      </wps:wsp>
                      <wps:wsp>
                        <wps:cNvPr id="13"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Statistik</w:t>
                              </w:r>
                            </w:p>
                            <w:p>
                              <w:pPr>
                                <w:spacing w:before="0" w:after="0" w:line="228" w:lineRule="auto"/>
                                <w:jc w:val="center"/>
                                <w:ind w:firstLine="0"/>
                              </w:pPr>
                              <w:r>
                                <w:rPr>
                                  <w:rFonts w:ascii="Times New Roman" w:hAnsi="Times New Roman" w:cs="Times New Roman"/>
                                  <w:b/>
                                  <w:color w:val="000000"/>
                                  <w:sz w:val="21"/>
                                  <w:szCs w:val="21"/>
                                </w:rPr>
                                <w:t xml:space="preserve">modellar</w:t>
                              </w:r>
                            </w:p>
                          </w:txbxContent>
                        </wps:txbx>
                        <wps:bodyPr rot="0" vert="horz" wrap="square" lIns="36000" tIns="18000" rIns="36000" bIns="18000" anchor="ctr" anchorCtr="0">
                          <a:noAutofit/>
                        </wps:bodyPr>
                      </wps:wsp>
                      <wps:wsp>
                        <wps:cNvPr id="14"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FIMS, SEER,</w:t>
                              </w:r>
                            </w:p>
                            <w:p>
                              <w:pPr>
                                <w:spacing w:before="0" w:after="0" w:line="228" w:lineRule="auto"/>
                                <w:jc w:val="center"/>
                                <w:ind w:firstLine="0"/>
                              </w:pPr>
                              <w:r>
                                <w:rPr>
                                  <w:rFonts w:ascii="Times New Roman" w:hAnsi="Times New Roman" w:cs="Times New Roman"/>
                                  <w:color w:val="000000"/>
                                  <w:sz w:val="20"/>
                                  <w:szCs w:val="20"/>
                                </w:rPr>
                                <w:t xml:space="preserve">SCOR (AQSh)</w:t>
                              </w:r>
                            </w:p>
                            <w:p>
                              <w:pPr>
                                <w:spacing w:before="0" w:after="0" w:line="228" w:lineRule="auto"/>
                                <w:jc w:val="center"/>
                                <w:ind w:firstLine="0"/>
                              </w:pPr>
                              <w:r>
                                <w:rPr>
                                  <w:rFonts w:ascii="Times New Roman" w:hAnsi="Times New Roman" w:cs="Times New Roman"/>
                                  <w:color w:val="000000"/>
                                  <w:sz w:val="20"/>
                                  <w:szCs w:val="20"/>
                                </w:rPr>
                                <w:t xml:space="preserve">SAABA ekspert</w:t>
                              </w:r>
                            </w:p>
                            <w:p>
                              <w:pPr>
                                <w:spacing w:before="0" w:after="0" w:line="228" w:lineRule="auto"/>
                                <w:jc w:val="center"/>
                                <w:ind w:firstLine="0"/>
                              </w:pPr>
                              <w:r>
                                <w:rPr>
                                  <w:rFonts w:ascii="Times New Roman" w:hAnsi="Times New Roman" w:cs="Times New Roman"/>
                                  <w:color w:val="000000"/>
                                  <w:sz w:val="20"/>
                                  <w:szCs w:val="20"/>
                                </w:rPr>
                                <w:t xml:space="preserve">tizimi (Fransiya)</w:t>
                              </w:r>
                            </w:p>
                          </w:txbxContent>
                        </wps:txbx>
                        <wps:bodyPr rot="0" vert="horz" wrap="square" lIns="36000" tIns="18000" rIns="36000" bIns="18000" anchor="ctr" anchorCtr="0">
                          <a:noAutofit/>
                        </wps:bodyPr>
                      </wps:wsp>
                      <wps:wsp>
                        <wps:cNvPr id="1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Joriy holatni baholash  ←————————————————→  Kelgusi holatni bashorat qilish</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1.3.1-rasm. Xorijiy mamlakatlarda banklar moliyaviy barqarorligini baholash tizimlarining tasnifi</w:t>
      </w:r>
      <w:r>
        <w:rPr>
          <w:rStyle w:val="FootnoteReference"/>
        </w:rPr>
        <w:footnoteReference w:id="21"/>
      </w:r>
    </w:p>
    <w:p>
      <w:pPr>
        <w:pStyle w:val="BodyText"/>
        <w:spacing w:line="360" w:lineRule="auto" w:before="0" w:after="0"/>
        <w:ind w:firstLine="709"/>
        <w:jc w:val="both"/>
      </w:pPr>
      <w:r>
        <w:rPr>
          <w:rFonts w:ascii="Times New Roman" w:hAnsi="Times New Roman" w:cs="Times New Roman" w:eastAsia="Times New Roman"/>
          <w:sz w:val="28"/>
        </w:rPr>
        <w:t xml:space="preserve">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Rivojlangan mamlakatlarda banklarni baholash tizimlarining qiyosiy tavsifi</w:t>
      </w:r>
      <w:r>
        <w:rPr>
          <w:rStyle w:val="FootnoteReference"/>
        </w:rPr>
        <w:footnoteReference w:id="22"/>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Tizim (joriy etilgan yili)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Turi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xususiyatlari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CAMELS (1978–1979)</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6 komponent, 1–5 ballik shkala; yig‘ma ball o‘rtacha emas, tekshiruv guruhi bahosi; natijalar oshkor qilinmaydi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FIMS, SEER, SCOR</w:t>
            </w:r>
          </w:p>
        </w:tc>
        <w:tc>
          <w:tcPr/>
          <w:p>
            <w:pPr>
              <w:pStyle w:val="Compact"/>
              <w:spacing w:line="240" w:lineRule="auto"/>
              <w:ind w:firstLine="0"/>
              <w:jc w:val="left"/>
            </w:pPr>
            <w:r>
              <w:rPr>
                <w:rFonts w:ascii="Times New Roman" w:hAnsi="Times New Roman" w:cs="Times New Roman" w:eastAsia="Times New Roman"/>
                <w:sz w:val="22"/>
              </w:rPr>
              <w:t xml:space="preserve">Statistik</w:t>
            </w:r>
          </w:p>
        </w:tc>
        <w:tc>
          <w:tcPr/>
          <w:p>
            <w:pPr>
              <w:pStyle w:val="Compact"/>
              <w:spacing w:line="240" w:lineRule="auto"/>
              <w:ind w:firstLine="0"/>
              <w:jc w:val="left"/>
            </w:pPr>
            <w:r>
              <w:rPr>
                <w:rFonts w:ascii="Times New Roman" w:hAnsi="Times New Roman" w:cs="Times New Roman" w:eastAsia="Times New Roman"/>
                <w:sz w:val="22"/>
              </w:rPr>
              <w:t xml:space="preserve">Logit modellar orqali reyting pasayishi va bankrotlik ehtimolini bashorat qilish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w:t>
            </w:r>
          </w:p>
        </w:tc>
        <w:tc>
          <w:tcPr/>
          <w:p>
            <w:pPr>
              <w:pStyle w:val="Compact"/>
              <w:spacing w:line="240" w:lineRule="auto"/>
              <w:ind w:firstLine="0"/>
              <w:jc w:val="left"/>
            </w:pPr>
            <w:r>
              <w:rPr>
                <w:rFonts w:ascii="Times New Roman" w:hAnsi="Times New Roman" w:cs="Times New Roman" w:eastAsia="Times New Roman"/>
                <w:sz w:val="22"/>
              </w:rPr>
              <w:t xml:space="preserve">BAITE (1997), RATE (1998)</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9 yo‘nalish; risk darajasi va nazorat sifati matritsasi; nazorat davri riskka bog‘langan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w:t>
            </w:r>
          </w:p>
        </w:tc>
        <w:tc>
          <w:tcPr/>
          <w:p>
            <w:pPr>
              <w:pStyle w:val="Compact"/>
              <w:spacing w:line="240" w:lineRule="auto"/>
              <w:ind w:firstLine="0"/>
              <w:jc w:val="left"/>
            </w:pPr>
            <w:r>
              <w:rPr>
                <w:rFonts w:ascii="Times New Roman" w:hAnsi="Times New Roman" w:cs="Times New Roman" w:eastAsia="Times New Roman"/>
                <w:sz w:val="22"/>
              </w:rPr>
              <w:t xml:space="preserve">BAKIS (1997)</w:t>
            </w:r>
          </w:p>
        </w:tc>
        <w:tc>
          <w:tcPr/>
          <w:p>
            <w:pPr>
              <w:pStyle w:val="Compact"/>
              <w:spacing w:line="240" w:lineRule="auto"/>
              <w:ind w:firstLine="0"/>
              <w:jc w:val="left"/>
            </w:pPr>
            <w:r>
              <w:rPr>
                <w:rFonts w:ascii="Times New Roman" w:hAnsi="Times New Roman" w:cs="Times New Roman" w:eastAsia="Times New Roman"/>
                <w:sz w:val="22"/>
              </w:rPr>
              <w:t xml:space="preserve">Koeffitsiyentlar va guruhlab tahlil</w:t>
            </w:r>
          </w:p>
        </w:tc>
        <w:tc>
          <w:tcPr/>
          <w:p>
            <w:pPr>
              <w:pStyle w:val="Compact"/>
              <w:spacing w:line="240" w:lineRule="auto"/>
              <w:ind w:firstLine="0"/>
              <w:jc w:val="left"/>
            </w:pPr>
            <w:r>
              <w:rPr>
                <w:rFonts w:ascii="Times New Roman" w:hAnsi="Times New Roman" w:cs="Times New Roman" w:eastAsia="Times New Roman"/>
                <w:sz w:val="22"/>
              </w:rPr>
              <w:t xml:space="preserve">47 ko‘rsatkich, teng vaznlar; guruh o‘rtachasi bilan taqqoslash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Fransiya</w:t>
            </w:r>
          </w:p>
        </w:tc>
        <w:tc>
          <w:tcPr/>
          <w:p>
            <w:pPr>
              <w:pStyle w:val="Compact"/>
              <w:spacing w:line="240" w:lineRule="auto"/>
              <w:ind w:firstLine="0"/>
              <w:jc w:val="left"/>
            </w:pPr>
            <w:r>
              <w:rPr>
                <w:rFonts w:ascii="Times New Roman" w:hAnsi="Times New Roman" w:cs="Times New Roman" w:eastAsia="Times New Roman"/>
                <w:sz w:val="22"/>
              </w:rPr>
              <w:t xml:space="preserve">ORAP (1997), SAABA</w:t>
            </w:r>
          </w:p>
        </w:tc>
        <w:tc>
          <w:tcPr/>
          <w:p>
            <w:pPr>
              <w:pStyle w:val="Compact"/>
              <w:spacing w:line="240" w:lineRule="auto"/>
              <w:ind w:firstLine="0"/>
              <w:jc w:val="left"/>
            </w:pPr>
            <w:r>
              <w:rPr>
                <w:rFonts w:ascii="Times New Roman" w:hAnsi="Times New Roman" w:cs="Times New Roman" w:eastAsia="Times New Roman"/>
                <w:sz w:val="22"/>
              </w:rPr>
              <w:t xml:space="preserve">Reyting va ekspert tizimi</w:t>
            </w:r>
          </w:p>
        </w:tc>
        <w:tc>
          <w:tcPr/>
          <w:p>
            <w:pPr>
              <w:pStyle w:val="Compact"/>
              <w:spacing w:line="240" w:lineRule="auto"/>
              <w:ind w:firstLine="0"/>
              <w:jc w:val="left"/>
            </w:pPr>
            <w:r>
              <w:rPr>
                <w:rFonts w:ascii="Times New Roman" w:hAnsi="Times New Roman" w:cs="Times New Roman" w:eastAsia="Times New Roman"/>
                <w:sz w:val="22"/>
              </w:rPr>
              <w:t xml:space="preserve">SAABA 25 ma’lumotlar bazasidan foydalanadi; 3 yillik to‘lov qobiliyati bahosi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Italiya</w:t>
            </w:r>
          </w:p>
        </w:tc>
        <w:tc>
          <w:tcPr/>
          <w:p>
            <w:pPr>
              <w:pStyle w:val="Compact"/>
              <w:spacing w:line="240" w:lineRule="auto"/>
              <w:ind w:firstLine="0"/>
              <w:jc w:val="left"/>
            </w:pPr>
            <w:r>
              <w:rPr>
                <w:rFonts w:ascii="Times New Roman" w:hAnsi="Times New Roman" w:cs="Times New Roman" w:eastAsia="Times New Roman"/>
                <w:sz w:val="22"/>
              </w:rPr>
              <w:t xml:space="preserve">PATROL (1993)</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Masofaviy nazorat va reyting</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Niderlandiya</w:t>
            </w:r>
          </w:p>
        </w:tc>
        <w:tc>
          <w:tcPr/>
          <w:p>
            <w:pPr>
              <w:pStyle w:val="Compact"/>
              <w:spacing w:line="240" w:lineRule="auto"/>
              <w:ind w:firstLine="0"/>
              <w:jc w:val="left"/>
            </w:pPr>
            <w:r>
              <w:rPr>
                <w:rFonts w:ascii="Times New Roman" w:hAnsi="Times New Roman" w:cs="Times New Roman" w:eastAsia="Times New Roman"/>
                <w:sz w:val="22"/>
              </w:rPr>
              <w:t xml:space="preserve">RAST</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Risklarni tahlil qilish va nazorat choralarini belgilash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pPr>
        <w:pStyle w:val="BodyText"/>
        <w:spacing w:line="360" w:lineRule="auto" w:before="0" w:after="0"/>
        <w:ind w:firstLine="709"/>
        <w:jc w:val="both"/>
      </w:pPr>
      <w:r>
        <w:rPr>
          <w:rFonts w:ascii="Times New Roman" w:hAnsi="Times New Roman" w:cs="Times New Roman" w:eastAsia="Times New Roman"/>
          <w:sz w:val="28"/>
        </w:rP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FootnoteReference"/>
        </w:rPr>
        <w:footnoteReference w:id="23"/>
      </w:r>
      <w:r>
        <w:rPr>
          <w:rFonts w:ascii="Times New Roman" w:hAnsi="Times New Roman" w:cs="Times New Roman" w:eastAsia="Times New Roman"/>
          <w:sz w:val="28"/>
        </w:rPr>
        <w:t xml:space="preserve">. Har bir yirik inqiroz nazorat tizimiga yangi vositani olib kirgan, natijada bugungi kunda AQShda reyting, kapitalga asoslangan majburiy choralar, statistik modellar va stress-testlardan iborat to‘rt qatlamli tizim shakllangan.</w:t>
      </w:r>
    </w:p>
    <w:p>
      <w:pPr>
        <w:pStyle w:val="BodyText"/>
        <w:spacing w:line="360" w:lineRule="auto" w:before="0" w:after="0"/>
        <w:ind w:firstLine="709"/>
        <w:jc w:val="both"/>
      </w:pPr>
      <w:r>
        <w:rPr>
          <w:rFonts w:ascii="Times New Roman" w:hAnsi="Times New Roman" w:cs="Times New Roman" w:eastAsia="Times New Roman"/>
          <w:sz w:val="28"/>
        </w:rPr>
        <w:t xml:space="preserve">Bu tizimning birinchi qatlamini CAMELS reyting tizimi tashkil etadi. U 1978-yilda Moliya institutlari federal ekspertiza kengashi tomonidan yaratilgan bo‘lib, 1997-yildan unga bozor riskiga sezgirlik komponenti qo‘shilgan</w:t>
      </w:r>
      <w:r>
        <w:rPr>
          <w:rStyle w:val="FootnoteReference"/>
        </w:rPr>
        <w:footnoteReference w:id="24"/>
      </w:r>
      <w:r>
        <w:rPr>
          <w:rFonts w:ascii="Times New Roman" w:hAnsi="Times New Roman" w:cs="Times New Roman" w:eastAsia="Times New Roman"/>
          <w:sz w:val="28"/>
        </w:rPr>
        <w:t xml:space="preserve">. Har bir komponent 1 (eng yaxshi) dan 5 (eng yomon) gacha baholanadi. Ta’kidlash lozimki, 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FootnoteReference"/>
        </w:rPr>
        <w:footnoteReference w:id="25"/>
      </w:r>
      <w:r>
        <w:rPr>
          <w:rFonts w:ascii="Times New Roman" w:hAnsi="Times New Roman" w:cs="Times New Roman" w:eastAsia="Times New Roman"/>
          <w:sz w:val="28"/>
        </w:rPr>
        <w:t xml:space="preserve">. Demak, CAMELS tizimi ichki nazorat vositasi bo‘lib, bozor intizomini kuchaytirishga xizmat qilmaydi.</w:t>
      </w:r>
    </w:p>
    <w:p>
      <w:pPr>
        <w:pStyle w:val="BodyText"/>
        <w:spacing w:line="360" w:lineRule="auto" w:before="0" w:after="0"/>
        <w:ind w:firstLine="709"/>
        <w:jc w:val="both"/>
      </w:pPr>
      <w:r>
        <w:rPr>
          <w:rFonts w:ascii="Times New Roman" w:hAnsi="Times New Roman" w:cs="Times New Roman" w:eastAsia="Times New Roman"/>
          <w:sz w:val="28"/>
        </w:rPr>
        <w:t xml:space="preserve">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FootnoteReference"/>
        </w:rPr>
        <w:footnoteReference w:id="26"/>
      </w:r>
      <w:r>
        <w:rPr>
          <w:rFonts w:ascii="Times New Roman" w:hAnsi="Times New Roman" w:cs="Times New Roman" w:eastAsia="Times New Roman"/>
          <w:sz w:val="28"/>
        </w:rPr>
        <w:t xml:space="preserve">. Unga ko‘ra banklar kapital darajasiga qarab besh toifaga ajratiladi va har bir toifaga majburiy nazorat choralari biriktiriladi (1.3.2-rasm).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76000" cy="2376000"/>
                <wp:effectExtent l="0" t="0" r="0" b="0"/>
                <wp:docPr id="1002" name="1.3.2-rasm"/>
                <wp:cNvGraphicFramePr/>
                <a:graphic>
                  <a:graphicData uri="http://schemas.microsoft.com/office/word/2010/wordprocessingGroup">
                    <wpg:wgp>
                      <wpg:cNvGrpSpPr/>
                      <wpg:grpSpPr>
                        <a:xfrm>
                          <a:off x="0" y="0"/>
                          <a:ext cx="5976000" cy="2376000"/>
                          <a:chOff x="0" y="0"/>
                          <a:chExt cx="5976000" cy="2376000"/>
                        </a:xfrm>
                      </wpg:grpSpPr>
                      <wps:wsp>
                        <wps:cNvPr id="1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Yaxshi kapitallashgan</w:t>
                              </w:r>
                            </w:p>
                          </w:txbxContent>
                        </wps:txbx>
                        <wps:bodyPr rot="0" vert="horz" wrap="square" lIns="36000" tIns="18000" rIns="36000" bIns="18000" anchor="ctr" anchorCtr="0">
                          <a:noAutofit/>
                        </wps:bodyPr>
                      </wps:wsp>
                      <wps:wsp>
                        <wps:cNvPr id="17"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10%; 1-darajali ≥ 6%; leverej ≥ 5%</w:t>
                              </w:r>
                            </w:p>
                          </w:txbxContent>
                        </wps:txbx>
                        <wps:bodyPr rot="0" vert="horz" wrap="square" lIns="36000" tIns="18000" rIns="36000" bIns="18000" anchor="ctr" anchorCtr="0">
                          <a:noAutofit/>
                        </wps:bodyPr>
                      </wps:wsp>
                      <wps:wsp>
                        <wps:cNvPr id="18"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Cheklovlar yo‘q</w:t>
                              </w:r>
                            </w:p>
                          </w:txbxContent>
                        </wps:txbx>
                        <wps:bodyPr rot="0" vert="horz" wrap="square" lIns="36000" tIns="18000" rIns="36000" bIns="18000" anchor="ctr" anchorCtr="0">
                          <a:noAutofit/>
                        </wps:bodyPr>
                      </wps:wsp>
                      <wps:wsp>
                        <wps:cNvPr id="19"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Yetarli kapitallashgan</w:t>
                              </w:r>
                            </w:p>
                          </w:txbxContent>
                        </wps:txbx>
                        <wps:bodyPr rot="0" vert="horz" wrap="square" lIns="36000" tIns="18000" rIns="36000" bIns="18000" anchor="ctr" anchorCtr="0">
                          <a:noAutofit/>
                        </wps:bodyPr>
                      </wps:wsp>
                      <wps:wsp>
                        <wps:cNvPr id="20"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8%; 1-darajali ≥ 4%; leverej ≥ 4%</w:t>
                              </w:r>
                            </w:p>
                          </w:txbxContent>
                        </wps:txbx>
                        <wps:bodyPr rot="0" vert="horz" wrap="square" lIns="36000" tIns="18000" rIns="36000" bIns="18000" anchor="ctr" anchorCtr="0">
                          <a:noAutofit/>
                        </wps:bodyPr>
                      </wps:wsp>
                      <wps:wsp>
                        <wps:cNvPr id="21"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Broker depozitlarini jalb qilish cheklanadi</w:t>
                              </w:r>
                            </w:p>
                          </w:txbxContent>
                        </wps:txbx>
                        <wps:bodyPr rot="0" vert="horz" wrap="square" lIns="36000" tIns="18000" rIns="36000" bIns="18000" anchor="ctr" anchorCtr="0">
                          <a:noAutofit/>
                        </wps:bodyPr>
                      </wps:wsp>
                      <wps:wsp>
                        <wps:cNvPr id="22"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Kapitali yetarli emas</w:t>
                              </w:r>
                            </w:p>
                          </w:txbxContent>
                        </wps:txbx>
                        <wps:bodyPr rot="0" vert="horz" wrap="square" lIns="36000" tIns="18000" rIns="36000" bIns="18000" anchor="ctr" anchorCtr="0">
                          <a:noAutofit/>
                        </wps:bodyPr>
                      </wps:wsp>
                      <wps:wsp>
                        <wps:cNvPr id="23"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8%; 1-darajali &lt; 4%; leverej &lt; 4%</w:t>
                              </w:r>
                            </w:p>
                          </w:txbxContent>
                        </wps:txbx>
                        <wps:bodyPr rot="0" vert="horz" wrap="square" lIns="36000" tIns="18000" rIns="36000" bIns="18000" anchor="ctr" anchorCtr="0">
                          <a:noAutofit/>
                        </wps:bodyPr>
                      </wps:wsp>
                      <wps:wsp>
                        <wps:cNvPr id="24"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Kapitalni tiklash rejasi; aktivlar o‘sishi va dividendlar cheklanadi</w:t>
                              </w:r>
                            </w:p>
                          </w:txbxContent>
                        </wps:txbx>
                        <wps:bodyPr rot="0" vert="horz" wrap="square" lIns="36000" tIns="18000" rIns="36000" bIns="18000" anchor="ctr" anchorCtr="0">
                          <a:noAutofit/>
                        </wps:bodyPr>
                      </wps:wsp>
                      <wps:wsp>
                        <wps:cNvPr id="25"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sezilarli yetarli emas</w:t>
                              </w:r>
                            </w:p>
                          </w:txbxContent>
                        </wps:txbx>
                        <wps:bodyPr rot="0" vert="horz" wrap="square" lIns="36000" tIns="18000" rIns="36000" bIns="18000" anchor="ctr" anchorCtr="0">
                          <a:noAutofit/>
                        </wps:bodyPr>
                      </wps:wsp>
                      <wps:wsp>
                        <wps:cNvPr id="26"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6%; 1-darajali &lt; 3%; leverej &lt; 3%</w:t>
                              </w:r>
                            </w:p>
                          </w:txbxContent>
                        </wps:txbx>
                        <wps:bodyPr rot="0" vert="horz" wrap="square" lIns="36000" tIns="18000" rIns="36000" bIns="18000" anchor="ctr" anchorCtr="0">
                          <a:noAutofit/>
                        </wps:bodyPr>
                      </wps:wsp>
                      <wps:wsp>
                        <wps:cNvPr id="27"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Rahbariyat almashtirilishi, faoliyat cheklanishi mumkin</w:t>
                              </w:r>
                            </w:p>
                          </w:txbxContent>
                        </wps:txbx>
                        <wps:bodyPr rot="0" vert="horz" wrap="square" lIns="36000" tIns="18000" rIns="36000" bIns="18000" anchor="ctr" anchorCtr="0">
                          <a:noAutofit/>
                        </wps:bodyPr>
                      </wps:wsp>
                      <wps:wsp>
                        <wps:cNvPr id="28"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keskin yetarli emas</w:t>
                              </w:r>
                            </w:p>
                          </w:txbxContent>
                        </wps:txbx>
                        <wps:bodyPr rot="0" vert="horz" wrap="square" lIns="36000" tIns="18000" rIns="36000" bIns="18000" anchor="ctr" anchorCtr="0">
                          <a:noAutofit/>
                        </wps:bodyPr>
                      </wps:wsp>
                      <wps:wsp>
                        <wps:cNvPr id="29"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Moddiy kapital ≤ 2%</w:t>
                              </w:r>
                            </w:p>
                          </w:txbxContent>
                        </wps:txbx>
                        <wps:bodyPr rot="0" vert="horz" wrap="square" lIns="36000" tIns="18000" rIns="36000" bIns="18000" anchor="ctr" anchorCtr="0">
                          <a:noAutofit/>
                        </wps:bodyPr>
                      </wps:wsp>
                      <wps:wsp>
                        <wps:cNvPr id="30"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Vaqtinchalik boshqaruv yoki tugatish</w:t>
                              </w:r>
                            </w:p>
                          </w:txbxContent>
                        </wps:txbx>
                        <wps:bodyPr rot="0" vert="horz" wrap="square" lIns="36000" tIns="18000" rIns="36000" bIns="18000" anchor="ctr" anchorCtr="0">
                          <a:noAutofit/>
                        </wps:bodyPr>
                      </wps:wsp>
                      <wps:wsp>
                        <wps:cNvPr id="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1.3.2-rasm. AQShda tezkor tuzatuvchi choralar tizimining kapital chegaralari</w:t>
      </w:r>
      <w:r>
        <w:rPr>
          <w:rStyle w:val="FootnoteReference"/>
        </w:rPr>
        <w:footnoteReference w:id="2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majburiy tus oladi. Bunda faqat kapital yetarliligi emas, leverej koeffitsiyenti ham hisobga olinadi. D.K. Tarullo ma’lumotiga ko‘ra, leverej 4 foizdan past bo‘lsa aralashuv, 3 foizdan past bo‘lsa kuchli choralar boshlanadi, 2 foizdan past leverej esa bankrotlikka yaqinlik bilan kuchli korrelyatsiyaga ega</w:t>
      </w:r>
      <w:r>
        <w:rPr>
          <w:rStyle w:val="FootnoteReference"/>
        </w:rPr>
        <w:footnoteReference w:id="28"/>
      </w:r>
      <w:r>
        <w:rPr>
          <w:rFonts w:ascii="Times New Roman" w:hAnsi="Times New Roman" w:cs="Times New Roman" w:eastAsia="Times New Roman"/>
          <w:sz w:val="28"/>
        </w:rPr>
        <w:t xml:space="preserve">. Muallif fikricha, baholash natijasini nazorat qarori bilan avtomatik bog‘lash tamoyili O‘zbekiston uchun PCA tizimining eng qimmatli jihati hisoblanadi.</w:t>
      </w:r>
    </w:p>
    <w:p>
      <w:pPr>
        <w:pStyle w:val="BodyText"/>
        <w:spacing w:line="360" w:lineRule="auto" w:before="0" w:after="0"/>
        <w:ind w:firstLine="709"/>
        <w:jc w:val="both"/>
      </w:pPr>
      <w:r>
        <w:rPr>
          <w:rFonts w:ascii="Times New Roman" w:hAnsi="Times New Roman" w:cs="Times New Roman" w:eastAsia="Times New Roman"/>
          <w:sz w:val="28"/>
        </w:rP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FootnoteReference"/>
        </w:rPr>
        <w:footnoteReference w:id="29"/>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(1.3.3-rasm).</w:t>
      </w:r>
    </w:p>
    <w:p>
      <w:pPr>
        <w:pStyle w:val="BodyText"/>
        <w:keepNext/>
        <w:spacing w:line="240" w:lineRule="auto" w:before="0" w:after="0"/>
        <w:ind w:firstLine="0"/>
        <w:jc w:val="center"/>
      </w:pPr>
      <w:r xmlns:c="http://schemas.openxmlformats.org/drawingml/2006/chart">
        <w:rPr>
          <w:noProof/>
        </w:rPr>
        <w:drawing>
          <wp:inline distT="0" distB="0" distL="0" distR="0">
            <wp:extent cx="5580000" cy="2880000"/>
            <wp:effectExtent l="0" t="0" r="0" b="0"/>
            <wp:docPr id="1003" name="1.3.3-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1.3.3-rasm. AQShda FIMS va UBSS modellarining bashorat aniqligi, %</w:t>
      </w:r>
      <w:r>
        <w:rPr>
          <w:rStyle w:val="FootnoteReference"/>
        </w:rPr>
        <w:footnoteReference w:id="30"/>
      </w:r>
    </w:p>
    <w:p>
      <w:pPr>
        <w:pStyle w:val="BodyText"/>
        <w:spacing w:line="360" w:lineRule="auto" w:before="0" w:after="0"/>
        <w:ind w:firstLine="709"/>
        <w:jc w:val="both"/>
      </w:pPr>
      <w:r>
        <w:rPr>
          <w:rFonts w:ascii="Times New Roman" w:hAnsi="Times New Roman" w:cs="Times New Roman" w:eastAsia="Times New Roman"/>
          <w:sz w:val="28"/>
        </w:rPr>
        <w:t xml:space="preserve">Rasm ma’lumotlari FIMS modeli to‘g‘ri bashorat ulushini 50 foizdan 74,6 foizga oshirganini, birinchi tur xatosini, ya’ni muammoli bankni sog‘lom deb topish holatlarini esa 32,7 foizdan 17 foizgacha kamaytirganini ko‘rsatadi. Bu natijaga 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pPr>
        <w:pStyle w:val="BodyText"/>
        <w:spacing w:line="360" w:lineRule="auto" w:before="0" w:after="0"/>
        <w:ind w:firstLine="709"/>
        <w:jc w:val="both"/>
      </w:pPr>
      <w:r>
        <w:rPr>
          <w:rFonts w:ascii="Times New Roman" w:hAnsi="Times New Roman" w:cs="Times New Roman" w:eastAsia="Times New Roman"/>
          <w:sz w:val="28"/>
        </w:rPr>
        <w:t xml:space="preserve">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FootnoteReference"/>
        </w:rPr>
        <w:footnoteReference w:id="31"/>
      </w:r>
      <w:r>
        <w:rPr>
          <w:rFonts w:ascii="Times New Roman" w:hAnsi="Times New Roman" w:cs="Times New Roman" w:eastAsia="Times New Roman"/>
          <w:sz w:val="28"/>
        </w:rPr>
        <w:t xml:space="preserve">. Shu tariqa AQSh nazorati yopiq baholashdan ochiq baholashga qarab qadam qo‘ydi va bozor intizomini nazorat vositasi sifatida ishga soldi.</w:t>
      </w:r>
    </w:p>
    <w:p>
      <w:pPr>
        <w:pStyle w:val="BodyText"/>
        <w:spacing w:line="360" w:lineRule="auto" w:before="0" w:after="0"/>
        <w:ind w:firstLine="709"/>
        <w:jc w:val="both"/>
      </w:pPr>
      <w:r>
        <w:rPr>
          <w:rFonts w:ascii="Times New Roman" w:hAnsi="Times New Roman" w:cs="Times New Roman" w:eastAsia="Times New Roman"/>
          <w:sz w:val="28"/>
        </w:rPr>
        <w:t xml:space="preserve">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FootnoteReference"/>
        </w:rPr>
        <w:footnoteReference w:id="32"/>
      </w:r>
      <w:r>
        <w:rPr>
          <w:rFonts w:ascii="Times New Roman" w:hAnsi="Times New Roman" w:cs="Times New Roman" w:eastAsia="Times New Roman"/>
          <w:sz w:val="28"/>
        </w:rPr>
        <w:t xml:space="preserve">.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FootnoteReference"/>
        </w:rPr>
        <w:footnoteReference w:id="33"/>
      </w:r>
      <w:r>
        <w:rPr>
          <w:rFonts w:ascii="Times New Roman" w:hAnsi="Times New Roman" w:cs="Times New Roman" w:eastAsia="Times New Roman"/>
          <w:sz w:val="28"/>
        </w:rP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FootnoteReference"/>
        </w:rPr>
        <w:footnoteReference w:id="34"/>
      </w:r>
      <w:r>
        <w:rPr>
          <w:rFonts w:ascii="Times New Roman" w:hAnsi="Times New Roman" w:cs="Times New Roman" w:eastAsia="Times New Roman"/>
          <w:sz w:val="28"/>
        </w:rPr>
        <w:t xml:space="preserve">. Nihoyat, 2026-yil martida Bazel III ning yakuniy standartlarini joriy etish bo‘yicha qayta ishlangan takliflar e’lon qilindi; ular faqat eng yirik banklarga tatbiq etilishi va umumiy kapital talablarini biroz pasaytirishi kutilmoqda</w:t>
      </w:r>
      <w:r>
        <w:rPr>
          <w:rStyle w:val="FootnoteReference"/>
        </w:rPr>
        <w:footnoteReference w:id="35"/>
      </w:r>
      <w:r>
        <w:rPr>
          <w:rFonts w:ascii="Times New Roman" w:hAnsi="Times New Roman" w:cs="Times New Roman" w:eastAsia="Times New Roman"/>
          <w:sz w:val="28"/>
        </w:rPr>
        <w:t xml:space="preserve">. Ushbu islohotlar baholash natijasini nazorat qarori bilan bog‘lash tamoyili saqlanib qolgan holda, uning mezonlari moliyaviy ko‘rsatkichlarga ko‘proq tayanadigan bo‘lib borayotganini ko‘rsatadi.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FootnoteReference"/>
        </w:rPr>
        <w:footnoteReference w:id="36"/>
      </w:r>
      <w:r>
        <w:rPr>
          <w:rFonts w:ascii="Times New Roman" w:hAnsi="Times New Roman" w:cs="Times New Roman" w:eastAsia="Times New Roman"/>
          <w:sz w:val="28"/>
        </w:rPr>
        <w:t xml:space="preserve">. Bu xulosa davlat dasturlari bo‘yicha kreditlash ulushi yuqori bo‘lgan O‘zbekiston bank tizimi uchun ham dolzarbdir, chunki ijtimoiy maqsadlardagi kreditlash bank barqarorligi ko‘rsatkichlariga ta’sir qilmay qolmaydi.</w:t>
      </w:r>
    </w:p>
    <w:p>
      <w:pPr>
        <w:pStyle w:val="BodyText"/>
        <w:spacing w:line="360" w:lineRule="auto" w:before="0" w:after="0"/>
        <w:ind w:firstLine="709"/>
        <w:jc w:val="both"/>
      </w:pPr>
      <w:r>
        <w:rPr>
          <w:rFonts w:ascii="Times New Roman" w:hAnsi="Times New Roman" w:cs="Times New Roman" w:eastAsia="Times New Roman"/>
          <w:sz w:val="28"/>
        </w:rPr>
        <w:t xml:space="preserve">AQShdan farqli ravishda, G‘arbiy Yevropa mamlakatlari nazoratni risklarga asoslangan holda tashkil etishga ko‘proq e’tibor qaratgan. Bu yo‘nalishda Buyuk Britaniya tajribasi alohida o‘rin tutadi. Angliya banki 1997-yildan BAITE tizimini qo‘llab kelmoqda. U uch blokdan, ya’ni risklarni baholash, nazorat vositalari va samaradorlikni baholashdan iborat bo‘lib, to‘qqiz yo‘nalish bo‘yicha risklarni tahlil qiladi</w:t>
      </w:r>
      <w:r>
        <w:rPr>
          <w:rStyle w:val="FootnoteReference"/>
        </w:rPr>
        <w:footnoteReference w:id="37"/>
      </w:r>
      <w:r>
        <w:rPr>
          <w:rFonts w:ascii="Times New Roman" w:hAnsi="Times New Roman" w:cs="Times New Roman" w:eastAsia="Times New Roman"/>
          <w:sz w:val="28"/>
        </w:rPr>
        <w:t xml:space="preserve">. Keyinchalik joriy etilgan RATE tizimi CAMEL-B omillari (kapital, aktivlar, bozor riski, foyda, majburiyatlar, biznes) va COM omillari (nazorat, tashkiliy tuzilma, boshqaruv) asosida yagona ball chiqaradi, nazorat davri esa 6 oydan 3 yilgacha belgilanadi</w:t>
      </w:r>
      <w:r>
        <w:rPr>
          <w:rStyle w:val="FootnoteReference"/>
        </w:rPr>
        <w:footnoteReference w:id="38"/>
      </w:r>
      <w:r>
        <w:rPr>
          <w:rFonts w:ascii="Times New Roman" w:hAnsi="Times New Roman" w:cs="Times New Roman" w:eastAsia="Times New Roman"/>
          <w:sz w:val="28"/>
        </w:rPr>
        <w:t xml:space="preserve">. Britaniya tizimining eng muhim xususiyati shundaki, bankning risk darajasi va undagi nazorat sifati bir matritsada birlashtirilib, nazorat intensivligi shu matritsa asosida belgilanadi (1.3.4-rasm).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448000"/>
                <wp:effectExtent l="0" t="0" r="0" b="0"/>
                <wp:docPr id="1004" name="1.3.4-rasm"/>
                <wp:cNvGraphicFramePr/>
                <a:graphic>
                  <a:graphicData uri="http://schemas.microsoft.com/office/word/2010/wordprocessingGroup">
                    <wpg:wgp>
                      <wpg:cNvGrpSpPr/>
                      <wpg:grpSpPr>
                        <a:xfrm>
                          <a:off x="0" y="0"/>
                          <a:ext cx="5904000" cy="2448000"/>
                          <a:chOff x="0" y="0"/>
                          <a:chExt cx="5904000" cy="2448000"/>
                        </a:xfrm>
                      </wpg:grpSpPr>
                      <wps:wsp>
                        <wps:cNvPr id="32"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19"/>
                                  <w:szCs w:val="19"/>
                                </w:rPr>
                                <w:t xml:space="preserve">Risk darajasi</w:t>
                              </w:r>
                            </w:p>
                          </w:txbxContent>
                        </wps:txbx>
                        <wps:bodyPr rot="0" vert="horz" wrap="square" lIns="36000" tIns="18000" rIns="36000" bIns="18000" anchor="ctr" anchorCtr="0">
                          <a:noAutofit/>
                        </wps:bodyPr>
                      </wps:wsp>
                      <wps:wsp>
                        <wps:cNvPr id="33"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Ichki nazorat sifati</w:t>
                              </w:r>
                            </w:p>
                          </w:txbxContent>
                        </wps:txbx>
                        <wps:bodyPr rot="0" vert="horz" wrap="square" lIns="36000" tIns="18000" rIns="36000" bIns="18000" anchor="ctr" anchorCtr="0">
                          <a:noAutofit/>
                        </wps:bodyPr>
                      </wps:wsp>
                      <wps:wsp>
                        <wps:cNvPr id="34"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Yuqori</w:t>
                              </w:r>
                            </w:p>
                          </w:txbxContent>
                        </wps:txbx>
                        <wps:bodyPr rot="0" vert="horz" wrap="square" lIns="36000" tIns="18000" rIns="36000" bIns="18000" anchor="ctr" anchorCtr="0">
                          <a:noAutofit/>
                        </wps:bodyPr>
                      </wps:wsp>
                      <wps:wsp>
                        <wps:cNvPr id="35"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Past</w:t>
                              </w:r>
                            </w:p>
                          </w:txbxContent>
                        </wps:txbx>
                        <wps:bodyPr rot="0" vert="horz" wrap="square" lIns="36000" tIns="18000" rIns="36000" bIns="18000" anchor="ctr" anchorCtr="0">
                          <a:noAutofit/>
                        </wps:bodyPr>
                      </wps:wsp>
                      <wps:wsp>
                        <wps:cNvPr id="36"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A</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18–24 oy</w:t>
                              </w:r>
                            </w:p>
                          </w:txbxContent>
                        </wps:txbx>
                        <wps:bodyPr rot="0" vert="horz" wrap="square" lIns="36000" tIns="18000" rIns="36000" bIns="18000" anchor="ctr" anchorCtr="0">
                          <a:noAutofit/>
                        </wps:bodyPr>
                      </wps:wsp>
                      <wps:wsp>
                        <wps:cNvPr id="37"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12–18 oy</w:t>
                              </w:r>
                            </w:p>
                          </w:txbxContent>
                        </wps:txbx>
                        <wps:bodyPr rot="0" vert="horz" wrap="square" lIns="36000" tIns="18000" rIns="36000" bIns="18000" anchor="ctr" anchorCtr="0">
                          <a:noAutofit/>
                        </wps:bodyPr>
                      </wps:wsp>
                      <wps:wsp>
                        <wps:cNvPr id="3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Past</w:t>
                              </w:r>
                            </w:p>
                          </w:txbxContent>
                        </wps:txbx>
                        <wps:bodyPr rot="0" vert="horz" wrap="square" lIns="36000" tIns="18000" rIns="36000" bIns="18000" anchor="ctr" anchorCtr="0">
                          <a:noAutofit/>
                        </wps:bodyPr>
                      </wps:wsp>
                      <wps:wsp>
                        <wps:cNvPr id="39"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6–12 oy</w:t>
                              </w:r>
                            </w:p>
                          </w:txbxContent>
                        </wps:txbx>
                        <wps:bodyPr rot="0" vert="horz" wrap="square" lIns="36000" tIns="18000" rIns="36000" bIns="18000" anchor="ctr" anchorCtr="0">
                          <a:noAutofit/>
                        </wps:bodyPr>
                      </wps:wsp>
                      <wps:wsp>
                        <wps:cNvPr id="40"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D</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taxminan 1 yil va</w:t>
                              </w:r>
                            </w:p>
                            <w:p>
                              <w:pPr>
                                <w:spacing w:before="0" w:after="0" w:line="228" w:lineRule="auto"/>
                                <w:jc w:val="center"/>
                                <w:ind w:firstLine="0"/>
                              </w:pPr>
                              <w:r>
                                <w:rPr>
                                  <w:rFonts w:ascii="Times New Roman" w:hAnsi="Times New Roman" w:cs="Times New Roman"/>
                                  <w:color w:val="FFFFFF"/>
                                  <w:sz w:val="22"/>
                                  <w:szCs w:val="22"/>
                                </w:rPr>
                                <w:t xml:space="preserve">qo‘shimcha choralar</w:t>
                              </w:r>
                            </w:p>
                          </w:txbxContent>
                        </wps:txbx>
                        <wps:bodyPr rot="0" vert="horz" wrap="square" lIns="36000" tIns="18000" rIns="36000" bIns="18000" anchor="ctr" anchorCtr="0">
                          <a:noAutofit/>
                        </wps:bodyPr>
                      </wps:wsp>
                      <wps:wsp>
                        <wps:cNvPr id="41"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Yuqori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1.3.4-rasm. Angliya bankining BAITE tizimida risk va nazorat matritsasi</w:t>
      </w:r>
      <w:r>
        <w:rPr>
          <w:rStyle w:val="FootnoteReference"/>
        </w:rPr>
        <w:footnoteReference w:id="39"/>
      </w:r>
    </w:p>
    <w:p>
      <w:pPr>
        <w:pStyle w:val="BodyText"/>
        <w:spacing w:line="360" w:lineRule="auto" w:before="0" w:after="0"/>
        <w:ind w:firstLine="709"/>
        <w:jc w:val="both"/>
      </w:pPr>
      <w:r>
        <w:rPr>
          <w:rFonts w:ascii="Times New Roman" w:hAnsi="Times New Roman" w:cs="Times New Roman" w:eastAsia="Times New Roman"/>
          <w:sz w:val="28"/>
        </w:rPr>
        <w:t xml:space="preserve">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pPr>
        <w:pStyle w:val="BodyText"/>
        <w:spacing w:line="360" w:lineRule="auto" w:before="0" w:after="0"/>
        <w:ind w:firstLine="709"/>
        <w:jc w:val="both"/>
      </w:pPr>
      <w:r>
        <w:rPr>
          <w:rFonts w:ascii="Times New Roman" w:hAnsi="Times New Roman" w:cs="Times New Roman" w:eastAsia="Times New Roman"/>
          <w:sz w:val="28"/>
        </w:rPr>
        <w:t xml:space="preserve">Germaniyada esa boshqacha yo‘l tanlangan. Bu yerda qo‘llanadigan BAKIS tizimi koeffitsiyentli yondashuvning namunasi bo‘lib, 47 ta ko‘rsatkichni o‘z ichiga oladi: ulardan 19 tasi kredit riski, 16 tasi bozor riski, 2 tasi likvidlik, 10 tasi rentabellik bilan bog‘liq. Barcha ko‘rsatkichlar teng vaznda olinadi va bank ko‘rsatkichlari o‘xshash banklar guruhining o‘rtachasi bilan taqqoslanadi</w:t>
      </w:r>
      <w:r>
        <w:rPr>
          <w:rStyle w:val="FootnoteReference"/>
        </w:rPr>
        <w:footnoteReference w:id="40"/>
      </w:r>
      <w:r>
        <w:rPr>
          <w:rFonts w:ascii="Times New Roman" w:hAnsi="Times New Roman" w:cs="Times New Roman" w:eastAsia="Times New Roman"/>
          <w:sz w:val="28"/>
        </w:rPr>
        <w:t xml:space="preserve">.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pPr>
        <w:pStyle w:val="BodyText"/>
        <w:spacing w:line="360" w:lineRule="auto" w:before="0" w:after="0"/>
        <w:ind w:firstLine="709"/>
        <w:jc w:val="both"/>
      </w:pPr>
      <w:r>
        <w:rPr>
          <w:rFonts w:ascii="Times New Roman" w:hAnsi="Times New Roman" w:cs="Times New Roman" w:eastAsia="Times New Roman"/>
          <w:sz w:val="28"/>
        </w:rPr>
        <w:t xml:space="preserve">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FootnoteReference"/>
        </w:rPr>
        <w:footnoteReference w:id="41"/>
      </w:r>
      <w:r>
        <w:rPr>
          <w:rFonts w:ascii="Times New Roman" w:hAnsi="Times New Roman" w:cs="Times New Roman" w:eastAsia="Times New Roman"/>
          <w:sz w:val="28"/>
        </w:rPr>
        <w:t xml:space="preserve">. Italiyada esa 1993-yildan PATROL tizimi masofaviy nazorat va reyting baholash uchun ishlatiladi</w:t>
      </w:r>
      <w:r>
        <w:rPr>
          <w:rStyle w:val="FootnoteReference"/>
        </w:rPr>
        <w:footnoteReference w:id="42"/>
      </w:r>
      <w:r>
        <w:rPr>
          <w:rFonts w:ascii="Times New Roman" w:hAnsi="Times New Roman" w:cs="Times New Roman" w:eastAsia="Times New Roman"/>
          <w:sz w:val="28"/>
        </w:rPr>
        <w:t xml:space="preserve">.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FootnoteReference"/>
        </w:rPr>
        <w:footnoteReference w:id="43"/>
      </w:r>
      <w:r>
        <w:rPr>
          <w:rFonts w:ascii="Times New Roman" w:hAnsi="Times New Roman" w:cs="Times New Roman" w:eastAsia="Times New Roman"/>
          <w:sz w:val="28"/>
        </w:rPr>
        <w:t xml:space="preserve">. Holbuki, bunday rentabellikka qisqa muddatda erishib bo‘lmaydi. Demak, kapital talablarini oshirishda bankning foyda olish salohiyati ham hisobga olinishi zarur.</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Yevropa tizimli risklar kengashi amalga oshiradi; Yevropa bank boshqarmasi yagona qoidalar va ma’lumotlar bazasini ta’minlaydi</w:t>
      </w:r>
      <w:r>
        <w:rPr>
          <w:rStyle w:val="FootnoteReference"/>
        </w:rPr>
        <w:footnoteReference w:id="4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FootnoteReference"/>
        </w:rPr>
        <w:footnoteReference w:id="45"/>
      </w:r>
      <w:r>
        <w:rPr>
          <w:rFonts w:ascii="Times New Roman" w:hAnsi="Times New Roman" w:cs="Times New Roman" w:eastAsia="Times New Roman"/>
          <w:sz w:val="28"/>
        </w:rPr>
        <w:t xml:space="preserve">. Iqtisodiy tanazzul davrida ular o‘rtasidagi ziddiyat kuchayadi: makroprudensial siyosat kreditlashni qo‘llab-quvvatlash uchun buferlarni bo‘shatishni talab qilsa, mikroprudensial nazorat alohida bank barqarorligi uchun ularni saqlab qolishga intiladi.</w:t>
      </w:r>
    </w:p>
    <w:p>
      <w:pPr>
        <w:pStyle w:val="BodyText"/>
        <w:spacing w:line="360" w:lineRule="auto" w:before="0" w:after="0"/>
        <w:ind w:firstLine="709"/>
        <w:jc w:val="both"/>
      </w:pPr>
      <w:r>
        <w:rPr>
          <w:rFonts w:ascii="Times New Roman" w:hAnsi="Times New Roman" w:cs="Times New Roman" w:eastAsia="Times New Roman"/>
          <w:sz w:val="28"/>
        </w:rPr>
        <w:t xml:space="preserve">Ikki darajani bog‘lashda yagona ma’lumotlar bazasi muhim rol o‘ynaydi. Yevropa bank boshqarmasi 2009-yildan buyon Yevropa iqtisodiy hududining 20 ta mamlakatidagi 57 ta yirik bankdan har chorakda 53 ta asosiy risk indikatorini yig‘ib keladi. Bu banklar har bir milliy bank sektori aktivlarining kamida 50 foizini qamrab oladi</w:t>
      </w:r>
      <w:r>
        <w:rPr>
          <w:rStyle w:val="FootnoteReference"/>
        </w:rPr>
        <w:footnoteReference w:id="46"/>
      </w:r>
      <w:r>
        <w:rPr>
          <w:rFonts w:ascii="Times New Roman" w:hAnsi="Times New Roman" w:cs="Times New Roman" w:eastAsia="Times New Roman"/>
          <w:sz w:val="28"/>
        </w:rPr>
        <w:t xml:space="preserve">. Indikatorlar to‘rt blokka – kapital yetarliligi, aktivlar sifati, rentabellik va balans tuzilmasiga ajratilgan bo‘lib, ular asosida 11 ta risk omilini aks ettiruvchi «risklar paneli» shakllantiriladi</w:t>
      </w:r>
      <w:r>
        <w:rPr>
          <w:rStyle w:val="FootnoteReference"/>
        </w:rPr>
        <w:footnoteReference w:id="47"/>
      </w:r>
      <w:r>
        <w:rPr>
          <w:rFonts w:ascii="Times New Roman" w:hAnsi="Times New Roman" w:cs="Times New Roman" w:eastAsia="Times New Roman"/>
          <w:sz w:val="28"/>
        </w:rPr>
        <w:t xml:space="preserve">. Shunday qilib, Yevropa Ittifoqida baholash natijalari nazorat organining ichki hujjati bo‘lib qolmasdan, bozor ishtirokchilari foydalanishi mumkin bo‘lgan ochiq axborotga aylangan.</w:t>
      </w:r>
    </w:p>
    <w:p>
      <w:pPr>
        <w:pStyle w:val="BodyText"/>
        <w:spacing w:line="360" w:lineRule="auto" w:before="0" w:after="0"/>
        <w:ind w:firstLine="709"/>
        <w:jc w:val="both"/>
      </w:pPr>
      <w:r>
        <w:rPr>
          <w:rFonts w:ascii="Times New Roman" w:hAnsi="Times New Roman" w:cs="Times New Roman" w:eastAsia="Times New Roman"/>
          <w:sz w:val="28"/>
        </w:rPr>
        <w:t xml:space="preserve">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FootnoteReference"/>
        </w:rPr>
        <w:footnoteReference w:id="48"/>
      </w:r>
      <w:r>
        <w:rPr>
          <w:rFonts w:ascii="Times New Roman" w:hAnsi="Times New Roman" w:cs="Times New Roman" w:eastAsia="Times New Roman"/>
          <w:sz w:val="28"/>
        </w:rPr>
        <w:t xml:space="preserve">. Mualliflar eng maqbul yondashuv sifatida qat’iy bazaviy qoidani va unga qo‘shiladigan, vaziyatga qarab o‘zgartiriladigan diskretsion vositalarni ko‘rsatadi</w:t>
      </w:r>
      <w:r>
        <w:rPr>
          <w:rStyle w:val="FootnoteReference"/>
        </w:rPr>
        <w:footnoteReference w:id="4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FootnoteReference"/>
        </w:rPr>
        <w:footnoteReference w:id="50"/>
      </w:r>
      <w:r>
        <w:rPr>
          <w:rFonts w:ascii="Times New Roman" w:hAnsi="Times New Roman" w:cs="Times New Roman" w:eastAsia="Times New Roman"/>
          <w:sz w:val="28"/>
        </w:rPr>
        <w:t xml:space="preserve">. Buyuk Britaniyada bu standartlar 2027-yil 1-yanvardan kuchga kiradi</w:t>
      </w:r>
      <w:r>
        <w:rPr>
          <w:rStyle w:val="FootnoteReference"/>
        </w:rPr>
        <w:footnoteReference w:id="51"/>
      </w:r>
      <w:r>
        <w:rPr>
          <w:rFonts w:ascii="Times New Roman" w:hAnsi="Times New Roman" w:cs="Times New Roman" w:eastAsia="Times New Roman"/>
          <w:sz w:val="28"/>
        </w:rPr>
        <w:t xml:space="preserve">.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FootnoteReference"/>
        </w:rPr>
        <w:footnoteReference w:id="52"/>
      </w:r>
      <w:r>
        <w:rPr>
          <w:rFonts w:ascii="Times New Roman" w:hAnsi="Times New Roman" w:cs="Times New Roman" w:eastAsia="Times New Roman"/>
          <w:sz w:val="28"/>
        </w:rPr>
        <w:t xml:space="preserve">. Bu natijalar ham har bir bank kesimida ochiq e’lon qilinadi.</w:t>
      </w:r>
    </w:p>
    <w:p>
      <w:pPr>
        <w:pStyle w:val="BodyText"/>
        <w:spacing w:line="360" w:lineRule="auto" w:before="0" w:after="0"/>
        <w:ind w:firstLine="709"/>
        <w:jc w:val="both"/>
      </w:pPr>
      <w:r>
        <w:rPr>
          <w:rFonts w:ascii="Times New Roman" w:hAnsi="Times New Roman" w:cs="Times New Roman" w:eastAsia="Times New Roman"/>
          <w:sz w:val="28"/>
        </w:rPr>
        <w:t xml:space="preserve">G‘arb mamlakatlari tajribasi ilg‘or bo‘lsa-da, uni to‘g‘ridan-to‘g‘ri ko‘chirib bo‘lmaydi, chunki bu mamlakatlarning moliya bozorlari va ma’lumotlar bazasi 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Rossiya bankining banklar moliyaviy barqarorligini baholash tizimi evolyutsiyasi</w:t>
      </w:r>
      <w:r>
        <w:rPr>
          <w:rStyle w:val="FootnoteReference"/>
        </w:rPr>
        <w:footnoteReference w:id="53"/>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Yil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Hujjat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1995</w:t>
            </w:r>
          </w:p>
        </w:tc>
        <w:tc>
          <w:tcPr/>
          <w:p>
            <w:pPr>
              <w:pStyle w:val="Compact"/>
              <w:spacing w:line="240" w:lineRule="auto"/>
              <w:ind w:firstLine="0"/>
              <w:jc w:val="left"/>
            </w:pPr>
            <w:r>
              <w:rPr>
                <w:rFonts w:ascii="Times New Roman" w:hAnsi="Times New Roman" w:cs="Times New Roman" w:eastAsia="Times New Roman"/>
                <w:sz w:val="22"/>
              </w:rPr>
              <w:t xml:space="preserve">15-3-3/668-son xat</w:t>
            </w:r>
          </w:p>
        </w:tc>
        <w:tc>
          <w:tcPr/>
          <w:p>
            <w:pPr>
              <w:pStyle w:val="Compact"/>
              <w:spacing w:line="240" w:lineRule="auto"/>
              <w:ind w:firstLine="0"/>
              <w:jc w:val="left"/>
            </w:pPr>
            <w:r>
              <w:rPr>
                <w:rFonts w:ascii="Times New Roman" w:hAnsi="Times New Roman" w:cs="Times New Roman" w:eastAsia="Times New Roman"/>
                <w:sz w:val="22"/>
              </w:rPr>
              <w:t xml:space="preserve">CAMEL ga asoslangan, 4 parametr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1997</w:t>
            </w:r>
          </w:p>
        </w:tc>
        <w:tc>
          <w:tcPr/>
          <w:p>
            <w:pPr>
              <w:pStyle w:val="Compact"/>
              <w:spacing w:line="240" w:lineRule="auto"/>
              <w:ind w:firstLine="0"/>
              <w:jc w:val="left"/>
            </w:pPr>
            <w:r>
              <w:rPr>
                <w:rFonts w:ascii="Times New Roman" w:hAnsi="Times New Roman" w:cs="Times New Roman" w:eastAsia="Times New Roman"/>
                <w:sz w:val="22"/>
              </w:rPr>
              <w:t xml:space="preserve">457-son xat</w:t>
            </w:r>
          </w:p>
        </w:tc>
        <w:tc>
          <w:tcPr/>
          <w:p>
            <w:pPr>
              <w:pStyle w:val="Compact"/>
              <w:spacing w:line="240" w:lineRule="auto"/>
              <w:ind w:firstLine="0"/>
              <w:jc w:val="left"/>
            </w:pPr>
            <w:r>
              <w:rPr>
                <w:rFonts w:ascii="Times New Roman" w:hAnsi="Times New Roman" w:cs="Times New Roman" w:eastAsia="Times New Roman"/>
                <w:sz w:val="22"/>
              </w:rPr>
              <w:t xml:space="preserve">Ikki toifa va ikki guruh; 2601 bankdan 852 tasi (32,8%) barqaror, 1052 tasi (40,4%) muammoli deb topilgan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2000</w:t>
            </w:r>
          </w:p>
        </w:tc>
        <w:tc>
          <w:tcPr/>
          <w:p>
            <w:pPr>
              <w:pStyle w:val="Compact"/>
              <w:spacing w:line="240" w:lineRule="auto"/>
              <w:ind w:firstLine="0"/>
              <w:jc w:val="left"/>
            </w:pPr>
            <w:r>
              <w:rPr>
                <w:rFonts w:ascii="Times New Roman" w:hAnsi="Times New Roman" w:cs="Times New Roman" w:eastAsia="Times New Roman"/>
                <w:sz w:val="22"/>
              </w:rPr>
              <w:t xml:space="preserve">766-U ko‘rsatma</w:t>
            </w:r>
          </w:p>
        </w:tc>
        <w:tc>
          <w:tcPr/>
          <w:p>
            <w:pPr>
              <w:pStyle w:val="Compact"/>
              <w:spacing w:line="240" w:lineRule="auto"/>
              <w:ind w:firstLine="0"/>
              <w:jc w:val="left"/>
            </w:pPr>
            <w:r>
              <w:rPr>
                <w:rFonts w:ascii="Times New Roman" w:hAnsi="Times New Roman" w:cs="Times New Roman" w:eastAsia="Times New Roman"/>
                <w:sz w:val="22"/>
              </w:rPr>
              <w:t xml:space="preserve">Asoslangan mulohaza tamoyili joriy etildi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2004</w:t>
            </w:r>
          </w:p>
        </w:tc>
        <w:tc>
          <w:tcPr/>
          <w:p>
            <w:pPr>
              <w:pStyle w:val="Compact"/>
              <w:spacing w:line="240" w:lineRule="auto"/>
              <w:ind w:firstLine="0"/>
              <w:jc w:val="left"/>
            </w:pPr>
            <w:r>
              <w:rPr>
                <w:rFonts w:ascii="Times New Roman" w:hAnsi="Times New Roman" w:cs="Times New Roman" w:eastAsia="Times New Roman"/>
                <w:sz w:val="22"/>
              </w:rPr>
              <w:t xml:space="preserve">1379-U ko‘rsatma</w:t>
            </w:r>
          </w:p>
        </w:tc>
        <w:tc>
          <w:tcPr/>
          <w:p>
            <w:pPr>
              <w:pStyle w:val="Compact"/>
              <w:spacing w:line="240" w:lineRule="auto"/>
              <w:ind w:firstLine="0"/>
              <w:jc w:val="left"/>
            </w:pPr>
            <w:r>
              <w:rPr>
                <w:rFonts w:ascii="Times New Roman" w:hAnsi="Times New Roman" w:cs="Times New Roman" w:eastAsia="Times New Roman"/>
                <w:sz w:val="22"/>
              </w:rPr>
              <w:t xml:space="preserve">Omonatlarni sug‘urtalash tizimiga qabul qilish uchun: 4 ballik shkala, vaznlar, yig‘ma ball, boshqaruv sifati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2008</w:t>
            </w:r>
          </w:p>
        </w:tc>
        <w:tc>
          <w:tcPr/>
          <w:p>
            <w:pPr>
              <w:pStyle w:val="Compact"/>
              <w:spacing w:line="240" w:lineRule="auto"/>
              <w:ind w:firstLine="0"/>
              <w:jc w:val="left"/>
            </w:pPr>
            <w:r>
              <w:rPr>
                <w:rFonts w:ascii="Times New Roman" w:hAnsi="Times New Roman" w:cs="Times New Roman" w:eastAsia="Times New Roman"/>
                <w:sz w:val="22"/>
              </w:rPr>
              <w:t xml:space="preserve">2005-U ko‘rsatma</w:t>
            </w:r>
          </w:p>
        </w:tc>
        <w:tc>
          <w:tcPr/>
          <w:p>
            <w:pPr>
              <w:pStyle w:val="Compact"/>
              <w:spacing w:line="240" w:lineRule="auto"/>
              <w:ind w:firstLine="0"/>
              <w:jc w:val="left"/>
            </w:pPr>
            <w:r>
              <w:rPr>
                <w:rFonts w:ascii="Times New Roman" w:hAnsi="Times New Roman" w:cs="Times New Roman" w:eastAsia="Times New Roman"/>
                <w:sz w:val="22"/>
              </w:rPr>
              <w:t xml:space="preserve">5 guruh; 12 oylik prognoz; strategik risk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2017</w:t>
            </w:r>
          </w:p>
        </w:tc>
        <w:tc>
          <w:tcPr/>
          <w:p>
            <w:pPr>
              <w:pStyle w:val="Compact"/>
              <w:spacing w:line="240" w:lineRule="auto"/>
              <w:ind w:firstLine="0"/>
              <w:jc w:val="left"/>
            </w:pPr>
            <w:r>
              <w:rPr>
                <w:rFonts w:ascii="Times New Roman" w:hAnsi="Times New Roman" w:cs="Times New Roman" w:eastAsia="Times New Roman"/>
                <w:sz w:val="22"/>
              </w:rPr>
              <w:t xml:space="preserve">4336-U ko‘rsatma</w:t>
            </w:r>
          </w:p>
        </w:tc>
        <w:tc>
          <w:tcPr/>
          <w:p>
            <w:pPr>
              <w:pStyle w:val="Compact"/>
              <w:spacing w:line="240" w:lineRule="auto"/>
              <w:ind w:firstLine="0"/>
              <w:jc w:val="left"/>
            </w:pPr>
            <w:r>
              <w:rPr>
                <w:rFonts w:ascii="Times New Roman" w:hAnsi="Times New Roman" w:cs="Times New Roman" w:eastAsia="Times New Roman"/>
                <w:sz w:val="22"/>
              </w:rPr>
              <w:t xml:space="preserve">Amaldagi tizim; guruhlarga qarab tabaqalashtirilgan nazorat rejimlari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2025</w:t>
            </w:r>
          </w:p>
        </w:tc>
        <w:tc>
          <w:tcPr/>
          <w:p>
            <w:pPr>
              <w:pStyle w:val="Compact"/>
              <w:spacing w:line="240" w:lineRule="auto"/>
              <w:ind w:firstLine="0"/>
              <w:jc w:val="left"/>
            </w:pPr>
            <w:r>
              <w:rPr>
                <w:rFonts w:ascii="Times New Roman" w:hAnsi="Times New Roman" w:cs="Times New Roman" w:eastAsia="Times New Roman"/>
                <w:sz w:val="22"/>
              </w:rPr>
              <w:t xml:space="preserve">Milliy qisqa muddatli likvidlik normativi</w:t>
            </w:r>
          </w:p>
        </w:tc>
        <w:tc>
          <w:tcPr/>
          <w:p>
            <w:pPr>
              <w:pStyle w:val="Compact"/>
              <w:spacing w:line="240" w:lineRule="auto"/>
              <w:ind w:firstLine="0"/>
              <w:jc w:val="left"/>
            </w:pPr>
            <w:r>
              <w:rPr>
                <w:rFonts w:ascii="Times New Roman" w:hAnsi="Times New Roman" w:cs="Times New Roman" w:eastAsia="Times New Roman"/>
                <w:sz w:val="22"/>
              </w:rPr>
              <w:t xml:space="preserve">Bazel LCR o‘rniga tizimli banklar uchun milliy normativ; real stress darajasi va kengroq likvid aktivlar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2026</w:t>
            </w:r>
          </w:p>
        </w:tc>
        <w:tc>
          <w:tcPr/>
          <w:p>
            <w:pPr>
              <w:pStyle w:val="Compact"/>
              <w:spacing w:line="240" w:lineRule="auto"/>
              <w:ind w:firstLine="0"/>
              <w:jc w:val="left"/>
            </w:pPr>
            <w:r>
              <w:rPr>
                <w:rFonts w:ascii="Times New Roman" w:hAnsi="Times New Roman" w:cs="Times New Roman" w:eastAsia="Times New Roman"/>
                <w:sz w:val="22"/>
              </w:rPr>
              <w:t xml:space="preserve">7302-U ko‘rsatma</w:t>
            </w:r>
          </w:p>
        </w:tc>
        <w:tc>
          <w:tcPr/>
          <w:p>
            <w:pPr>
              <w:pStyle w:val="Compact"/>
              <w:spacing w:line="240" w:lineRule="auto"/>
              <w:ind w:firstLine="0"/>
              <w:jc w:val="left"/>
            </w:pPr>
            <w:r>
              <w:rPr>
                <w:rFonts w:ascii="Times New Roman" w:hAnsi="Times New Roman" w:cs="Times New Roman" w:eastAsia="Times New Roman"/>
                <w:sz w:val="22"/>
              </w:rPr>
              <w:t xml:space="preserve">4336-U ko‘rsatmaga o‘zgartirishlar, jumladan, ochiq valyuta pozitsiyasi limitlarini buzish bahosi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pPr>
        <w:pStyle w:val="BodyText"/>
        <w:spacing w:line="360" w:lineRule="auto" w:before="0" w:after="0"/>
        <w:ind w:firstLine="709"/>
        <w:jc w:val="both"/>
      </w:pPr>
      <w:r>
        <w:rPr>
          <w:rFonts w:ascii="Times New Roman" w:hAnsi="Times New Roman" w:cs="Times New Roman" w:eastAsia="Times New Roman"/>
          <w:sz w:val="28"/>
        </w:rPr>
        <w:t xml:space="preserve">2005-U ko‘rsatmaga asoslangan tizimda kapital, aktivlar, daromadlilik, likvidlik va boshqaruv sifati guruhlari bo‘yicha ko‘rsatkichlar 1–4 ballik shkalada baholanadi va har biriga vazn beriladi. Masalan, N1 kapital yetarliligi normativi bo‘yicha 1 ball olish uchun kamida 14 foiz talab qilinadi, uning vazni esa 3 ga teng</w:t>
      </w:r>
      <w:r>
        <w:rPr>
          <w:rStyle w:val="FootnoteReference"/>
        </w:rPr>
        <w:footnoteReference w:id="54"/>
      </w:r>
      <w:r>
        <w:rPr>
          <w:rFonts w:ascii="Times New Roman" w:hAnsi="Times New Roman" w:cs="Times New Roman" w:eastAsia="Times New Roman"/>
          <w:sz w:val="28"/>
        </w:rP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FootnoteReference"/>
        </w:rPr>
        <w:footnoteReference w:id="55"/>
      </w:r>
      <w:r>
        <w:rPr>
          <w:rFonts w:ascii="Times New Roman" w:hAnsi="Times New Roman" w:cs="Times New Roman" w:eastAsia="Times New Roman"/>
          <w:sz w:val="28"/>
        </w:rPr>
        <w:t xml:space="preserve">. Bundan tashqari, komponentlar bir-biri bilan bog‘lanmagan holda baholanadi, holbuki amalda kapital, likvidlik va aktivlar sifati o‘zaro chambarchas bog‘liq</w:t>
      </w:r>
      <w:r>
        <w:rPr>
          <w:rStyle w:val="FootnoteReference"/>
        </w:rPr>
        <w:footnoteReference w:id="5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FootnoteReference"/>
        </w:rPr>
        <w:footnoteReference w:id="57"/>
      </w:r>
      <w:r>
        <w:rPr>
          <w:rFonts w:ascii="Times New Roman" w:hAnsi="Times New Roman" w:cs="Times New Roman" w:eastAsia="Times New Roman"/>
          <w:sz w:val="28"/>
        </w:rPr>
        <w:t xml:space="preserve">. Bu jarayon 2019-yilda yakunlanmadi, balki keyingi yillarda ham davom etdi. Shu sababli islohotning boshlanishini ham, davomini ham Bazel qo‘mitasining standart jadvali va O‘zbekiston tajribasi bilan solishtirish maqsadga muvofiq (1.3.5-rasm).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3420000"/>
            <wp:effectExtent l="0" t="0" r="0" b="0"/>
            <wp:docPr id="1005" name="1.3.5-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1.3.5-rasm. Likvidlikni qoplash koeffitsiyentiga qo‘yiladigan talablar: islohotning boshlanishi va davomi, %</w:t>
      </w:r>
      <w:r>
        <w:rPr>
          <w:rStyle w:val="FootnoteReference"/>
        </w:rPr>
        <w:footnoteReference w:id="58"/>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FootnoteReference"/>
        </w:rPr>
        <w:footnoteReference w:id="59"/>
      </w:r>
      <w:r>
        <w:rPr>
          <w:rFonts w:ascii="Times New Roman" w:hAnsi="Times New Roman" w:cs="Times New Roman" w:eastAsia="Times New Roman"/>
          <w:sz w:val="28"/>
        </w:rPr>
        <w:t xml:space="preserve">. Bu holat xalqaro standartni joriy etishdan oldin milliy moliya bozorining unga tayyorligini baholash zarurligini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w:t>
      </w:r>
      <w:r>
        <w:rPr>
          <w:rStyle w:val="FootnoteReference"/>
        </w:rPr>
        <w:footnoteReference w:id="60"/>
      </w:r>
      <w:r>
        <w:rPr>
          <w:rFonts w:ascii="Times New Roman" w:hAnsi="Times New Roman" w:cs="Times New Roman" w:eastAsia="Times New Roman"/>
          <w:sz w:val="28"/>
        </w:rP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FootnoteReference"/>
        </w:rPr>
        <w:footnoteReference w:id="61"/>
      </w:r>
      <w:r>
        <w:rPr>
          <w:rFonts w:ascii="Times New Roman" w:hAnsi="Times New Roman" w:cs="Times New Roman" w:eastAsia="Times New Roman"/>
          <w:sz w:val="28"/>
        </w:rPr>
        <w:t xml:space="preserve">.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FootnoteReference"/>
        </w:rPr>
        <w:footnoteReference w:id="62"/>
      </w:r>
      <w:r>
        <w:rPr>
          <w:rFonts w:ascii="Times New Roman" w:hAnsi="Times New Roman" w:cs="Times New Roman" w:eastAsia="Times New Roman"/>
          <w:sz w:val="28"/>
        </w:rPr>
        <w:t xml:space="preserve">. Bazel qo‘mitasi ham 2023-yilgi AQSh bank inqirozidan keyin raqamli kanallar orqali omonatlarning tez chiqib ketishi likvidlik koeffitsiyentining farazlarida to‘liq aks etmaganini qayd etib, bu standartni qayta ko‘rib chiqish masalasini kun tartibiga qo‘ydi</w:t>
      </w:r>
      <w:r>
        <w:rPr>
          <w:rStyle w:val="FootnoteReference"/>
        </w:rPr>
        <w:footnoteReference w:id="6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Shu bilan birga, Rossiya bankining 3883-U ko‘rsatmasi bilan ichki kapital yetarliligini baholash jarayoni joriy etildi. Mualliflar uni avval aktivlari 500 mlrd rubldan oshgan banklarda, keyin esa boshqa banklarda bosqichma-bosqich joriy etishni taklif qilgan</w:t>
      </w:r>
      <w:r>
        <w:rPr>
          <w:rStyle w:val="FootnoteReference"/>
        </w:rPr>
        <w:footnoteReference w:id="64"/>
      </w:r>
      <w:r>
        <w:rPr>
          <w:rFonts w:ascii="Times New Roman" w:hAnsi="Times New Roman" w:cs="Times New Roman" w:eastAsia="Times New Roman"/>
          <w:sz w:val="28"/>
        </w:rPr>
        <w:t xml:space="preserve">. Bunday tabaqalashtirilgan yondashuv kichik banklarga ortiqcha yuk tushishining oldini oladi va O‘zbekistonda ham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FootnoteReference"/>
        </w:rPr>
        <w:footnoteReference w:id="65"/>
      </w:r>
      <w:r>
        <w:rPr>
          <w:rFonts w:ascii="Times New Roman" w:hAnsi="Times New Roman" w:cs="Times New Roman" w:eastAsia="Times New Roman"/>
          <w:sz w:val="28"/>
        </w:rPr>
        <w:t xml:space="preserve">.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FootnoteReference"/>
        </w:rPr>
        <w:footnoteReference w:id="66"/>
      </w:r>
      <w:r>
        <w:rPr>
          <w:rFonts w:ascii="Times New Roman" w:hAnsi="Times New Roman" w:cs="Times New Roman" w:eastAsia="Times New Roman"/>
          <w:sz w:val="28"/>
        </w:rPr>
        <w:t xml:space="preserve">.</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1548000"/>
                <wp:effectExtent l="0" t="0" r="0" b="0"/>
                <wp:docPr id="1006" name="1.3.6-rasm"/>
                <wp:cNvGraphicFramePr/>
                <a:graphic>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Bazaviy, salbiy,</w:t>
                              </w:r>
                            </w:p>
                            <w:p>
                              <w:pPr>
                                <w:spacing w:before="0" w:after="0" w:line="228" w:lineRule="auto"/>
                                <w:jc w:val="center"/>
                                <w:ind w:firstLine="0"/>
                              </w:pPr>
                              <w:r>
                                <w:rPr>
                                  <w:rFonts w:ascii="Times New Roman" w:hAnsi="Times New Roman" w:cs="Times New Roman"/>
                                  <w:color w:val="000000"/>
                                  <w:sz w:val="18"/>
                                  <w:szCs w:val="18"/>
                                </w:rPr>
                                <w:t xml:space="preserve">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Makroiqtisodiy</w:t>
                              </w:r>
                            </w:p>
                            <w:p>
                              <w:pPr>
                                <w:spacing w:before="0" w:after="0" w:line="228" w:lineRule="auto"/>
                                <w:jc w:val="center"/>
                                <w:ind w:firstLine="0"/>
                              </w:pPr>
                              <w:r>
                                <w:rPr>
                                  <w:rFonts w:ascii="Times New Roman" w:hAnsi="Times New Roman" w:cs="Times New Roman"/>
                                  <w:b/>
                                  <w:color w:val="FFFFFF"/>
                                  <w:sz w:val="20"/>
                                  <w:szCs w:val="20"/>
                                </w:rPr>
                                <w:t xml:space="preserve">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YaIM, valyuta kursi,</w:t>
                              </w:r>
                            </w:p>
                            <w:p>
                              <w:pPr>
                                <w:spacing w:before="0" w:after="0" w:line="228" w:lineRule="auto"/>
                                <w:jc w:val="center"/>
                                <w:ind w:firstLine="0"/>
                              </w:pPr>
                              <w:r>
                                <w:rPr>
                                  <w:rFonts w:ascii="Times New Roman" w:hAnsi="Times New Roman" w:cs="Times New Roman"/>
                                  <w:color w:val="000000"/>
                                  <w:sz w:val="18"/>
                                  <w:szCs w:val="18"/>
                                </w:rPr>
                                <w:t xml:space="preserve">inflyatsiya, daromadlar,</w:t>
                              </w:r>
                            </w:p>
                            <w:p>
                              <w:pPr>
                                <w:spacing w:before="0" w:after="0" w:line="228" w:lineRule="auto"/>
                                <w:jc w:val="center"/>
                                <w:ind w:firstLine="0"/>
                              </w:pPr>
                              <w:r>
                                <w:rPr>
                                  <w:rFonts w:ascii="Times New Roman" w:hAnsi="Times New Roman" w:cs="Times New Roman"/>
                                  <w:color w:val="000000"/>
                                  <w:sz w:val="18"/>
                                  <w:szCs w:val="18"/>
                                </w:rPr>
                                <w:t xml:space="preserve">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w:t>
                              </w:r>
                            </w:p>
                            <w:p>
                              <w:pPr>
                                <w:spacing w:before="0" w:after="0" w:line="228" w:lineRule="auto"/>
                                <w:jc w:val="center"/>
                                <w:ind w:firstLine="0"/>
                              </w:pPr>
                              <w:r>
                                <w:rPr>
                                  <w:rFonts w:ascii="Times New Roman" w:hAnsi="Times New Roman" w:cs="Times New Roman"/>
                                  <w:b/>
                                  <w:color w:val="FFFFFF"/>
                                  <w:sz w:val="20"/>
                                  <w:szCs w:val="20"/>
                                </w:rPr>
                                <w:t xml:space="preserve">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Muammoli kreditlar</w:t>
                              </w:r>
                            </w:p>
                            <w:p>
                              <w:pPr>
                                <w:spacing w:before="0" w:after="0" w:line="228" w:lineRule="auto"/>
                                <w:jc w:val="center"/>
                                <w:ind w:firstLine="0"/>
                              </w:pPr>
                              <w:r>
                                <w:rPr>
                                  <w:rFonts w:ascii="Times New Roman" w:hAnsi="Times New Roman" w:cs="Times New Roman"/>
                                  <w:color w:val="000000"/>
                                  <w:sz w:val="18"/>
                                  <w:szCs w:val="18"/>
                                </w:rPr>
                                <w:t xml:space="preserve">ulushi, foiz stavkalari,</w:t>
                              </w:r>
                            </w:p>
                            <w:p>
                              <w:pPr>
                                <w:spacing w:before="0" w:after="0" w:line="228" w:lineRule="auto"/>
                                <w:jc w:val="center"/>
                                <w:ind w:firstLine="0"/>
                              </w:pPr>
                              <w:r>
                                <w:rPr>
                                  <w:rFonts w:ascii="Times New Roman" w:hAnsi="Times New Roman" w:cs="Times New Roman"/>
                                  <w:color w:val="000000"/>
                                  <w:sz w:val="18"/>
                                  <w:szCs w:val="18"/>
                                </w:rPr>
                                <w:t xml:space="preserve">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Balans imitatsion</w:t>
                              </w:r>
                            </w:p>
                            <w:p>
                              <w:pPr>
                                <w:spacing w:before="0" w:after="0" w:line="228" w:lineRule="auto"/>
                                <w:jc w:val="center"/>
                                <w:ind w:firstLine="0"/>
                              </w:pPr>
                              <w:r>
                                <w:rPr>
                                  <w:rFonts w:ascii="Times New Roman" w:hAnsi="Times New Roman" w:cs="Times New Roman"/>
                                  <w:b/>
                                  <w:color w:val="FFFFFF"/>
                                  <w:sz w:val="20"/>
                                  <w:szCs w:val="20"/>
                                </w:rPr>
                                <w:t xml:space="preserve">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tanqisligi; nazorat</w:t>
                              </w:r>
                            </w:p>
                            <w:p>
                              <w:pPr>
                                <w:spacing w:before="0" w:after="0" w:line="228" w:lineRule="auto"/>
                                <w:jc w:val="center"/>
                                <w:ind w:firstLine="0"/>
                              </w:pPr>
                              <w:r>
                                <w:rPr>
                                  <w:rFonts w:ascii="Times New Roman" w:hAnsi="Times New Roman" w:cs="Times New Roman"/>
                                  <w:color w:val="000000"/>
                                  <w:sz w:val="18"/>
                                  <w:szCs w:val="18"/>
                                </w:rPr>
                                <w:t xml:space="preserve">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pPr>
                                <w:spacing w:before="0" w:after="0" w:line="228" w:lineRule="auto"/>
                                <w:jc w:val="center"/>
                                <w:ind w:firstLine="0"/>
                              </w:pPr>
                              <w:r>
                                <w:rPr>
                                  <w:rFonts w:ascii="Times New Roman" w:hAnsi="Times New Roman" w:cs="Times New Roman"/>
                                  <w:i/>
                                  <w:color w:val="000000"/>
                                  <w:sz w:val="18"/>
                                  <w:szCs w:val="18"/>
                                </w:rPr>
                                <w:t xml:space="preserve">Teskari aloqa: kredit taklifining iqtisodiyotga ta’siri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1.3.6-rasm. Nazorat stress-testining umumiy arxitekturasi</w:t>
      </w:r>
      <w:r>
        <w:rPr>
          <w:rStyle w:val="FootnoteReference"/>
        </w:rPr>
        <w:footnoteReference w:id="67"/>
      </w:r>
    </w:p>
    <w:p>
      <w:pPr>
        <w:pStyle w:val="BodyText"/>
        <w:spacing w:line="360" w:lineRule="auto" w:before="0" w:after="0"/>
        <w:ind w:firstLine="709"/>
        <w:jc w:val="both"/>
      </w:pPr>
      <w:r>
        <w:rPr>
          <w:rFonts w:ascii="Times New Roman" w:hAnsi="Times New Roman" w:cs="Times New Roman" w:eastAsia="Times New Roman"/>
          <w:sz w:val="28"/>
        </w:rPr>
        <w:t xml:space="preserve">Tizimli ahamiyatli kredit tashkilotlarini aniqlashda Rossiya banki 3737-U ko‘rsatmasiga tayanadi</w:t>
      </w:r>
      <w:r>
        <w:rPr>
          <w:rStyle w:val="FootnoteReference"/>
        </w:rPr>
        <w:footnoteReference w:id="68"/>
      </w:r>
      <w:r>
        <w:rPr>
          <w:rFonts w:ascii="Times New Roman" w:hAnsi="Times New Roman" w:cs="Times New Roman" w:eastAsia="Times New Roman"/>
          <w:sz w:val="28"/>
        </w:rPr>
        <w:t xml:space="preserve">.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FootnoteReference"/>
        </w:rPr>
        <w:footnoteReference w:id="6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FootnoteReference"/>
        </w:rPr>
        <w:footnoteReference w:id="70"/>
      </w:r>
      <w:r>
        <w:rPr>
          <w:rFonts w:ascii="Times New Roman" w:hAnsi="Times New Roman" w:cs="Times New Roman" w:eastAsia="Times New Roman"/>
          <w:sz w:val="28"/>
        </w:rP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FootnoteReference"/>
        </w:rPr>
        <w:footnoteReference w:id="71"/>
      </w:r>
      <w:r>
        <w:rPr>
          <w:rFonts w:ascii="Times New Roman" w:hAnsi="Times New Roman" w:cs="Times New Roman" w:eastAsia="Times New Roman"/>
          <w:sz w:val="28"/>
        </w:rPr>
        <w:t xml:space="preserve">. Keyinchalik, 2015-yilda kreditlarning depozitlarga nisbati bo‘yicha qat’iy cheklov qonundan chiqarilib, monitoring ko‘rsatkichiga aylantirildi</w:t>
      </w:r>
      <w:r>
        <w:rPr>
          <w:rStyle w:val="FootnoteReference"/>
        </w:rPr>
        <w:footnoteReference w:id="72"/>
      </w:r>
      <w:r>
        <w:rPr>
          <w:rFonts w:ascii="Times New Roman" w:hAnsi="Times New Roman" w:cs="Times New Roman" w:eastAsia="Times New Roman"/>
          <w:sz w:val="28"/>
        </w:rPr>
        <w:t xml:space="preserve">. Tizimli ahamiyatli banklarga yuqori kapital talablari qo‘yilgan: asosiy kapital 8,5 foiz, birinchi darajali kapital 9,5 foiz, jami kapital 11,5 foiz</w:t>
      </w:r>
      <w:r>
        <w:rPr>
          <w:rStyle w:val="FootnoteReference"/>
        </w:rPr>
        <w:footnoteReference w:id="73"/>
      </w:r>
      <w:r>
        <w:rPr>
          <w:rFonts w:ascii="Times New Roman" w:hAnsi="Times New Roman" w:cs="Times New Roman" w:eastAsia="Times New Roman"/>
          <w:sz w:val="28"/>
        </w:rPr>
        <w:t xml:space="preserve">. 2024-yil 1-yanvardan esa tijorat banklari kapitalini boshqarish bo‘yicha yangi 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FootnoteReference"/>
        </w:rPr>
        <w:footnoteReference w:id="74"/>
      </w:r>
      <w:r>
        <w:rPr>
          <w:rFonts w:ascii="Times New Roman" w:hAnsi="Times New Roman" w:cs="Times New Roman" w:eastAsia="Times New Roman"/>
          <w:sz w:val="28"/>
        </w:rPr>
        <w:t xml:space="preserve">. Bu proporsional yondashuv O‘zbekiston uchun ham e’tiborga loyiq, chunki mamlakatdagi banklar hajmi va faoliyat murakkabligi jihatidan keskin farq qiladi.</w:t>
      </w:r>
    </w:p>
    <w:p>
      <w:pPr>
        <w:pStyle w:val="BodyText"/>
        <w:spacing w:line="360" w:lineRule="auto" w:before="0" w:after="0"/>
        <w:ind w:firstLine="709"/>
        <w:jc w:val="both"/>
      </w:pPr>
      <w:r>
        <w:rPr>
          <w:rFonts w:ascii="Times New Roman" w:hAnsi="Times New Roman" w:cs="Times New Roman" w:eastAsia="Times New Roman"/>
          <w:sz w:val="28"/>
        </w:rPr>
        <w:t xml:space="preserve">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FootnoteReference"/>
        </w:rPr>
        <w:footnoteReference w:id="75"/>
      </w:r>
      <w:r>
        <w:rPr>
          <w:rFonts w:ascii="Times New Roman" w:hAnsi="Times New Roman" w:cs="Times New Roman" w:eastAsia="Times New Roman"/>
          <w:sz w:val="28"/>
        </w:rPr>
        <w:t xml:space="preserve">. XVJ esa 2016-yilda Xitoy kompaniyalariga berilgan tijorat kreditlarining 15,5 foizi «risk ostida» ekanini va ular bo‘yicha potensial yo‘qotishlar YaIMning qariyb 7 foiziga teng bo‘lishi mumkinligini baholagan</w:t>
      </w:r>
      <w:r>
        <w:rPr>
          <w:rStyle w:val="FootnoteReference"/>
        </w:rPr>
        <w:footnoteReference w:id="7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FootnoteReference"/>
        </w:rPr>
        <w:footnoteReference w:id="77"/>
      </w:r>
      <w:r>
        <w:rPr>
          <w:rFonts w:ascii="Times New Roman" w:hAnsi="Times New Roman" w:cs="Times New Roman" w:eastAsia="Times New Roman"/>
          <w:sz w:val="28"/>
        </w:rPr>
        <w:t xml:space="preserve">. Biroq ularning yonida «alohida e’tibor talab qiluvchi» kreditlar ham bor bo‘lib, ularning ulushi 2,2 foiz atrofida saqlanib kelmoqda; ikkalasi qo‘shilganda muammoli aktivlar ulushi 3,7 foizga yetadi</w:t>
      </w:r>
      <w:r>
        <w:rPr>
          <w:rStyle w:val="FootnoteReference"/>
        </w:rPr>
        <w:footnoteReference w:id="78"/>
      </w:r>
      <w:r>
        <w:rPr>
          <w:rFonts w:ascii="Times New Roman" w:hAnsi="Times New Roman" w:cs="Times New Roman" w:eastAsia="Times New Roman"/>
          <w:sz w:val="28"/>
        </w:rPr>
        <w:t xml:space="preserve">. B. Charoenwong, M. Miao va T. Ruan esa banklar muammoli kreditlarni o‘zlariga bog‘liq tomonlarga «sotib», ularning riskini amalda o‘zida qoldirayotganini aniqlagan. Mualliflar fikricha, shunday yashirin kreditlar hisobga olinsa, Xitoyda muammoli kreditlarning haqiqiy hajmi rasmiy ko‘rsatkichdan 2–3 barobar ko‘p bo‘ladi</w:t>
      </w:r>
      <w:r>
        <w:rPr>
          <w:rStyle w:val="FootnoteReference"/>
        </w:rPr>
        <w:footnoteReference w:id="79"/>
      </w:r>
      <w:r>
        <w:rPr>
          <w:rFonts w:ascii="Times New Roman" w:hAnsi="Times New Roman" w:cs="Times New Roman" w:eastAsia="Times New Roman"/>
          <w:sz w:val="28"/>
        </w:rPr>
        <w:t xml:space="preserve">. Ushbu ma’lumotlar 1.3.7-rasmda umumlashtirildi.</w:t>
      </w:r>
    </w:p>
    <w:p>
      <w:pPr>
        <w:pStyle w:val="BodyText"/>
        <w:keepNext/>
        <w:spacing w:line="240" w:lineRule="auto" w:before="0" w:after="0"/>
        <w:ind w:firstLine="0"/>
        <w:jc w:val="center"/>
      </w:pPr>
      <w:r xmlns:c="http://schemas.openxmlformats.org/drawingml/2006/chart">
        <w:rPr>
          <w:noProof/>
        </w:rPr>
        <w:drawing>
          <wp:inline distT="0" distB="0" distL="0" distR="0">
            <wp:extent cx="5580000" cy="2592000"/>
            <wp:effectExtent l="0" t="0" r="0" b="0"/>
            <wp:docPr id="1007" name="1.3.7-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1.3.7-rasm. Xitoy tijorat banklarida muammoli kreditlar ulushi: rasmiy ma’lumotlar va muqobil baholar, %</w:t>
      </w:r>
      <w:r>
        <w:rPr>
          <w:rStyle w:val="FootnoteReference"/>
        </w:rPr>
        <w:footnoteReference w:id="80"/>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FootnoteReference"/>
        </w:rPr>
        <w:footnoteReference w:id="81"/>
      </w:r>
      <w:r>
        <w:rPr>
          <w:rFonts w:ascii="Times New Roman" w:hAnsi="Times New Roman" w:cs="Times New Roman" w:eastAsia="Times New Roman"/>
          <w:sz w:val="28"/>
        </w:rPr>
        <w:t xml:space="preserve">. Bunday tafovutning sababi nimada? He Wei Ping fikricha, davlatning yashirin kafolati, ya’ni «banklar qulashidan oldin qutqariladi» degan ishonch bozor intizomini zaiflashtiradi, tartibga solish maqsadlari esa hukumatning iqtisodiy va ijtimoiy siyosatiga bo‘ysundiriladi</w:t>
      </w:r>
      <w:r>
        <w:rPr>
          <w:rStyle w:val="FootnoteReference"/>
        </w:rPr>
        <w:footnoteReference w:id="82"/>
      </w:r>
      <w:r>
        <w:rPr>
          <w:rFonts w:ascii="Times New Roman" w:hAnsi="Times New Roman" w:cs="Times New Roman" w:eastAsia="Times New Roman"/>
          <w:sz w:val="28"/>
        </w:rPr>
        <w:t xml:space="preserve">. Natijada muammoli aktivlar restrukturizatsiya qilinib, rasmiy hisobotlarda o‘z aksini topmaydi. Bu xulosa davlat ulushi yuqori bo‘lgan har qanday bank tizimi, jumladan, O‘zbekiston bank tizimi uchun ham jiddiy ogohlantirish hisoblanadi.</w:t>
      </w:r>
    </w:p>
    <w:p>
      <w:pPr>
        <w:pStyle w:val="BodyText"/>
        <w:spacing w:line="360" w:lineRule="auto" w:before="0" w:after="0"/>
        <w:ind w:firstLine="709"/>
        <w:jc w:val="both"/>
      </w:pPr>
      <w:r>
        <w:rPr>
          <w:rFonts w:ascii="Times New Roman" w:hAnsi="Times New Roman" w:cs="Times New Roman" w:eastAsia="Times New Roman"/>
          <w:sz w:val="28"/>
        </w:rPr>
        <w:t xml:space="preserve">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FootnoteReference"/>
        </w:rPr>
        <w:footnoteReference w:id="83"/>
      </w:r>
      <w:r>
        <w:rPr>
          <w:rFonts w:ascii="Times New Roman" w:hAnsi="Times New Roman" w:cs="Times New Roman" w:eastAsia="Times New Roman"/>
          <w:sz w:val="28"/>
        </w:rPr>
        <w:t xml:space="preserve">. Braziliyada Bazel III dan oldin kapital yetarliligiga talab 11 foiz bo‘lib, talab qilib olinguncha depozitlar bo‘yicha majburiy zaxira normasi 45 foizgacha yetgan</w:t>
      </w:r>
      <w:r>
        <w:rPr>
          <w:rStyle w:val="FootnoteReference"/>
        </w:rPr>
        <w:footnoteReference w:id="84"/>
      </w:r>
      <w:r>
        <w:rPr>
          <w:rFonts w:ascii="Times New Roman" w:hAnsi="Times New Roman" w:cs="Times New Roman" w:eastAsia="Times New Roman"/>
          <w:sz w:val="28"/>
        </w:rPr>
        <w:t xml:space="preserve">. Rossiyada esa BRIKS mamlakatlari orasida eng yuqori muddati o‘tgan qarzlar ulushi (8,35 foiz) qayd etilgan</w:t>
      </w:r>
      <w:r>
        <w:rPr>
          <w:rStyle w:val="FootnoteReference"/>
        </w:rPr>
        <w:footnoteReference w:id="85"/>
      </w:r>
      <w:r>
        <w:rPr>
          <w:rFonts w:ascii="Times New Roman" w:hAnsi="Times New Roman" w:cs="Times New Roman" w:eastAsia="Times New Roman"/>
          <w:sz w:val="28"/>
        </w:rPr>
        <w:t xml:space="preserve">. Bu misollar bir xil xalqaro standart turli mamlakatlarda turlicha natija berishini, shu bois uni milliy sharoitga moslashtirish muqarrar ekanini ko‘rsatadi.</w:t>
      </w:r>
    </w:p>
    <w:p>
      <w:pPr>
        <w:pStyle w:val="BodyText"/>
        <w:spacing w:line="360" w:lineRule="auto" w:before="0" w:after="0"/>
        <w:ind w:firstLine="709"/>
        <w:jc w:val="both"/>
      </w:pPr>
      <w:r>
        <w:rPr>
          <w:rFonts w:ascii="Times New Roman" w:hAnsi="Times New Roman" w:cs="Times New Roman" w:eastAsia="Times New Roman"/>
          <w:sz w:val="28"/>
        </w:rPr>
        <w:t xml:space="preserve">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Xorijiy tajriba va undan O‘zbekiston uchun kelib chiqadigan xulosalar</w:t>
      </w:r>
      <w:r>
        <w:rPr>
          <w:rStyle w:val="FootnoteReference"/>
        </w:rPr>
        <w:footnoteReference w:id="86"/>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 / tizim</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Tajriba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PCA</w:t>
            </w:r>
          </w:p>
        </w:tc>
        <w:tc>
          <w:tcPr/>
          <w:p>
            <w:pPr>
              <w:pStyle w:val="Compact"/>
              <w:spacing w:line="240" w:lineRule="auto"/>
              <w:ind w:firstLine="0"/>
              <w:jc w:val="left"/>
            </w:pPr>
            <w:r>
              <w:rPr>
                <w:rFonts w:ascii="Times New Roman" w:hAnsi="Times New Roman" w:cs="Times New Roman" w:eastAsia="Times New Roman"/>
                <w:sz w:val="22"/>
              </w:rPr>
              <w:t xml:space="preserve">Kapitalning pog‘onali chegaralari aniq nazorat choralari bilan bog‘langan</w:t>
            </w:r>
          </w:p>
        </w:tc>
        <w:tc>
          <w:tcPr/>
          <w:p>
            <w:pPr>
              <w:pStyle w:val="Compact"/>
              <w:spacing w:line="240" w:lineRule="auto"/>
              <w:ind w:firstLine="0"/>
              <w:jc w:val="left"/>
            </w:pPr>
            <w:r>
              <w:rPr>
                <w:rFonts w:ascii="Times New Roman" w:hAnsi="Times New Roman" w:cs="Times New Roman" w:eastAsia="Times New Roman"/>
                <w:sz w:val="22"/>
              </w:rPr>
              <w:t xml:space="preserve">Kapital ko‘rsatkichini ko‘p pog‘onali shkala bilan baholash va tezkor tuzatuvchi choralar tizimini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FIMS</w:t>
            </w:r>
          </w:p>
        </w:tc>
        <w:tc>
          <w:tcPr/>
          <w:p>
            <w:pPr>
              <w:pStyle w:val="Compact"/>
              <w:spacing w:line="240" w:lineRule="auto"/>
              <w:ind w:firstLine="0"/>
              <w:jc w:val="left"/>
            </w:pPr>
            <w:r>
              <w:rPr>
                <w:rFonts w:ascii="Times New Roman" w:hAnsi="Times New Roman" w:cs="Times New Roman" w:eastAsia="Times New Roman"/>
                <w:sz w:val="22"/>
              </w:rPr>
              <w:t xml:space="preserve">Statistik model reytingni va bankrotlikni bashorat qiladi, chegara birinchi tur xatosini kamaytirishga moslangan</w:t>
            </w:r>
          </w:p>
        </w:tc>
        <w:tc>
          <w:tcPr/>
          <w:p>
            <w:pPr>
              <w:pStyle w:val="Compact"/>
              <w:spacing w:line="240" w:lineRule="auto"/>
              <w:ind w:firstLine="0"/>
              <w:jc w:val="left"/>
            </w:pPr>
            <w:r>
              <w:rPr>
                <w:rFonts w:ascii="Times New Roman" w:hAnsi="Times New Roman" w:cs="Times New Roman" w:eastAsia="Times New Roman"/>
                <w:sz w:val="22"/>
              </w:rPr>
              <w:t xml:space="preserve">Baholash metodikasining bashorat kuchini statistik usullar bilan tekshirish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stress-testlar</w:t>
            </w:r>
          </w:p>
        </w:tc>
        <w:tc>
          <w:tcPr/>
          <w:p>
            <w:pPr>
              <w:pStyle w:val="Compact"/>
              <w:spacing w:line="240" w:lineRule="auto"/>
              <w:ind w:firstLine="0"/>
              <w:jc w:val="left"/>
            </w:pPr>
            <w:r>
              <w:rPr>
                <w:rFonts w:ascii="Times New Roman" w:hAnsi="Times New Roman" w:cs="Times New Roman" w:eastAsia="Times New Roman"/>
                <w:sz w:val="22"/>
              </w:rPr>
              <w:t xml:space="preserve">Natijalar ommaga e’lon qilinadi</w:t>
            </w:r>
          </w:p>
        </w:tc>
        <w:tc>
          <w:tcPr/>
          <w:p>
            <w:pPr>
              <w:pStyle w:val="Compact"/>
              <w:spacing w:line="240" w:lineRule="auto"/>
              <w:ind w:firstLine="0"/>
              <w:jc w:val="left"/>
            </w:pPr>
            <w:r>
              <w:rPr>
                <w:rFonts w:ascii="Times New Roman" w:hAnsi="Times New Roman" w:cs="Times New Roman" w:eastAsia="Times New Roman"/>
                <w:sz w:val="22"/>
              </w:rPr>
              <w:t xml:space="preserve">Stress-test natijalarini oshkor qilish orqali bozor intizomini kuchaytirish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 – BAITE, RATE</w:t>
            </w:r>
          </w:p>
        </w:tc>
        <w:tc>
          <w:tcPr/>
          <w:p>
            <w:pPr>
              <w:pStyle w:val="Compact"/>
              <w:spacing w:line="240" w:lineRule="auto"/>
              <w:ind w:firstLine="0"/>
              <w:jc w:val="left"/>
            </w:pPr>
            <w:r>
              <w:rPr>
                <w:rFonts w:ascii="Times New Roman" w:hAnsi="Times New Roman" w:cs="Times New Roman" w:eastAsia="Times New Roman"/>
                <w:sz w:val="22"/>
              </w:rPr>
              <w:t xml:space="preserve">Nazorat intensivligi risk darajasiga bog‘langan</w:t>
            </w:r>
          </w:p>
        </w:tc>
        <w:tc>
          <w:tcPr/>
          <w:p>
            <w:pPr>
              <w:pStyle w:val="Compact"/>
              <w:spacing w:line="240" w:lineRule="auto"/>
              <w:ind w:firstLine="0"/>
              <w:jc w:val="left"/>
            </w:pPr>
            <w:r>
              <w:rPr>
                <w:rFonts w:ascii="Times New Roman" w:hAnsi="Times New Roman" w:cs="Times New Roman" w:eastAsia="Times New Roman"/>
                <w:sz w:val="22"/>
              </w:rPr>
              <w:t xml:space="preserve">Baholash natijasini nazorat rejimi va tekshiruv davriyligi bilan bog‘lash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 – BAKIS</w:t>
            </w:r>
          </w:p>
        </w:tc>
        <w:tc>
          <w:tcPr/>
          <w:p>
            <w:pPr>
              <w:pStyle w:val="Compact"/>
              <w:spacing w:line="240" w:lineRule="auto"/>
              <w:ind w:firstLine="0"/>
              <w:jc w:val="left"/>
            </w:pPr>
            <w:r>
              <w:rPr>
                <w:rFonts w:ascii="Times New Roman" w:hAnsi="Times New Roman" w:cs="Times New Roman" w:eastAsia="Times New Roman"/>
                <w:sz w:val="22"/>
              </w:rPr>
              <w:t xml:space="preserve">Teng vaznlar, guruh o‘rtachasi bilan taqqoslash</w:t>
            </w:r>
          </w:p>
        </w:tc>
        <w:tc>
          <w:tcPr/>
          <w:p>
            <w:pPr>
              <w:pStyle w:val="Compact"/>
              <w:spacing w:line="240" w:lineRule="auto"/>
              <w:ind w:firstLine="0"/>
              <w:jc w:val="left"/>
            </w:pPr>
            <w:r>
              <w:rPr>
                <w:rFonts w:ascii="Times New Roman" w:hAnsi="Times New Roman" w:cs="Times New Roman" w:eastAsia="Times New Roman"/>
                <w:sz w:val="22"/>
              </w:rPr>
              <w:t xml:space="preserve">Qiyosiy (peer) baholashni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EBA KRI</w:t>
            </w:r>
          </w:p>
        </w:tc>
        <w:tc>
          <w:tcPr/>
          <w:p>
            <w:pPr>
              <w:pStyle w:val="Compact"/>
              <w:spacing w:line="240" w:lineRule="auto"/>
              <w:ind w:firstLine="0"/>
              <w:jc w:val="left"/>
            </w:pPr>
            <w:r>
              <w:rPr>
                <w:rFonts w:ascii="Times New Roman" w:hAnsi="Times New Roman" w:cs="Times New Roman" w:eastAsia="Times New Roman"/>
                <w:sz w:val="22"/>
              </w:rPr>
              <w:t xml:space="preserve">Ochiq ma’lumotlar bazasi, risklar paneli</w:t>
            </w:r>
          </w:p>
        </w:tc>
        <w:tc>
          <w:tcPr/>
          <w:p>
            <w:pPr>
              <w:pStyle w:val="Compact"/>
              <w:spacing w:line="240" w:lineRule="auto"/>
              <w:ind w:firstLine="0"/>
              <w:jc w:val="left"/>
            </w:pPr>
            <w:r>
              <w:rPr>
                <w:rFonts w:ascii="Times New Roman" w:hAnsi="Times New Roman" w:cs="Times New Roman" w:eastAsia="Times New Roman"/>
                <w:sz w:val="22"/>
              </w:rPr>
              <w:t xml:space="preserve">Banklar ko‘rsatkichlarini ochiq e’lon qilish, kredit riskiga ortiqcha urg‘u bermaslik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ESRB</w:t>
            </w:r>
          </w:p>
        </w:tc>
        <w:tc>
          <w:tcPr/>
          <w:p>
            <w:pPr>
              <w:pStyle w:val="Compact"/>
              <w:spacing w:line="240" w:lineRule="auto"/>
              <w:ind w:firstLine="0"/>
              <w:jc w:val="left"/>
            </w:pPr>
            <w:r>
              <w:rPr>
                <w:rFonts w:ascii="Times New Roman" w:hAnsi="Times New Roman" w:cs="Times New Roman" w:eastAsia="Times New Roman"/>
                <w:sz w:val="22"/>
              </w:rPr>
              <w:t xml:space="preserve">Qat’iy baza va diskretsion makroprudensial vositalar</w:t>
            </w:r>
          </w:p>
        </w:tc>
        <w:tc>
          <w:tcPr/>
          <w:p>
            <w:pPr>
              <w:pStyle w:val="Compact"/>
              <w:spacing w:line="240" w:lineRule="auto"/>
              <w:ind w:firstLine="0"/>
              <w:jc w:val="left"/>
            </w:pPr>
            <w:r>
              <w:rPr>
                <w:rFonts w:ascii="Times New Roman" w:hAnsi="Times New Roman" w:cs="Times New Roman" w:eastAsia="Times New Roman"/>
                <w:sz w:val="22"/>
              </w:rPr>
              <w:t xml:space="preserve">Mikro va makroprudensial baholashni uyg‘unlashtirish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Rossiya</w:t>
            </w:r>
          </w:p>
        </w:tc>
        <w:tc>
          <w:tcPr/>
          <w:p>
            <w:pPr>
              <w:pStyle w:val="Compact"/>
              <w:spacing w:line="240" w:lineRule="auto"/>
              <w:ind w:firstLine="0"/>
              <w:jc w:val="left"/>
            </w:pPr>
            <w:r>
              <w:rPr>
                <w:rFonts w:ascii="Times New Roman" w:hAnsi="Times New Roman" w:cs="Times New Roman" w:eastAsia="Times New Roman"/>
                <w:sz w:val="22"/>
              </w:rPr>
              <w:t xml:space="preserve">Ochiq vaznli 1–4 ballik tizim; dinamika va prognoz yo‘qligi tanqid qilingan</w:t>
            </w:r>
          </w:p>
        </w:tc>
        <w:tc>
          <w:tcPr/>
          <w:p>
            <w:pPr>
              <w:pStyle w:val="Compact"/>
              <w:spacing w:line="240" w:lineRule="auto"/>
              <w:ind w:firstLine="0"/>
              <w:jc w:val="left"/>
            </w:pPr>
            <w:r>
              <w:rPr>
                <w:rFonts w:ascii="Times New Roman" w:hAnsi="Times New Roman" w:cs="Times New Roman" w:eastAsia="Times New Roman"/>
                <w:sz w:val="22"/>
              </w:rPr>
              <w:t xml:space="preserve">Ochiq vaznli integral baholashga dinamik va prognoz elementlarini qo‘shish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Xitoy</w:t>
            </w:r>
          </w:p>
        </w:tc>
        <w:tc>
          <w:tcPr/>
          <w:p>
            <w:pPr>
              <w:pStyle w:val="Compact"/>
              <w:spacing w:line="240" w:lineRule="auto"/>
              <w:ind w:firstLine="0"/>
              <w:jc w:val="left"/>
            </w:pPr>
            <w:r>
              <w:rPr>
                <w:rFonts w:ascii="Times New Roman" w:hAnsi="Times New Roman" w:cs="Times New Roman" w:eastAsia="Times New Roman"/>
                <w:sz w:val="22"/>
              </w:rPr>
              <w:t xml:space="preserve">Rasmiy NPL bilan haqiqiy risk o‘rtasida katta tafovut</w:t>
            </w:r>
          </w:p>
        </w:tc>
        <w:tc>
          <w:tcPr/>
          <w:p>
            <w:pPr>
              <w:pStyle w:val="Compact"/>
              <w:spacing w:line="240" w:lineRule="auto"/>
              <w:ind w:firstLine="0"/>
              <w:jc w:val="left"/>
            </w:pPr>
            <w:r>
              <w:rPr>
                <w:rFonts w:ascii="Times New Roman" w:hAnsi="Times New Roman" w:cs="Times New Roman" w:eastAsia="Times New Roman"/>
                <w:sz w:val="22"/>
              </w:rPr>
              <w:t xml:space="preserve">Aktivlar sifatini MHXS 9 bo‘yicha va mustaqil baholash; davlat banklariga alohida e’tibor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xulosalarni uch asosiy yo‘nalishga birlashtirish mumkin.</w:t>
      </w:r>
    </w:p>
    <w:p>
      <w:pPr>
        <w:pStyle w:val="BodyText"/>
        <w:spacing w:line="360" w:lineRule="auto" w:before="0" w:after="0"/>
        <w:ind w:firstLine="709"/>
        <w:jc w:val="both"/>
      </w:pPr>
      <w:r>
        <w:rPr>
          <w:rFonts w:ascii="Times New Roman" w:hAnsi="Times New Roman" w:cs="Times New Roman" w:eastAsia="Times New Roman"/>
          <w:sz w:val="28"/>
        </w:rP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bo‘lsa, 2.3-paragrafda ko‘rsatilganidek, erta ogohlantirish va tezkor tuzatuvchi choralar tizimi hali shakllanish bosqichida.</w:t>
      </w:r>
    </w:p>
    <w:p>
      <w:pPr>
        <w:pStyle w:val="BodyText"/>
        <w:spacing w:line="360" w:lineRule="auto" w:before="0" w:after="0"/>
        <w:ind w:firstLine="709"/>
        <w:jc w:val="both"/>
      </w:pPr>
      <w:r>
        <w:rPr>
          <w:rFonts w:ascii="Times New Roman" w:hAnsi="Times New Roman" w:cs="Times New Roman" w:eastAsia="Times New Roman"/>
          <w:sz w:val="28"/>
        </w:rPr>
        <w:t xml:space="preserve">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Uchinchidan, rasmiy ko‘rsatkichlarning ishonchliligi masalasiga alohida e’tibor qaratish lozim. Xitoy tajribasi va AQShdagi CRA qonuni bilan bog‘liq holatlar davlat tomonidan yo‘naltirilgan kreditlash ulushi yuqori bo‘lgan tizimlarda rasmiy ko‘rsatkichlar haqiqiy riskni kamsitib ko‘rsatishi mumkinligidan dalolat beradi. Davlat banklari ulushi hamon yuqori bo‘lgan O‘zbekiston uchun bu xulosa ayniqsa muhimdir.</w:t>
      </w:r>
    </w:p>
    <w:p>
      <w:pPr>
        <w:pStyle w:val="BodyText"/>
        <w:spacing w:line="360" w:lineRule="auto" w:before="0" w:after="0"/>
        <w:ind w:firstLine="709"/>
        <w:jc w:val="both"/>
      </w:pPr>
      <w:r>
        <w:rPr>
          <w:rFonts w:ascii="Times New Roman" w:hAnsi="Times New Roman" w:cs="Times New Roman" w:eastAsia="Times New Roman"/>
          <w:sz w:val="28"/>
        </w:rPr>
        <w:t xml:space="preserve">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bookmarkEnd w:id="87"/>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Karaliyev T.M., Sayfiddinov I.F. Tijorat banklari faoliyatini tartibga solish va nazorati: darslik. – T.: Iqtisod-Moliya, 2019. – B. 195.</w:t>
      </w:r>
    </w:p>
  </w:footnote>
  <w:footnote w:id="21">
    <w:p>
      <w:pPr>
        <w:pStyle w:val="FootnoteText"/>
      </w:pPr>
      <w:r>
        <w:rPr>
          <w:rStyle w:val="FootnoteReference"/>
        </w:rPr>
        <w:footnoteRef/>
      </w:r>
      <w:r>
        <w:t xml:space="preserve"> </w:t>
      </w:r>
      <w:r>
        <w:t xml:space="preserve">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22">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О.И. Лаврушина. – М.: КНОРУС, 2014. – С. 57–61; Оценка финансовой устойчивости кредитной организации: учебник / под ред. О.И. Лаврушина, И.Д. Мамоновой. – М.: КНОРУС, 2011. – С. 92–115; Cargill T.F. The Financial System, Financial Regulation and Central Bank Policy. – Cambridge: Cambridge University Press, 2017. – P. 194–195.</w:t>
      </w:r>
    </w:p>
  </w:footnote>
  <w:footnote w:id="23">
    <w:p>
      <w:pPr>
        <w:pStyle w:val="FootnoteText"/>
      </w:pPr>
      <w:r>
        <w:rPr>
          <w:rStyle w:val="FootnoteReference"/>
        </w:rPr>
        <w:footnoteRef/>
      </w:r>
      <w:r>
        <w:t xml:space="preserve"> </w:t>
      </w:r>
      <w:r>
        <w:t xml:space="preserve">Hendrickson J.M. Regulation and Instability in U.S. Commercial Banking: A History of Crises. – Basingstoke: Palgrave Macmillan, 2011. – P. 1–2, 10–11.</w:t>
      </w:r>
    </w:p>
  </w:footnote>
  <w:footnote w:id="24">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29–31.</w:t>
      </w:r>
    </w:p>
  </w:footnote>
  <w:footnote w:id="25">
    <w:p>
      <w:pPr>
        <w:pStyle w:val="FootnoteText"/>
      </w:pPr>
      <w:r>
        <w:rPr>
          <w:rStyle w:val="FootnoteReference"/>
        </w:rPr>
        <w:footnoteRef/>
      </w:r>
      <w:r>
        <w:t xml:space="preserve"> </w:t>
      </w:r>
      <w:r>
        <w:t xml:space="preserve">Cargill T.F. The Financial System, Financial Regulation and Central Bank Policy. – Cambridge: Cambridge University Press, 2017. – P. 194–195.</w:t>
      </w:r>
    </w:p>
  </w:footnote>
  <w:footnote w:id="26">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27">
    <w:p>
      <w:pPr>
        <w:pStyle w:val="FootnoteText"/>
      </w:pPr>
      <w:r>
        <w:rPr>
          <w:rStyle w:val="FootnoteReference"/>
        </w:rPr>
        <w:footnoteRef/>
      </w:r>
      <w:r>
        <w:t xml:space="preserve"> </w:t>
      </w:r>
      <w:r>
        <w:t xml:space="preserve">Tadqiqot natijasida muallif tomonidan quyidagi manba asosida ishlab chiqildi: Cargill T.F. The Financial System, Financial Regulation and Central Bank Policy. – Cambridge: Cambridge University Press, 2017. – P. 193 (Table 9.3).</w:t>
      </w:r>
    </w:p>
  </w:footnote>
  <w:footnote w:id="28">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2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107–114.</w:t>
      </w:r>
    </w:p>
  </w:footnote>
  <w:footnote w:id="30">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112–114.</w:t>
      </w:r>
    </w:p>
  </w:footnote>
  <w:footnote w:id="31">
    <w:p>
      <w:pPr>
        <w:pStyle w:val="FootnoteText"/>
      </w:pPr>
      <w:r>
        <w:rPr>
          <w:rStyle w:val="FootnoteReference"/>
        </w:rPr>
        <w:footnoteRef/>
      </w:r>
      <w:r>
        <w:t xml:space="preserve"> </w:t>
      </w:r>
      <w:r>
        <w:t xml:space="preserve">Cargill T.F. The Financial System, Financial Regulation and Central Bank Policy. – Cambridge: Cambridge University Press, 2017. – P. 195–196.</w:t>
      </w:r>
    </w:p>
  </w:footnote>
  <w:footnote w:id="32">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33">
    <w:p>
      <w:pPr>
        <w:pStyle w:val="FootnoteText"/>
      </w:pPr>
      <w:r>
        <w:rPr>
          <w:rStyle w:val="FootnoteReference"/>
        </w:rPr>
        <w:footnoteRef/>
      </w:r>
      <w:r>
        <w:t xml:space="preserve"> </w:t>
      </w:r>
      <w:r>
        <w:t xml:space="preserve">Federal Financial Institutions Examination Council. Proposed Revisions to the Uniform Financial Institutions Rating System (CAMELS). – Washington, DC, 19 May 2026.</w:t>
      </w:r>
    </w:p>
  </w:footnote>
  <w:footnote w:id="34">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35">
    <w:p>
      <w:pPr>
        <w:pStyle w:val="FootnoteText"/>
      </w:pPr>
      <w:r>
        <w:rPr>
          <w:rStyle w:val="FootnoteReference"/>
        </w:rPr>
        <w:footnoteRef/>
      </w:r>
      <w:r>
        <w:t xml:space="preserve"> </w:t>
      </w:r>
      <w:r>
        <w:t xml:space="preserve">Board of Governors of the Federal Reserve System, Federal Deposit Insurance Corporation, Office of the Comptroller of the Currency. Regulatory capital proposals implementing the final Basel III standards. – Washington, DC, 19 March 2026.</w:t>
      </w:r>
    </w:p>
  </w:footnote>
  <w:footnote w:id="36">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3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92–104.</w:t>
      </w:r>
    </w:p>
  </w:footnote>
  <w:footnote w:id="3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60–61.</w:t>
      </w:r>
    </w:p>
  </w:footnote>
  <w:footnote w:id="39">
    <w:p>
      <w:pPr>
        <w:pStyle w:val="FootnoteText"/>
      </w:pPr>
      <w:r>
        <w:rPr>
          <w:rStyle w:val="FootnoteReference"/>
        </w:rPr>
        <w:footnoteRef/>
      </w:r>
      <w:r>
        <w:t xml:space="preserve"> </w:t>
      </w:r>
      <w:r>
        <w:t xml:space="preserve">Tadqiqot natijasida muallif tomonidan quyidagi manba asosida ishlab chiqildi: Оценка финансовой устойчивости кредитной организации: учебник / под ред. О.И. Лаврушина, И.Д. Мамоновой. – М.: КНОРУС, 2011. – С. 105–106.</w:t>
      </w:r>
    </w:p>
  </w:footnote>
  <w:footnote w:id="4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59.</w:t>
      </w:r>
    </w:p>
  </w:footnote>
  <w:footnote w:id="4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114–115.</w:t>
      </w:r>
    </w:p>
  </w:footnote>
  <w:footnote w:id="42">
    <w:p>
      <w:pPr>
        <w:pStyle w:val="FootnoteText"/>
      </w:pPr>
      <w:r>
        <w:rPr>
          <w:rStyle w:val="FootnoteReference"/>
        </w:rPr>
        <w:footnoteRef/>
      </w:r>
      <w:r>
        <w:t xml:space="preserve"> </w:t>
      </w:r>
      <w:r>
        <w:t xml:space="preserve">Karaliyev T.M., Sayfiddinov I.F. Tijorat banklari faoliyatini tartibga solish va nazorati: darslik. – T.: Iqtisod-Moliya, 2019. – B. 194–195.</w:t>
      </w:r>
    </w:p>
  </w:footnote>
  <w:footnote w:id="43">
    <w:p>
      <w:pPr>
        <w:pStyle w:val="FootnoteText"/>
      </w:pPr>
      <w:r>
        <w:rPr>
          <w:rStyle w:val="FootnoteReference"/>
        </w:rPr>
        <w:footnoteRef/>
      </w:r>
      <w:r>
        <w:t xml:space="preserve"> </w:t>
      </w:r>
      <w:r>
        <w:t xml:space="preserve">Tutino F., Brugnoni G.C., Siena M.G. Italian Banks Facing Basel 3 Higher Capital Requirements: Which Strategies Are Actually Feasible? // Bank Risk, Governance and Regulation / ed. by E. Beccalli, F. Poli. – Basingstoke: Palgrave Macmillan, 2015. – P. 212–231.</w:t>
      </w:r>
    </w:p>
  </w:footnote>
  <w:footnote w:id="44">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199.</w:t>
      </w:r>
    </w:p>
  </w:footnote>
  <w:footnote w:id="45">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184–185.</w:t>
      </w:r>
    </w:p>
  </w:footnote>
  <w:footnote w:id="46">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111.</w:t>
      </w:r>
    </w:p>
  </w:footnote>
  <w:footnote w:id="47">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112–114.</w:t>
      </w:r>
    </w:p>
  </w:footnote>
  <w:footnote w:id="48">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191–195.</w:t>
      </w:r>
    </w:p>
  </w:footnote>
  <w:footnote w:id="49">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194–196.</w:t>
      </w:r>
    </w:p>
  </w:footnote>
  <w:footnote w:id="50">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51">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52">
    <w:p>
      <w:pPr>
        <w:pStyle w:val="FootnoteText"/>
      </w:pPr>
      <w:r>
        <w:rPr>
          <w:rStyle w:val="FootnoteReference"/>
        </w:rPr>
        <w:footnoteRef/>
      </w:r>
      <w:r>
        <w:t xml:space="preserve"> </w:t>
      </w:r>
      <w:r>
        <w:t xml:space="preserve">European Banking Authority. 2025 EU-wide stress test: Results. – Paris: EBA, 1 August 2025.</w:t>
      </w:r>
    </w:p>
  </w:footnote>
  <w:footnote w:id="53">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104–106.</w:t>
      </w:r>
    </w:p>
  </w:footnote>
  <w:footnote w:id="5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55">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48–49.</w:t>
      </w:r>
    </w:p>
  </w:footnote>
  <w:footnote w:id="5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139.</w:t>
      </w:r>
    </w:p>
  </w:footnote>
  <w:footnote w:id="57">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72.</w:t>
      </w:r>
    </w:p>
  </w:footnote>
  <w:footnote w:id="58">
    <w:p>
      <w:pPr>
        <w:pStyle w:val="FootnoteText"/>
      </w:pPr>
      <w:r>
        <w:rPr>
          <w:rStyle w:val="FootnoteReference"/>
        </w:rPr>
        <w:footnoteRef/>
      </w:r>
      <w:r>
        <w:t xml:space="preserve"> </w:t>
      </w:r>
      <w:r>
        <w:t xml:space="preserve">Tadqiqot natijasida muallif tomonidan quyidagi manbalar ma’lumotlari asosida ishlab chiqildi: Basel Committee on Banking Supervision. Basel III: The Liquidity Coverage Ratio and liquidity risk monitoring tools. – Basel: BIS, 2013;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Karaliyev T.M., Sayfiddinov I.F. Tijorat banklari faoliyatini tartibga solish va nazorati: darslik. – T.: Iqtisod-Moliya, 2019. – B.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https://www.cbr.ru/press/event/?id=26840</w:t>
      </w:r>
    </w:p>
  </w:footnote>
  <w:footnote w:id="59">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77, 79–80.</w:t>
      </w:r>
    </w:p>
  </w:footnote>
  <w:footnote w:id="60">
    <w:p>
      <w:pPr>
        <w:pStyle w:val="FootnoteText"/>
      </w:pPr>
      <w:r>
        <w:rPr>
          <w:rStyle w:val="FootnoteReference"/>
        </w:rPr>
        <w:footnoteRef/>
      </w:r>
      <w:r>
        <w:t xml:space="preserve"> </w:t>
      </w:r>
      <w:r>
        <w:t xml:space="preserve">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61">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62">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63">
    <w:p>
      <w:pPr>
        <w:pStyle w:val="FootnoteText"/>
      </w:pPr>
      <w:r>
        <w:rPr>
          <w:rStyle w:val="FootnoteReference"/>
        </w:rPr>
        <w:footnoteRef/>
      </w:r>
      <w:r>
        <w:t xml:space="preserve"> </w:t>
      </w:r>
      <w:r>
        <w:t xml:space="preserve">Basel Committee on Banking Supervision. Report on the 2023 banking turmoil. – Basel: BIS, October 2023.</w:t>
      </w:r>
    </w:p>
  </w:footnote>
  <w:footnote w:id="64">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60–67.</w:t>
      </w:r>
    </w:p>
  </w:footnote>
  <w:footnote w:id="65">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47–49.</w:t>
      </w:r>
    </w:p>
  </w:footnote>
  <w:footnote w:id="66">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67">
    <w:p>
      <w:pPr>
        <w:pStyle w:val="FootnoteText"/>
      </w:pPr>
      <w:r>
        <w:rPr>
          <w:rStyle w:val="FootnoteReference"/>
        </w:rPr>
        <w:footnoteRef/>
      </w:r>
      <w:r>
        <w:t xml:space="preserve"> </w:t>
      </w:r>
      <w:r>
        <w:t xml:space="preserve">Tadqiqot natijasida muallif tomonidan quyidagi manbalar asosida ishlab chiqildi: Регулирование банковской сферы: учебник / под ред. О.Н. Афанасьевой, С.Е. Дубовой. – М.: КНОРУС. – С. 48–49; Cargill T.F. The Financial System, Financial Regulation and Central Bank Policy. – Cambridge: Cambridge University Press, 2017. – P. 195–196.</w:t>
      </w:r>
    </w:p>
  </w:footnote>
  <w:footnote w:id="68">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53.</w:t>
      </w:r>
    </w:p>
  </w:footnote>
  <w:footnote w:id="69">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143, 146.</w:t>
      </w:r>
    </w:p>
  </w:footnote>
  <w:footnote w:id="70">
    <w:p>
      <w:pPr>
        <w:pStyle w:val="FootnoteText"/>
      </w:pPr>
      <w:r>
        <w:rPr>
          <w:rStyle w:val="FootnoteReference"/>
        </w:rPr>
        <w:footnoteRef/>
      </w:r>
      <w:r>
        <w:t xml:space="preserve"> </w:t>
      </w:r>
      <w:r>
        <w:t xml:space="preserve">He Wei Ping. Banking Regulation in China: The Role of Public and Private Sectors. – New York: Palgrave Macmillan, 2014. – P. 52.</w:t>
      </w:r>
    </w:p>
  </w:footnote>
  <w:footnote w:id="71">
    <w:p>
      <w:pPr>
        <w:pStyle w:val="FootnoteText"/>
      </w:pPr>
      <w:r>
        <w:rPr>
          <w:rStyle w:val="FootnoteReference"/>
        </w:rPr>
        <w:footnoteRef/>
      </w:r>
      <w:r>
        <w:t xml:space="preserve"> </w:t>
      </w:r>
      <w:r>
        <w:t xml:space="preserve">He Wei Ping. Banking Regulation in China: The Role of Public and Private Sectors. – New York: Palgrave Macmillan, 2014. – P. 55.</w:t>
      </w:r>
    </w:p>
  </w:footnote>
  <w:footnote w:id="72">
    <w:p>
      <w:pPr>
        <w:pStyle w:val="FootnoteText"/>
      </w:pPr>
      <w:r>
        <w:rPr>
          <w:rStyle w:val="FootnoteReference"/>
        </w:rPr>
        <w:footnoteRef/>
      </w:r>
      <w:r>
        <w:t xml:space="preserve"> </w:t>
      </w:r>
      <w:r>
        <w:t xml:space="preserve">Law of the People’s Republic of China on Commercial Banks (2015 Amendment). – Beijing: Standing Committee of the National People’s Congress, 29 August 2015.</w:t>
      </w:r>
    </w:p>
  </w:footnote>
  <w:footnote w:id="7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74">
    <w:p>
      <w:pPr>
        <w:pStyle w:val="FootnoteText"/>
      </w:pPr>
      <w:r>
        <w:rPr>
          <w:rStyle w:val="FootnoteReference"/>
        </w:rPr>
        <w:footnoteRef/>
      </w:r>
      <w:r>
        <w:t xml:space="preserve"> </w:t>
      </w:r>
      <w:r>
        <w:t xml:space="preserve">National Financial Regulatory Administration. Measures for the Capital Management of Commercial Banks. – Beijing, 2023 (2024-yil 1-yanvardan kuchga kirgan).</w:t>
      </w:r>
    </w:p>
  </w:footnote>
  <w:footnote w:id="75">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76">
    <w:p>
      <w:pPr>
        <w:pStyle w:val="FootnoteText"/>
      </w:pPr>
      <w:r>
        <w:rPr>
          <w:rStyle w:val="FootnoteReference"/>
        </w:rPr>
        <w:footnoteRef/>
      </w:r>
      <w:r>
        <w:t xml:space="preserve"> </w:t>
      </w:r>
      <w:r>
        <w:t xml:space="preserve">International Monetary Fund. Global Financial Stability Report: Potent Policies for a Successful Normalization. – Washington, DC: IMF, April 2016.</w:t>
      </w:r>
    </w:p>
  </w:footnote>
  <w:footnote w:id="77">
    <w:p>
      <w:pPr>
        <w:pStyle w:val="FootnoteText"/>
      </w:pPr>
      <w:r>
        <w:rPr>
          <w:rStyle w:val="FootnoteReference"/>
        </w:rPr>
        <w:footnoteRef/>
      </w:r>
      <w:r>
        <w:t xml:space="preserve"> </w:t>
      </w:r>
      <w:r>
        <w:t xml:space="preserve">National Financial Regulatory Administration. Supervisory Statistics of the Banking and Insurance Sectors: 2023-yil IV chorak, 2024-yil IV chorak, 2025-yil III chorak. – https://www.nfra.gov.cn/en/</w:t>
      </w:r>
    </w:p>
  </w:footnote>
  <w:footnote w:id="78">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79">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80">
    <w:p>
      <w:pPr>
        <w:pStyle w:val="FootnoteText"/>
      </w:pPr>
      <w:r>
        <w:rPr>
          <w:rStyle w:val="FootnoteReference"/>
        </w:rPr>
        <w:footnoteRef/>
      </w:r>
      <w:r>
        <w:t xml:space="preserve"> </w:t>
      </w:r>
      <w:r>
        <w:t xml:space="preserve">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81">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82">
    <w:p>
      <w:pPr>
        <w:pStyle w:val="FootnoteText"/>
      </w:pPr>
      <w:r>
        <w:rPr>
          <w:rStyle w:val="FootnoteReference"/>
        </w:rPr>
        <w:footnoteRef/>
      </w:r>
      <w:r>
        <w:t xml:space="preserve"> </w:t>
      </w:r>
      <w:r>
        <w:t xml:space="preserve">He Wei Ping. Banking Regulation in China: The Role of Public and Private Sectors. – New York: Palgrave Macmillan, 2014. – P. 68, 135.</w:t>
      </w:r>
    </w:p>
  </w:footnote>
  <w:footnote w:id="8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118–124.</w:t>
      </w:r>
    </w:p>
  </w:footnote>
  <w:footnote w:id="84">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138–140.</w:t>
      </w:r>
    </w:p>
  </w:footnote>
  <w:footnote w:id="85">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134.</w:t>
      </w:r>
    </w:p>
  </w:footnote>
  <w:footnote w:id="86">
    <w:p>
      <w:pPr>
        <w:pStyle w:val="FootnoteText"/>
      </w:pPr>
      <w:r>
        <w:rPr>
          <w:rStyle w:val="FootnoteReference"/>
        </w:rPr>
        <w:footnoteRef/>
      </w:r>
      <w:r>
        <w:t xml:space="preserve"> </w:t>
      </w:r>
      <w:r>
        <w:t xml:space="preserve">Tadqiqot natijasida muallif tomonidan ishlab chiqildi.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c:v>
                </c:pt>
                <c:pt idx="2">
                  <c:v>12.2</c:v>
                </c:pt>
              </c:numCache>
            </c:numRef>
          </c:val>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74.6</c:v>
                </c:pt>
                <c:pt idx="1">
                  <c:v>17</c:v>
                </c:pt>
                <c:pt idx="2">
                  <c:v>7.4</c:v>
                </c:pt>
              </c:numCache>
            </c:numRef>
          </c:val>
        </c:ser>
        <c:gapWidth val="70"/>
        <c:axId val="111"/>
        <c:axId val="222"/>
      </c:barChart>
      <c:catAx>
        <c:axId val="111"/>
        <c:scaling>
          <c:orientation val="minMax"/>
        </c:scaling>
        <c:delete val="0"/>
        <c:axPos val="b"/>
        <c:numFmt formatCode="General" sourceLinked="0"/>
        <c:majorTickMark val="none"/>
        <c:minorTickMark val="none"/>
        <c:tickLblPos val="nextTo"/>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1F4E79"/>
                    </a:solidFill>
                    <a:latin typeface="Times New Roman"/>
                    <a:cs typeface="Times New Roman"/>
                  </a:defRPr>
                </a:pPr>
                <a:endParaRPr lang="uz-Latn-UZ"/>
              </a:p>
            </c:txPr>
            <c:dLblPos val="b"/>
            <c:showLegendKey val="0"/>
            <c:showVal val="1"/>
            <c:showCatName val="0"/>
            <c:showSerName val="0"/>
            <c:showPercent val="0"/>
            <c:showBubbleSize val="0"/>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dLbls>
          <c:xVal>
            <c:numRef>
              <c:f>Sheet1!$I$2:$I$5</c:f>
              <c:numCache>
                <c:formatCode>General</c:formatCode>
                <c:ptCount val="4"/>
                <c:pt idx="0">
                  <c:v>2024.17</c:v>
                </c:pt>
                <c:pt idx="1">
                  <c:v>2024.5</c:v>
                </c:pt>
                <c:pt idx="2">
                  <c:v>2025.5</c:v>
                </c:pt>
                <c:pt idx="3">
                  <c:v>2026</c:v>
                </c:pt>
              </c:numCache>
            </c:numRef>
          </c:xVal>
          <c:yVal>
            <c:numRef>
              <c:f>Sheet1!$J$2:$J$5</c:f>
              <c:numCache>
                <c:formatCode>General</c:formatCode>
                <c:ptCount val="4"/>
                <c:pt idx="0">
                  <c:v>40</c:v>
                </c:pt>
                <c:pt idx="1">
                  <c:v>50</c:v>
                </c:pt>
                <c:pt idx="2">
                  <c:v>60</c:v>
                </c:pt>
                <c:pt idx="3">
                  <c:v>80</c:v>
                </c:pt>
              </c:numCache>
            </c:numRef>
          </c:yVal>
          <c:smooth val="0"/>
        </c:ser>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c:v>
                </c:pt>
                <c:pt idx="1">
                  <c:v>2.22</c:v>
                </c:pt>
                <c:pt idx="2">
                  <c:v>2.2</c:v>
                </c:pt>
              </c:numCache>
            </c:numRef>
          </c:val>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3.0</c:v>
                </c:pt>
                <c:pt idx="4">
                  <c:v>4.6</c:v>
                </c:pt>
                <c:pt idx="5">
                  <c:v>15.5</c:v>
                </c:pt>
              </c:numCache>
            </c:numRef>
          </c:val>
        </c:ser>
        <c:gapWidth val="50"/>
        <c:overlap val="100"/>
        <c:axId val="111"/>
        <c:axId val="222"/>
      </c:barChart>
      <c:catAx>
        <c:axId val="111"/>
        <c:scaling>
          <c:orientation val="minMax"/>
        </c:scaling>
        <c:delete val="0"/>
        <c:axPos val="b"/>
        <c:numFmt formatCode="General" sourceLinked="0"/>
        <c:majorTickMark val="none"/>
        <c:minorTickMark val="none"/>
        <c:tickLblPos val="nextTo"/>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2026-10-10T08:01:46Z</dcterms:created>
  <dcterms:modified xsi:type="dcterms:W3CDTF">2026-10-10T08:01:46Z</dcterms:modified>
</cp:coreProperties>
</file>

<file path=docProps/custom.xml><?xml version="1.0" encoding="utf-8"?>
<Properties xmlns="http://schemas.openxmlformats.org/officeDocument/2006/custom-properties" xmlns:vt="http://schemas.openxmlformats.org/officeDocument/2006/docPropsVTypes"/>
</file>