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KITOBLAR VA ULARNING DISSERTATSIYAGA BOG‘LIQLIGI</w:t>
      </w:r>
    </w:p>
    <w:p>
      <w:pPr>
        <w:jc w:val="center"/>
      </w:pPr>
      <w:r>
        <w:rPr>
          <w:b w:val="0"/>
          <w:i/>
          <w:sz w:val="24"/>
        </w:rPr>
        <w:t>Mavzu: Tijorat banklari moliyaviy barqarorligini xalqaro standartlar asosida baholash metodologiyasini takomillashtirish</w:t>
      </w:r>
    </w:p>
    <w:p>
      <w:r>
        <w:rPr>
          <w:b/>
          <w:i w:val="0"/>
          <w:sz w:val="26"/>
        </w:rPr>
        <w:t>1-jadval. Kitoblar va paragraflar bog‘liqligi matritsasi</w:t>
      </w:r>
    </w:p>
    <w:p>
      <w:r>
        <w:rPr>
          <w:b w:val="0"/>
          <w:i/>
          <w:sz w:val="22"/>
        </w:rPr>
        <w:t>● – asosiy manba (paragraf uchun bevosita material beradi);  ○ – qo‘shimcha manba (alohida dalil, misol yoki solishtirish uchun). Paragraf raqamlari yaxlit rejaga muvofiq.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3402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081"/>
            <w:vMerge w:val="restart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081"/>
            <w:vMerge w:val="restart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Kitob</w:t>
            </w:r>
          </w:p>
        </w:tc>
        <w:tc>
          <w:tcPr>
            <w:tcW w:type="dxa" w:w="3243"/>
            <w:gridSpan w:val="3"/>
            <w:shd w:val="clear" w:color="auto" w:fill="D9E2F3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I bob</w:t>
            </w:r>
          </w:p>
        </w:tc>
        <w:tc>
          <w:tcPr>
            <w:tcW w:type="dxa" w:w="3243"/>
            <w:gridSpan w:val="3"/>
            <w:shd w:val="clear" w:color="auto" w:fill="D9E2F3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II bob</w:t>
            </w:r>
          </w:p>
        </w:tc>
        <w:tc>
          <w:tcPr>
            <w:tcW w:type="dxa" w:w="3243"/>
            <w:gridSpan w:val="3"/>
            <w:shd w:val="clear" w:color="auto" w:fill="D9E2F3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III bob</w:t>
            </w:r>
          </w:p>
        </w:tc>
        <w:tc>
          <w:tcPr>
            <w:tcW w:type="dxa" w:w="3243"/>
            <w:gridSpan w:val="3"/>
            <w:shd w:val="clear" w:color="auto" w:fill="D9E2F3"/>
            <w:shd w:val="clear" w:color="auto" w:fill="D9E2F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IV bob</w:t>
            </w:r>
          </w:p>
        </w:tc>
      </w:tr>
      <w:tr>
        <w:trPr>
          <w:tblHeader w:val="true"/>
        </w:trPr>
        <w:tc>
          <w:tcPr>
            <w:tcW w:type="dxa" w:w="1081"/>
            <w:vMerge/>
          </w:tcPr>
          <w:p/>
        </w:tc>
        <w:tc>
          <w:tcPr>
            <w:tcW w:type="dxa" w:w="1081"/>
            <w:vMerge/>
          </w:tcPr>
          <w:p/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1.1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1.2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1.3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2.1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2.2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2.3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3.1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3.2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3.3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4.1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4.2</w:t>
            </w:r>
          </w:p>
        </w:tc>
        <w:tc>
          <w:tcPr>
            <w:tcW w:type="dxa" w:w="10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4.3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Lavrushin, Mamonova (2011)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Karminskiy (2015)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Lavrushin (2014)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Sokolinskaya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Bazel III ga muvofiqlashtirish (KNORUS)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Afanasyeva, Dubova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Shatalova (2020)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Karaliyev, Sayfiddinov (2019)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Berdiyarov (2020)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Tarullo (2008)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Tian (2017)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Beccalli, Poli (2015)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Lindblom va boshq. (2014)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Chesini va boshq. (2017)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Izzi va boshq. (2012)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Langohr, Langohr (2008)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Modina (2015)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Peláez, Peláez (2009)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He Wei Ping (2014)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Hendrickson (2011)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  <w:t>Cargill (2017)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●</w:t>
            </w:r>
          </w:p>
        </w:tc>
        <w:tc>
          <w:tcPr>
            <w:tcW w:type="dxa" w:w="108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2"/>
            <w:gridSpan w:val="2"/>
          </w:tcPr>
          <w:p>
            <w:r/>
            <w:r>
              <w:rPr>
                <w:b/>
                <w:sz w:val="20"/>
              </w:rPr>
              <w:t>Jami (● / ○)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5/4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2/6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11/6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2/1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1/1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1/1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7/8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2/9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3/4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7/6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7/2</w:t>
            </w:r>
          </w:p>
        </w:tc>
        <w:tc>
          <w:tcPr>
            <w:tcW w:type="dxa" w:w="108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1/2</w:t>
            </w:r>
          </w:p>
        </w:tc>
      </w:tr>
    </w:tbl>
    <w:p>
      <w:r>
        <w:br w:type="page"/>
      </w:r>
    </w:p>
    <w:p>
      <w:r>
        <w:rPr>
          <w:b/>
          <w:i w:val="0"/>
          <w:sz w:val="26"/>
        </w:rPr>
        <w:t>2-jadval. Har bir kitobdan qaysi paragrafda nima olinadi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1134"/>
        <w:gridCol w:w="9184"/>
      </w:tblGrid>
      <w:tr>
        <w:trPr>
          <w:tblHeader w:val="true"/>
        </w:trP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Kitob (bibliografiya)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Paragraf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Nima olinadi (bet)</w:t>
            </w:r>
          </w:p>
        </w:tc>
      </w:tr>
      <w:tr>
        <w:tc>
          <w:tcPr>
            <w:tcW w:type="dxa" w:w="15136"/>
            <w:gridSpan w:val="4"/>
            <w:shd w:val="clear" w:color="auto" w:fill="F2F2F2"/>
          </w:tcPr>
          <w:p>
            <w:r/>
            <w:r>
              <w:rPr>
                <w:b/>
                <w:sz w:val="20"/>
              </w:rPr>
              <w:t>I. Rus va o‘zbek tilidagi kitoblar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Оценка финансовой устойчивости кредитной организации: учебник / под ред. О.И. Лаврушина, И.Д. Мамоновой. – М.: КНОРУС, 2011. – 304 с.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Barqarorlik va stabillik farqi (p.14–15); barqarorlik turlari (rasm 1.1, p.20); ta’rif (p.24); 10 tashqi va 9 ichki omil (p.31–41); bank va tizim farqi (p.41–45)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Baholash tizimi elementlari (p.48–52); modellar tasnifi: CAMELS, BAITE, statistik, ochiq/yopiq (p.54–57); yig‘ma baho va vaznlar sub’ektivligi (p.65–69)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CAMELS chegaralari (jadval 3.1–3.3), BAITE va risk matritsasi (jadval 3.4–3.5), FIMS natijalari, Rossiya Banki 2005-U tizimi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Rossiya Banki ballik jadvallari 4.1–4.8 (p.135–153) – 1–4 ballik shkala namunasi; «normativ = 4 ball chegarasi» tamoyili (p.151)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Erta ogohlantirish signallari, jumladan NPL &gt;5% (p.45); FIMS: 74,6% to‘g‘ri bashorat, I/II tur xatolari, chegarani 2,5 dan 2,3 ga tushirish (p.112–114)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Карминский А.М. Кредитные рейтинги и их моделирование. – М.: Изд. дом НИУ ВШЭ, 2015. – 304 с.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Masofaviy reyting modellari sharhi, Moody’s/S&amp;P/Fitch omillari (jadval 2.15, 2.20)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Kvantil ballash (p.89–91); U-shaklli ko‘rsatkichlar uchun «optimal oraliq» – chegaralarni ikki tomonlama qo‘yish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Z(ROA) va mediana-kvadrant usuli; davlat qo‘llab-quvvatlashi reytingni oshirishi (ST_DUM) – SQB, MKB tahlili uchun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Bashorat kuchini tekshirish: I/II tur xatolari, ROC/AUC, out-of-sample (75/25); indeks darajalarini xalqaro reyting shkalasiga bog‘lash (jadval 4.2)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NPL satellit modeli (VAR), stress ssenariyni tarixiy eng yomon shok bo‘yicha kalibrlash (p.240)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Устойчивость банковской системы и развитие банковской политики: монография / под ред. О.И. Лаврушина. – М.: КНОРУС, 2014. – 280 с.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«Устойчивость» va «стабильность» farqi (p.37); bank tizimi barqarorligi ta’rifi (p.38–40)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XVJ FSI ro‘yxati (jadval 2.1, p.45); G10 tizimlari (jadval 2.3); Bazel III miqdoriy chegaralari (p.183–185)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«Integral ko‘rsatkich va mezoniy qiymatlar kerak» (p.47) – indeks yangiligining asosi; kritik qiymatlar: kredit/depozit &gt;100%, NPL 10% (p.52–53)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Tizimli ahamiyatli banklar mezonlari (p.142, 146); davlat banklari samaradorligi (p.113–118)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Stress ssenariy dizayni (jadval 6.2–6.3); kontrsiklik zaxiralar (jadval 6.7)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Соколинская Н.Э. Анализ и оценка финансового состояния коммерческого банка на основе МСФО. – М.: RuScience [nashr yili tekshirilsin, ≥2018].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BM-bank: milliy hisobotda −63,7 mlrd rubl zarar, MHXS bo‘yicha +4,35 mlrd foyda (p.85–87); zaxiralar: IAS 39, milliy, MHXS 9 (jadval 3.2.6, p.94–95)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«Zaxiralar / kredit portfeli» ko‘rsatkichi, ≤8% – normal risk (p.103)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Milliy ko‘rsatkichlarni MHXS ga o‘tkazish tuzatishlari: banklararo kreditlar, ECL zaxiralari, kapital, valyuta qayta baholashi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MHXS 9 ga o‘tishda zaxiralar ~2 baravar oshib, kreditlarning 19% iga yetishi (p.108) – stress ssenariy analogi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О приведении банковского регулирования в соответствие со стандартами Базельского комитета (Базель III). – М.: КНОРУС [nashr yili tekshirilsin, ≥2017].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LCR/NSFR formulalari, HQLA darajalari, ASF/RSF koeffitsiyentlari (p.69, 93–94)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Zaxiralar–kapital korrelyatsiyasi 0,7, zaxiralar–NPL 0,24 (p.54) – aktivlar blokiga katta vazn berishni asoslash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Signal ko‘rsatkichlari: NPL qoplami (118% → 62%), (NPL − zaxira)/kapital 20,3% (p.54); kapital zaxirasi = CAR − (minimum + bufer) (p.119)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ICAAP ni bosqichma-bosqich joriy etish (p.61–67); risk asosidagi 3 nazorat rejimi (p.105)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Регулирование банковской сферы / под ред. О.Н. Афанасьевой, С.Е. Дубовой. – М.: КНОРУС [nashr yili tekshirilsin].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Makro va mikroprudensial farqi; tizimli riskning ikki o‘lchovi (jadval 1.1)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XVJ va YeMB indikatorlari; FSAP «risk xaritasi» (p.48); Rossiya Banki ball-vazn usuli (26-T)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G-SIB 12 ko‘rsatkichi va 3737-U – SQB, MKB tizimli ahamiyati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Kontrsiklik bufer formulasi va kredit/YaIM gap (p.68–70) – makro signal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Stress-test arxitekturasi: makro → NPL → balans → kapital tanqisligi (p.48–49)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Шаталова Е.П. Банковские рейтинги в системе риск-менеджмента. – 2020.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EL = PD×LGD×EAD; zaxira = EL, kapital = UL (p.12)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ACRA bank reytingi tuzilmasi (p.43–46)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Ikki bosqichli integral formula Z = Σ vazn × Σ(ko‘rsatkich vazni × ball) (p.53); ballga aylantirish diapazonlari (p.48)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Eskalatsiya chegaralari: kapital pasayishi 15/25%, muddati o‘tgan qarz 20/25/30/40% (p.178–198)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Karaliyev T.M., Sayfiddinov I.F. Tijorat banklari faoliyatini tartibga solish va nazorati: darslik. – 2019.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CAMEL(S) tarixi, xalqaro tizimlar jadvali (p.194–195)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 O‘zbekistonda 1997–1998-yildan (p.208); kamchiliklar: vaznlar va peer-taqqoslash yo‘q (p.213); LCR/NSFR bosqichlari 80→90→100% (p.185–186)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 vaznlari C 23 / A 37 / E 25 / L 15 (p.213) – blok vaznlari bilan taqqoslash; yaxlitlash qoidasi (p.211), jadval 15 (p.222)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Reyting agentliklari shkalalari (p.216, 218, 224)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Berdiyarov B.T. O‘zbekiston Respublikasi tijorat banklarining likvidliligi va to‘lov qobiliyatini ta’minlash masalalari. – T.: BMA, 2020.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XVJ ning 24 ta FSI ko‘rsatkichi (p.18–19)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Milliy normativlar: joriy likvidlik ≥30%, LCR/NSFR ≥100%, Tier 1 ≥75% (p.92–93, 106–107); davlat banklari kapitallashuvi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2014–2018-yillar bank ma’lumotlari (Asakabank, Turonbank, Aloqabank)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Likvidlik va kapital bloki chegaralari; integral indeks yo‘qligi – yangilik dalili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Ekonometrik natijalar (p.144) – solishtirish uchun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«Kapital o‘sishi va RWA o‘sishi» signali (p.25)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Faqat bitta ko‘rsatkichning ARIMA prognozi (p.146) – integral prognoz yangiligining dalili</w:t>
            </w:r>
          </w:p>
        </w:tc>
      </w:tr>
      <w:tr>
        <w:tc>
          <w:tcPr>
            <w:tcW w:type="dxa" w:w="15136"/>
            <w:gridSpan w:val="4"/>
            <w:shd w:val="clear" w:color="auto" w:fill="F2F2F2"/>
          </w:tcPr>
          <w:p>
            <w:r/>
            <w:r>
              <w:rPr>
                <w:b/>
                <w:sz w:val="20"/>
              </w:rPr>
              <w:t>II. Ingliz tilidagi kitoblar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Tarullo D.K. Banking on Basel: The Future of International Financial Regulation. – Washington, DC: Peterson Institute for International Economics, 2008. – 327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Kapitalning uch funksiyasi, «minimum ≠ optimal» tezisi (p.16–27)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CAMEL(S) kelib chiqishi; Bazel yondashuvining tanqidi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Yaponiya tajribasi: milliy hisobot kapitalni «bo‘rttirishi» (p.70–72)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Banklar minimumdan ≥30% yuqori kapital ushlashi (p.142) – yuqori ball chegarasini asoslash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Protsikliklik, TBTF banklarga yuqoriroq kapital talabi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Tian W. (ed.) Commercial Banking Risk Management: Regulation in the Wake of the Financial Crisis. – New York: Palgrave Macmillan, 2017. – 439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Bazel III arxitekturasi: CET1, CCB, CCyB, G-SIB, leverage, LCR, NSFR (p.6–16, 110–111)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CCB foydani saqlash shkalasi (p.21–22) – ballik shkala namunasi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G-SIB metodikasi asosida D-SIB indeksi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Model validatsiyasi va backtest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Kredit indeksi modeli (Vasicek/ASRF) NPL satellit modeli uchun; «model limitation buffer»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Beccalli E., Poli F. (eds.) Bank Risk, Governance and Regulation. – Basingstoke: Palgrave Macmillan, 2015.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Tutino formulasi – barqarorlashtiruvchi ROA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EBA KRI to‘rt bloki – indeks bloklarini xalqaro amaliyot bilan asoslash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Cocozza: faqat aktivlar sifatiga urg‘u berish «miyopiya» – vaznlarni asoslash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ESRB vositalari (CCyB 0–2,5%, LTD, NSFR, SIFI qo‘shimchasi)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Lindblom T., Sjögren S., Willesson M. (eds.) Governance, Regulation and Bank Stability. – Basingstoke: Palgrave Macmillan, 2014.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Thakor: sog‘lom moliya tizimining to‘rt belgisi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 va bozor indikatorlari taqqosi (p.79–81)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CR = (E + LLR − NPL)/TA – «NPL qamrovi» ko‘rsatkichi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Chiaramonte–Poli dizayni: distress ta’rifi, probit, I/II tur xatolari, ln Z-score benchmark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Chesini G., Giaretta E., Paltrinieri A. (eds.) The Business of Banking: Models, Risk and Regulation. – Cham: Palgrave Macmillan, 2017.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Biznes-modellar tipologiyasi (retail, wholesale, trading)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EBA biznes-model tahlili, peer-guruhlar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Crespi–Aliano NPL modeli spetsifikatsiyasi (GMM)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NPL migratsiya koeffitsiyenti (~0,75); stavka → NIM bog‘liqligi ssenariylar uchun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Izzi L., Oricchio G., Vitale L. Basel III Credit Rating Systems: An Applied Guide to Quantitative and Qualitative Models. – Basingstoke: Palgrave Macmillan, 2012. – 330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Miqdoriy va sifat reyting modellari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Reyting modelini validatsiya qilish: AUROC, Gini koeffitsiyenti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Langohr H., Langohr P. The Rating Agencies and Their Credit Ratings. – Chichester: John Wiley &amp; Sons, 2008. – 484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Reyting agentliklari: qanday ishlaydi, reyting shkalalari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Indeks natijalarini agentlik shkalasi bilan taqqoslash</w:t>
            </w:r>
          </w:p>
        </w:tc>
      </w:tr>
      <w:tr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Modina M. Credit Rating and Bank–Firm Relationships: New Models to Better Evaluate SMEs. – Basingstoke: Palgrave Macmillan, 2015. – 176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Bazel II/III talablari. Diqqat: IRB korrelyatsiya formulasi xato bosilgan, kontrsiklik bufer 0–2,5% oraliq (p.39–47) – BCBS asl matni bilan tekshirilsin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Peláez C.M., Peláez C.A. Regulation of Banks and Finance: Theory and Policy after the Credit Crisis. – Basingstoke: Palgrave Macmillan, 2009. – 287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Bozor nosozligi → prudensial regulyatsiya → moliyaviy barqarorlik (jadval 1.1); jamoat va xususiy manfaat nazariyalari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Diamond–Rajan: kapital «bufer» sifatida – kapital blokiga vazn berish asosi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La Porta: davlat banklari va bog‘langan kreditlar – SQB, MKB uchun qo‘shimcha qoida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Peltzman/Mingo tenglamalari – kapital o‘zgarishi panel modeli; Berger CAR↔ROE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He Wei Ping. Banking Regulation in China: The Role of Public and Private Sectors. – New York: Palgrave Macmillan, 2014. – 252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Prudensial, tizimli va xulq-atvor regulyatsiyasi tasnifi (p.36–40)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Xitoy chegaralari: L/D ≤75%, zaxira 2,5% – xalqaro qiyosiy chegara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Davlat banklari «fiskal siyosat organi» sifatida, yashirin kafolat (p.135)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Balansdan tashqari risklar – erta ogohlantirish misoli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Hendrickson J.M. Regulation and Instability in U.S. Commercial Banking: A History of Crises. – Basingstoke: Palgrave Macmillan, 2011. – 313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Moliyaviy barqarorlik ta’rifi; inqirozning 4 elementi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CRA va CAMEL ziddiyati – ijtimoiy mandatli davlat banklari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3.3-§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5 kanal (rag‘batlar, diversifikatsiya, rentabellik, tuzilma, raqobat) – o‘zgaruvchilar tanlovi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Minsky kredit kengayishi – stress ssenariy omili</w:t>
            </w:r>
          </w:p>
        </w:tc>
      </w:tr>
      <w:tr>
        <w:tc>
          <w:tcPr>
            <w:tcW w:type="dxa" w:w="378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784"/>
            <w:vMerge w:val="restart"/>
          </w:tcPr>
          <w:p>
            <w:r/>
            <w:r>
              <w:rPr>
                <w:b w:val="0"/>
                <w:sz w:val="20"/>
              </w:rPr>
              <w:t>Cargill T.F. The Financial System, Financial Regulation and Central Bank Policy. – Cambridge: Cambridge University Press, 2017. – 424 p.</w:t>
            </w:r>
          </w:p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Bilvosita moliyalash ulushi (56% va 86%) – bank-markazli tizimlar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1.3-§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CAMELS shkalasi (1–5, kompozit oddiy o‘rtacha emas)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PCA chegaralari (10 / 8 / 6 / 2%) – kapital ko‘rsatkichlari ballari uchun xalqaro analog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4.1-§ ○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Makroprudensial maqsadlar – signallar</w:t>
            </w:r>
          </w:p>
        </w:tc>
      </w:tr>
      <w:tr>
        <w:tc>
          <w:tcPr>
            <w:tcW w:type="dxa" w:w="3784"/>
            <w:vMerge/>
          </w:tcPr>
          <w:p/>
        </w:tc>
        <w:tc>
          <w:tcPr>
            <w:tcW w:type="dxa" w:w="3784"/>
            <w:vMerge/>
          </w:tcPr>
          <w:p/>
        </w:tc>
        <w:tc>
          <w:tcPr>
            <w:tcW w:type="dxa" w:w="37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4.2-§ ●</w:t>
            </w:r>
          </w:p>
        </w:tc>
        <w:tc>
          <w:tcPr>
            <w:tcW w:type="dxa" w:w="3784"/>
          </w:tcPr>
          <w:p>
            <w:r/>
            <w:r>
              <w:rPr>
                <w:b w:val="0"/>
                <w:sz w:val="20"/>
              </w:rPr>
              <w:t>Fed stress-testi dizayni (9 chorak, 3 ssenariy)</w:t>
            </w:r>
          </w:p>
        </w:tc>
      </w:tr>
    </w:tbl>
    <w:p/>
    <w:p>
      <w:r>
        <w:rPr>
          <w:b/>
          <w:i w:val="0"/>
          <w:sz w:val="26"/>
        </w:rPr>
        <w:t>Izohlar</w:t>
      </w:r>
    </w:p>
    <w:p>
      <w:pPr>
        <w:pStyle w:val="ListNumber"/>
      </w:pPr>
      <w:r>
        <w:rPr>
          <w:sz w:val="24"/>
        </w:rPr>
        <w:t>Jadval Cowork chatida tayyorlangan «Kitoblar_tahlili_2.docx» hisobotidagi (21 ta kitob) «Dissertatsiyada qo‘llash» bo‘limlari asosida tuzildi. Hisobotda paragraflar eski reja bo‘yicha raqamlangan edi, ular yaxlit rejaga o‘tkazildi: eski 1.2 → 1.3, 4.1 → 3.3, 4.2 (bashorat kuchi) → 4.1, 4.3 → 4.2, MBII-Basel signallari → 4.1, ΔMBII va davlat banklari → 3.2.</w:t>
      </w:r>
    </w:p>
    <w:p>
      <w:pPr>
        <w:pStyle w:val="ListNumber"/>
      </w:pPr>
      <w:r>
        <w:rPr>
          <w:sz w:val="24"/>
        </w:rPr>
        <w:t>Izzi, Langohr va Modina kitoblari bo‘yicha batafsil bo‘lim bu yerga to‘liq yetib kelmadi, ular umumiy mazmuniga ko‘ra joylashtirildi. «Kitoblar_tahlili_2.docx» bilan solishtirib chiqing.</w:t>
      </w:r>
    </w:p>
    <w:p>
      <w:pPr>
        <w:pStyle w:val="ListNumber"/>
      </w:pPr>
      <w:r>
        <w:rPr>
          <w:sz w:val="24"/>
        </w:rPr>
        <w:t>2.1, 2.2, 4.3-§§ uchun kitoblar kam. Bu paragraflar asosan Markaziy bank hujjatlari, statistik sharhlari, XVJ FSI bazasi va qonunchilikka tayanadi. 4.3 dagi takliflar esa oldingi boblar natijalaridan kelib chiqadi.</w:t>
      </w:r>
    </w:p>
    <w:p>
      <w:pPr>
        <w:pStyle w:val="ListNumber"/>
      </w:pPr>
      <w:r>
        <w:rPr>
          <w:sz w:val="24"/>
        </w:rPr>
        <w:t>Skan kitoblardan olingan iqtiboslar va raqamlar (Lavrushin–Mamonova, Sokolinskaya, «Bazel III», Afanasyeva–Dubova, Shatalova, Karaliyev–Sayfiddinov) kitobning o‘z sahifasi bilan tekshirilsin. Nashr yili ko‘rsatilmaganlarini kutubxona katalogidan aniqlang.</w:t>
      </w:r>
    </w:p>
    <w:p>
      <w:pPr>
        <w:pStyle w:val="ListNumber"/>
      </w:pPr>
      <w:r>
        <w:rPr>
          <w:sz w:val="24"/>
        </w:rPr>
        <w:t>Dissertatsiyalar bu jadvalga kiritilmagan: ularning tahlili shu sessiyaga yetib kelmadi.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