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kirish"/>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KIRISH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Dissertatsiya mavzusining dolzarbligi va zarurati.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FootnoteReference"/>
        </w:rPr>
        <w:footnoteReference w:id="20"/>
      </w:r>
      <w:r>
        <w:rPr>
          <w:rFonts w:ascii="Times New Roman" w:hAnsi="Times New Roman" w:cs="Times New Roman" w:eastAsia="Times New Roman"/>
          <w:sz w:val="28"/>
        </w:rPr>
        <w:t xml:space="preserve">.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FootnoteReference"/>
        </w:rPr>
        <w:footnoteReference w:id="21"/>
      </w:r>
      <w:r>
        <w:rPr>
          <w:rFonts w:ascii="Times New Roman" w:hAnsi="Times New Roman" w:cs="Times New Roman" w:eastAsia="Times New Roman"/>
          <w:sz w:val="28"/>
        </w:rPr>
        <w:t xml:space="preserve">, Yevropa Ittifoqida Bazel III ning yakuniy talablari 2025-yil 1-yanvardan kuchga kirdi</w:t>
      </w:r>
      <w:r>
        <w:rPr>
          <w:rStyle w:val="FootnoteReference"/>
        </w:rPr>
        <w:footnoteReference w:id="22"/>
      </w:r>
      <w:r>
        <w:rPr>
          <w:rFonts w:ascii="Times New Roman" w:hAnsi="Times New Roman" w:cs="Times New Roman" w:eastAsia="Times New Roman"/>
          <w:sz w:val="28"/>
        </w:rPr>
        <w:t xml:space="preserve">, Buyuk Britaniyada esa ularni joriy etish 2027-yilga ko‘chirildi</w:t>
      </w:r>
      <w:r>
        <w:rPr>
          <w:rStyle w:val="FootnoteReference"/>
        </w:rPr>
        <w:footnoteReference w:id="23"/>
      </w:r>
      <w:r>
        <w:rPr>
          <w:rFonts w:ascii="Times New Roman" w:hAnsi="Times New Roman" w:cs="Times New Roman" w:eastAsia="Times New Roman"/>
          <w:sz w:val="28"/>
        </w:rPr>
        <w:t xml:space="preserve">. Bunday sharoitda bank nazorati amaliyotida moliyaviy barqarorlikni Bazel III kapital va likvidlik standartlari, Moliyaviy hisobotning xalqaro standartlari (MHXS) 9 ning kutilayotgan kredit zararlari modeli hamda Xalqaro valyuta jamg‘armasining moliyaviy barqarorlik ko‘rsatkichlari asosida yagona tizimda baholash zarurati kuchaymoqda.</w:t>
      </w:r>
    </w:p>
    <w:p>
      <w:pPr>
        <w:pStyle w:val="BodyText"/>
        <w:spacing w:line="360" w:lineRule="auto" w:before="0" w:after="0"/>
        <w:ind w:firstLine="709"/>
        <w:jc w:val="both"/>
      </w:pPr>
      <w:r>
        <w:rPr>
          <w:rFonts w:ascii="Times New Roman" w:hAnsi="Times New Roman" w:cs="Times New Roman" w:eastAsia="Times New Roman"/>
          <w:sz w:val="28"/>
        </w:rPr>
        <w:t xml:space="preserve">Jahonda banklar moliyaviy barqarorligini baholash metodologiyasini takomillashtirishga qaratilgan ilmiy izlanishlarga alohida e’tibor qaratilmoqda. Xususan, moliyaviy barqarorlik ko‘rsatkichlarini xalqaro miqyosda taqqoslanadigan qilish</w:t>
      </w:r>
      <w:r>
        <w:rPr>
          <w:rStyle w:val="FootnoteReference"/>
        </w:rPr>
        <w:footnoteReference w:id="24"/>
      </w:r>
      <w:r>
        <w:rPr>
          <w:rFonts w:ascii="Times New Roman" w:hAnsi="Times New Roman" w:cs="Times New Roman" w:eastAsia="Times New Roman"/>
          <w:sz w:val="28"/>
        </w:rPr>
        <w:t xml:space="preserve">, bank kapitali va likvidligini tartibga solishda Bazel III talablarini milliy sharoitga moslashtirish, kredit riskini kutilayotgan zararlar asosida oldindan baholash</w:t>
      </w:r>
      <w:r>
        <w:rPr>
          <w:rStyle w:val="FootnoteReference"/>
        </w:rPr>
        <w:footnoteReference w:id="25"/>
      </w:r>
      <w:r>
        <w:rPr>
          <w:rFonts w:ascii="Times New Roman" w:hAnsi="Times New Roman" w:cs="Times New Roman" w:eastAsia="Times New Roman"/>
          <w:sz w:val="28"/>
        </w:rPr>
        <w:t xml:space="preserve">,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pPr>
        <w:pStyle w:val="BodyText"/>
        <w:spacing w:line="360" w:lineRule="auto" w:before="0" w:after="0"/>
        <w:ind w:firstLine="709"/>
        <w:jc w:val="both"/>
      </w:pPr>
      <w:r>
        <w:rPr>
          <w:rFonts w:ascii="Times New Roman" w:hAnsi="Times New Roman" w:cs="Times New Roman" w:eastAsia="Times New Roman"/>
          <w:sz w:val="28"/>
        </w:rPr>
        <w:t xml:space="preserve">O‘zbekistonda bank tizimi so‘nggi yillarda jadal o‘sdi: 2026-yil 1-yanvar holatiga tijorat banklari aktivlari 924,8 trln so‘mni tashkil etdi, ammo davlat ulushi mavjud banklarning aktivlardagi ulushi hali ham 63,5 foiz darajasida saqlanib qolmoqda</w:t>
      </w:r>
      <w:r>
        <w:rPr>
          <w:rStyle w:val="FootnoteReference"/>
        </w:rPr>
        <w:footnoteReference w:id="26"/>
      </w:r>
      <w:r>
        <w:rPr>
          <w:rFonts w:ascii="Times New Roman" w:hAnsi="Times New Roman" w:cs="Times New Roman" w:eastAsia="Times New Roman"/>
          <w:sz w:val="28"/>
        </w:rPr>
        <w:t xml:space="preserve">. Rasmiy ko‘rsatkichlar bo‘yicha bank tizimining kapital yetarliligi 18,3 foizni, muammoli kreditlar ulushi 3 foizni tashkil etgan bo‘lsa</w:t>
      </w:r>
      <w:r>
        <w:rPr>
          <w:rStyle w:val="FootnoteReference"/>
        </w:rPr>
        <w:footnoteReference w:id="27"/>
      </w:r>
      <w:r>
        <w:rPr>
          <w:rFonts w:ascii="Times New Roman" w:hAnsi="Times New Roman" w:cs="Times New Roman" w:eastAsia="Times New Roman"/>
          <w:sz w:val="28"/>
        </w:rPr>
        <w:t xml:space="preserve">, substandart va muammoli kreditlarning umumiy ulushi 2024-yilda 21 foizga yetgan</w:t>
      </w:r>
      <w:r>
        <w:rPr>
          <w:rStyle w:val="FootnoteReference"/>
        </w:rPr>
        <w:footnoteReference w:id="28"/>
      </w:r>
      <w:r>
        <w:rPr>
          <w:rFonts w:ascii="Times New Roman" w:hAnsi="Times New Roman" w:cs="Times New Roman" w:eastAsia="Times New Roman"/>
          <w:sz w:val="28"/>
        </w:rPr>
        <w:t xml:space="preserve">.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FootnoteReference"/>
        </w:rPr>
        <w:footnoteReference w:id="29"/>
      </w:r>
      <w:r>
        <w:rPr>
          <w:rFonts w:ascii="Times New Roman" w:hAnsi="Times New Roman" w:cs="Times New Roman" w:eastAsia="Times New Roman"/>
          <w:sz w:val="28"/>
        </w:rPr>
        <w:t xml:space="preserve">. Tadqiqot davomida o‘tkazilgan hisob-kitoblar ham buni tasdiqlaydi: 2025-yil yakunida «O‘zsanoatqurilishbank» ATB da milliy hisobot bo‘yicha muammoli kreditlar ulushi 2,5 foiz bo‘lgan bo‘lsa, MHXS 9 bo‘yicha qadrsizlangan kreditlar ulushi 7,5 foizni, «Mikrokreditbank» ATB da esa mos ravishda 4,4 va 12,3 foizni tashkil etgan</w:t>
      </w:r>
      <w:r>
        <w:rPr>
          <w:rStyle w:val="FootnoteReference"/>
        </w:rPr>
        <w:footnoteReference w:id="30"/>
      </w:r>
      <w:r>
        <w:rPr>
          <w:rFonts w:ascii="Times New Roman" w:hAnsi="Times New Roman" w:cs="Times New Roman" w:eastAsia="Times New Roman"/>
          <w:sz w:val="28"/>
        </w:rPr>
        <w:t xml:space="preserve">. Demak, moliyaviy barqarorlikni baholash natijasi qaysi hisobot standarti va qaysi metodika qo‘llanishiga keskin bog‘liq bo‘lib, bu baholash metodologiyasini xalqaro standartlar asosida takomillashtirishni dolzarb vazifaga aylantiradi.</w:t>
      </w:r>
    </w:p>
    <w:p>
      <w:pPr>
        <w:pStyle w:val="BodyText"/>
        <w:spacing w:line="360" w:lineRule="auto" w:before="0" w:after="0"/>
        <w:ind w:firstLine="709"/>
        <w:jc w:val="both"/>
      </w:pPr>
      <w:r>
        <w:rPr>
          <w:rFonts w:ascii="Times New Roman" w:hAnsi="Times New Roman" w:cs="Times New Roman" w:eastAsia="Times New Roman"/>
          <w:sz w:val="28"/>
        </w:rPr>
        <w:t xml:space="preserve">Bank tizimini isloh qilish strategiyasida bank nazoratini xalqaro standartlarga muvofiqlashtirish, banklar faoliyatining shaffofligini oshirish va moliyaviy barqarorlikni mustahkamlash asosiy yo‘nalishlar sifatida belgilangan</w:t>
      </w:r>
      <w:r>
        <w:rPr>
          <w:rStyle w:val="FootnoteReference"/>
        </w:rPr>
        <w:footnoteReference w:id="31"/>
      </w:r>
      <w:r>
        <w:rPr>
          <w:rFonts w:ascii="Times New Roman" w:hAnsi="Times New Roman" w:cs="Times New Roman" w:eastAsia="Times New Roman"/>
          <w:sz w:val="28"/>
        </w:rPr>
        <w:t xml:space="preserve">. 2025-yilda kapital monandligiga qo‘yiladigan talablarning yangi tahriri qabul qilinib</w:t>
      </w:r>
      <w:r>
        <w:rPr>
          <w:rStyle w:val="FootnoteReference"/>
        </w:rPr>
        <w:footnoteReference w:id="32"/>
      </w:r>
      <w:r>
        <w:rPr>
          <w:rFonts w:ascii="Times New Roman" w:hAnsi="Times New Roman" w:cs="Times New Roman" w:eastAsia="Times New Roman"/>
          <w:sz w:val="28"/>
        </w:rPr>
        <w:t xml:space="preserve">, banklarni sanatsiya qilish va tugatish tartibi qonun bilan tartibga solindi</w:t>
      </w:r>
      <w:r>
        <w:rPr>
          <w:rStyle w:val="FootnoteReference"/>
        </w:rPr>
        <w:footnoteReference w:id="33"/>
      </w:r>
      <w:r>
        <w:rPr>
          <w:rFonts w:ascii="Times New Roman" w:hAnsi="Times New Roman" w:cs="Times New Roman" w:eastAsia="Times New Roman"/>
          <w:sz w:val="28"/>
        </w:rPr>
        <w:t xml:space="preserve">, moliya sektorini baholash dasturi tavsiyalarini 2025–2028-yillarda amalga oshirish bo‘yicha yo‘l xaritasi tasdiqlandi</w:t>
      </w:r>
      <w:r>
        <w:rPr>
          <w:rStyle w:val="FootnoteReference"/>
        </w:rPr>
        <w:footnoteReference w:id="34"/>
      </w:r>
      <w:r>
        <w:rPr>
          <w:rFonts w:ascii="Times New Roman" w:hAnsi="Times New Roman" w:cs="Times New Roman" w:eastAsia="Times New Roman"/>
          <w:sz w:val="28"/>
        </w:rPr>
        <w:t xml:space="preserve">. Bu vazifalarni amalga oshirishda banklar moliyaviy barqarorligini xalqaro standartlar asosida baholashning ilmiy asoslangan metodologiyasi zarur.</w:t>
      </w:r>
    </w:p>
    <w:p>
      <w:pPr>
        <w:pStyle w:val="BodyText"/>
        <w:spacing w:line="360" w:lineRule="auto" w:before="0" w:after="0"/>
        <w:ind w:firstLine="709"/>
        <w:jc w:val="both"/>
      </w:pPr>
      <w:r>
        <w:rPr>
          <w:rFonts w:ascii="Times New Roman" w:hAnsi="Times New Roman" w:cs="Times New Roman" w:eastAsia="Times New Roman"/>
          <w:sz w:val="28"/>
        </w:rPr>
        <w:t xml:space="preserve">O‘zbekiston Respublikasining 2019-yil 11-noyabrdagi O‘RQ-582-son «O‘zbekiston Respublikasining Markaziy banki to‘g‘risida»gi, 2019-yil 5-noyabrdagi O‘RQ-580-son «Banklar va bank faoliyati to‘g‘risida»gi, 2025-yil 23-iyundagi O‘RQ-1070-son «Banklarni sanatsiya qilish va tugatish to‘g‘risida»gi qonunlari, O‘zbekiston Respublikasi Prezidentining 2020-yil 12-maydagi PF-5992-son «2020–2025-yillarga mo‘ljallangan O‘zbekiston Respublikasining bank tizimini isloh qilish strategiyasi to‘g‘risida»gi, 2022-yil 28-yanvardagi PF-60-son «2022–2026-yillarga mo‘ljallangan Yangi O‘zbekistonning taraqqiyot strategiyasi to‘g‘risida»gi, 2023-yil 11-sentabrdagi PF-158-son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O‘zbekiston – 2030</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strategiyasi to‘g‘risida»gi farmonlari, 2015-yil 6-maydagi PQ-2344-son «Tijorat banklarining moliyaviy barqarorligini yanada oshirish va ularning resurs bazasini rivojlantirish chora-tadbirlari to‘g‘risida»gi, 2017-yil 12-sentabrdagi PQ-3270-son «Respublika bank tizimini yanada rivojlantirish va barqarorligini oshirish chora-tadbirlari to‘g‘risida»gi qarorlari hamda mazkur sohaga oid boshqa me’yoriy-huquqiy hujjatlarda belgilangan vazifalarni amalga oshirishga ushbu dissertatsiya tadqiqoti muayyan darajada xizmat qiladi.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respublika fan va texnologiyalari rivojlanishining ustuvor yo‘nalishlariga mosligi.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Mazkur dissertatsiya tadqiqoti respublika fan va texnologiyalar rivojlanishining I. «Demokratik va huquqiy jamiyatni ma’naviy-axloqiy va madaniy rivojlantirish, innovatsion iqtisodiyotni shakllantirish» ustuvor yo‘nalishiga muvofiq bajarilgan.</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 mavzusi bo‘yicha xorijiy ilmiy-tadqiqotlar sharhi</w:t>
      </w:r>
      <w:r>
        <w:rPr>
          <w:rStyle w:val="FootnoteReference"/>
        </w:rPr>
        <w:footnoteReference w:id="35"/>
      </w:r>
      <w:r>
        <w:rPr>
          <w:rFonts w:ascii="Times New Roman" w:hAnsi="Times New Roman" w:cs="Times New Roman" w:eastAsia="Times New Roman"/>
          <w:sz w:val="28"/>
        </w:rPr>
        <w:t xml:space="preserve">.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baholash bo‘yicha olib borilgan izlanishlar natijasida quyidagi ilmiy natijalar olingan: banklar kapital va likvidligini tartibga solishning global standarti sifatida likvidlikni qoplash va sof barqaror moliyalashtirish me’yorlari ishlab chiqilib, kapital talablarining yakuniy tahriri qabul qilingan (Bazel qo‘mitasi)</w:t>
      </w:r>
      <w:r>
        <w:rPr>
          <w:rStyle w:val="FootnoteReference"/>
        </w:rPr>
        <w:footnoteReference w:id="36"/>
      </w:r>
      <w:r>
        <w:rPr>
          <w:rStyle w:val="FootnoteReference"/>
        </w:rPr>
        <w:footnoteReference w:id="37"/>
      </w:r>
      <w:r>
        <w:rPr>
          <w:rStyle w:val="FootnoteReference"/>
        </w:rPr>
        <w:footnoteReference w:id="38"/>
      </w:r>
      <w:r>
        <w:rPr>
          <w:rFonts w:ascii="Times New Roman" w:hAnsi="Times New Roman" w:cs="Times New Roman" w:eastAsia="Times New Roman"/>
          <w:sz w:val="28"/>
        </w:rPr>
        <w:t xml:space="preserve">; mamlakatlar o‘rtasida taqqoslanadigan 40 dan ortiq moliyaviy barqarorlik ko‘rsatkichlari va ularni hisoblash metodikasi ishlab chiqilgan (Xalqaro valyuta jamg‘armasi)</w:t>
      </w:r>
      <w:r>
        <w:rPr>
          <w:rStyle w:val="FootnoteReference"/>
        </w:rPr>
        <w:footnoteReference w:id="39"/>
      </w:r>
      <w:r>
        <w:rPr>
          <w:rFonts w:ascii="Times New Roman" w:hAnsi="Times New Roman" w:cs="Times New Roman" w:eastAsia="Times New Roman"/>
          <w:sz w:val="28"/>
        </w:rPr>
        <w:t xml:space="preserve">; kredit zararlarini yuzaga kelgandan keyin emas, balki kutilayotgan zararlar asosida uch bosqichli model bo‘yicha tan olish tamoyili joriy etilgan (Xalqaro buxgalteriya standartlari kengashi)</w:t>
      </w:r>
      <w:r>
        <w:rPr>
          <w:rStyle w:val="FootnoteReference"/>
        </w:rPr>
        <w:footnoteReference w:id="40"/>
      </w:r>
      <w:r>
        <w:rPr>
          <w:rFonts w:ascii="Times New Roman" w:hAnsi="Times New Roman" w:cs="Times New Roman" w:eastAsia="Times New Roman"/>
          <w:sz w:val="28"/>
        </w:rPr>
        <w:t xml:space="preserve">; 2023-yilgi bank inqirozlari tahlili asosida likvidlik me’yorlari va foiz riskini baholashni qayta ko‘rib chiqish zarurligi asoslangan (Bazel qo‘mitasi)</w:t>
      </w:r>
      <w:r>
        <w:rPr>
          <w:rStyle w:val="FootnoteReference"/>
        </w:rPr>
        <w:footnoteReference w:id="41"/>
      </w:r>
      <w:r>
        <w:rPr>
          <w:rFonts w:ascii="Times New Roman" w:hAnsi="Times New Roman" w:cs="Times New Roman" w:eastAsia="Times New Roman"/>
          <w:sz w:val="28"/>
        </w:rPr>
        <w:t xml:space="preserve">; yirik moliya institutlarini nazorat reytinglari tizimi va stress-testlar asosidagi kapital buferi talablari qayta ishlab chiqilgan (AQSh Federal rezerv tizimi)</w:t>
      </w:r>
      <w:r>
        <w:rPr>
          <w:rStyle w:val="FootnoteReference"/>
        </w:rPr>
        <w:footnoteReference w:id="42"/>
      </w:r>
      <w:r>
        <w:rPr>
          <w:rStyle w:val="FootnoteReference"/>
        </w:rPr>
        <w:footnoteReference w:id="43"/>
      </w:r>
      <w:r>
        <w:rPr>
          <w:rFonts w:ascii="Times New Roman" w:hAnsi="Times New Roman" w:cs="Times New Roman" w:eastAsia="Times New Roman"/>
          <w:sz w:val="28"/>
        </w:rPr>
        <w:t xml:space="preserve">; tizimli ahamiyatga ega banklar uchun milliy qisqa muddatli likvidlik me’yori va antitsiklik kapital buferi joriy etilgan (Rossiya Markaziy banki)</w:t>
      </w:r>
      <w:r>
        <w:rPr>
          <w:rStyle w:val="FootnoteReference"/>
        </w:rPr>
        <w:footnoteReference w:id="44"/>
      </w:r>
      <w:r>
        <w:rPr>
          <w:rStyle w:val="FootnoteReference"/>
        </w:rPr>
        <w:footnoteReference w:id="45"/>
      </w:r>
      <w:r>
        <w:rPr>
          <w:rFonts w:ascii="Times New Roman" w:hAnsi="Times New Roman" w:cs="Times New Roman" w:eastAsia="Times New Roman"/>
          <w:sz w:val="28"/>
        </w:rPr>
        <w:t xml:space="preserve">; tizimli bank inqirozlarining davomiyligi, fiskal xarajatlari va iqtisodiy yo‘qotishlari bo‘yicha xalqaro ma’lumotlar bazasi yaratilgan (Xalqaro valyuta jamg‘armasi)</w:t>
      </w:r>
      <w:r>
        <w:rPr>
          <w:rStyle w:val="FootnoteReference"/>
        </w:rPr>
        <w:footnoteReference w:id="46"/>
      </w:r>
      <w:r>
        <w:rPr>
          <w:rFonts w:ascii="Times New Roman" w:hAnsi="Times New Roman" w:cs="Times New Roman" w:eastAsia="Times New Roman"/>
          <w:sz w:val="28"/>
        </w:rPr>
        <w:t xml:space="preserve">; muammoli kreditlarni hisobdan chiqarish ularning rasmiy ulushini kamaytirsa-da, kredit riskini bartaraf etmasligi isbotlangan (Xitoy banklari misolida)</w:t>
      </w:r>
      <w:r>
        <w:rPr>
          <w:rStyle w:val="FootnoteReference"/>
        </w:rPr>
        <w:footnoteReference w:id="47"/>
      </w:r>
      <w:r>
        <w:rPr>
          <w:rFonts w:ascii="Times New Roman" w:hAnsi="Times New Roman" w:cs="Times New Roman" w:eastAsia="Times New Roman"/>
          <w:sz w:val="28"/>
        </w:rPr>
        <w:t xml:space="preserve">; O‘zbekiston bank tizimida muammoli kreditlarning to‘liq tan olinmasligi va davlat banklarida kapitalga qo‘shimcha ehtiyoj mavjudligi aniqlangan (Xalqaro valyuta jamg‘armasi va Jahon banki)</w:t>
      </w:r>
      <w:r>
        <w:rPr>
          <w:rStyle w:val="FootnoteReference"/>
        </w:rPr>
        <w:footnoteReference w:id="48"/>
      </w:r>
      <w:r>
        <w:rPr>
          <w:rStyle w:val="FootnoteReference"/>
        </w:rPr>
        <w:footnoteReference w:id="4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kutilayotgan kredit zararlari va prudensial aktivlar tasnifini uyg‘unlashtirish; moliyaviy barqarorlikning integral ko‘rsatkichlari va erta ogohlantirish tizimlarini ishlab chiqish; makroiqtisodiy ssenariylarga asoslangan stress-testlar va prognozlash usullarini takomillashtirish.</w:t>
      </w:r>
    </w:p>
    <w:p>
      <w:pPr>
        <w:pStyle w:val="BodyText"/>
        <w:spacing w:line="360" w:lineRule="auto" w:before="0" w:after="0"/>
        <w:ind w:firstLine="709"/>
        <w:jc w:val="both"/>
      </w:pPr>
      <w:r>
        <w:rPr>
          <w:bCs/>
          <w:rFonts w:ascii="Times New Roman" w:hAnsi="Times New Roman" w:cs="Times New Roman" w:eastAsia="Times New Roman"/>
          <w:b/>
          <w:sz w:val="28"/>
        </w:rPr>
        <w:t xml:space="preserve">Muammoning o‘rganilganlik darajasi.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Banklar moliyaviy barqarorligining nazariy asoslari va uni baholash masalalari xorijlik olimlar D.Diamond, F.Dybvig, H.Minsky, R.Merton, F.Mishkin, G.Schinasi, A.Crockett, C.Borio, T.Adrian, M.Brunnermeier, A.Thakor, L.Laeven, F.Valencia, D.Tarullo va boshqalarning ilmiy ishlarida tadqiq etilgan</w:t>
      </w:r>
      <w:r>
        <w:rPr>
          <w:rStyle w:val="FootnoteReference"/>
        </w:rPr>
        <w:footnoteReference w:id="50"/>
      </w:r>
      <w:r>
        <w:rPr>
          <w:rStyle w:val="FootnoteReference"/>
        </w:rPr>
        <w:footnoteReference w:id="51"/>
      </w:r>
      <w:r>
        <w:rPr>
          <w:rStyle w:val="FootnoteReference"/>
        </w:rPr>
        <w:footnoteReference w:id="52"/>
      </w:r>
      <w:r>
        <w:rPr>
          <w:rStyle w:val="FootnoteReference"/>
        </w:rPr>
        <w:footnoteReference w:id="53"/>
      </w:r>
      <w:r>
        <w:rPr>
          <w:rStyle w:val="FootnoteReference"/>
        </w:rPr>
        <w:footnoteReference w:id="54"/>
      </w:r>
      <w:r>
        <w:rPr>
          <w:rStyle w:val="FootnoteReference"/>
        </w:rPr>
        <w:footnoteReference w:id="55"/>
      </w:r>
      <w:r>
        <w:rPr>
          <w:rStyle w:val="FootnoteReference"/>
        </w:rPr>
        <w:footnoteReference w:id="56"/>
      </w:r>
      <w:r>
        <w:rPr>
          <w:rStyle w:val="FootnoteReference"/>
        </w:rPr>
        <w:footnoteReference w:id="57"/>
      </w:r>
      <w:r>
        <w:rPr>
          <w:rStyle w:val="FootnoteReference"/>
        </w:rPr>
        <w:footnoteReference w:id="58"/>
      </w:r>
      <w:r>
        <w:rPr>
          <w:rStyle w:val="FootnoteReference"/>
        </w:rPr>
        <w:footnoteReference w:id="59"/>
      </w:r>
      <w:r>
        <w:rPr>
          <w:rStyle w:val="FootnoteReference"/>
        </w:rPr>
        <w:footnoteReference w:id="6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MDH mamlakatlari olimlaridan O.I.Lavrushin, I.D.Mamonova, G.G.Fetisov, O.N.Afanasyeva, S.E.Dubova va boshqalarning ilmiy ishlarida banklar moliyaviy barqarorligini baholash usullari, bank tizimi barqarorligining mezonlari va bank faoliyatini tartibga solishda Bazel standartlarini qo‘llash masalalari o‘rganilgan</w:t>
      </w:r>
      <w:r>
        <w:rPr>
          <w:rStyle w:val="FootnoteReference"/>
        </w:rPr>
        <w:footnoteReference w:id="61"/>
      </w:r>
      <w:r>
        <w:rPr>
          <w:rStyle w:val="FootnoteReference"/>
        </w:rPr>
        <w:footnoteReference w:id="62"/>
      </w:r>
      <w:r>
        <w:rPr>
          <w:rStyle w:val="FootnoteReference"/>
        </w:rPr>
        <w:footnoteReference w:id="63"/>
      </w:r>
      <w:r>
        <w:rPr>
          <w:rStyle w:val="FootnoteReference"/>
        </w:rPr>
        <w:footnoteReference w:id="6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FootnoteReference"/>
        </w:rPr>
        <w:footnoteReference w:id="65"/>
      </w:r>
      <w:r>
        <w:rPr>
          <w:rFonts w:ascii="Times New Roman" w:hAnsi="Times New Roman" w:cs="Times New Roman" w:eastAsia="Times New Roman"/>
          <w:sz w:val="28"/>
        </w:rPr>
        <w:t xml:space="preserve">. Xususan, O.Sattarovning 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mustahkamlashning konseptual asoslariga bag‘ishlangan. A.Abdullayev va N.Sattorova ishlarida likvidlilikni baholash, M.Yodgorov ishida kapital barqarorligi, N.Ismatov ishida esa kredit portfeli riskini baholash masalalari tadqiq etilgan. N.Karabayev tijorat banklari reytingiga sof barqaror moliyalashtirish me’yorini kiritishni, G.Djalilov esa likvidlik me’yorlarining bank balansi dinamikasi bilan bog‘liqligini asoslagan.</w:t>
      </w:r>
    </w:p>
    <w:p>
      <w:pPr>
        <w:pStyle w:val="BodyText"/>
        <w:spacing w:line="360" w:lineRule="auto" w:before="0" w:after="0"/>
        <w:ind w:firstLine="709"/>
        <w:jc w:val="both"/>
      </w:pPr>
      <w:r>
        <w:rPr>
          <w:rFonts w:ascii="Times New Roman" w:hAnsi="Times New Roman" w:cs="Times New Roman" w:eastAsia="Times New Roman"/>
          <w:sz w:val="28"/>
        </w:rPr>
        <w:t xml:space="preserve">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 tadqiqotining dissertatsiya bajarilgan oliy ta’lim muassasasining ilmiy-tadqiqot ishlari rejalari bilan bog‘liqligi.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tadqiqoti [oliy ta’lim muassasasi nomi] ilmiy-tadqiqot ishlari rejasiga muvofiq «[ilmiy-tadqiqot mavzusi nomi]» mavzusi doirasida bajarilgan.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maqsadi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metodologiyasini takomillashtirishga qaratilgan ilmiy taklif va amaliy tavsiyalar ishlab chiqishdan iborat.</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vazifalari: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iqtisodiy mazmuni, konseptual modellari va unga oid ilmiy qarashlarni tadqiq etish hamda mualliflik ta’rifini shakllantirish;</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baholashning nazariy asoslari va metodologik yondashuvlarini tasniflash;</w:t>
      </w:r>
    </w:p>
    <w:p>
      <w:pPr>
        <w:pStyle w:val="BodyText"/>
        <w:spacing w:line="360" w:lineRule="auto" w:before="0" w:after="0"/>
        <w:ind w:firstLine="709"/>
        <w:jc w:val="both"/>
      </w:pPr>
      <w:r>
        <w:rPr>
          <w:rFonts w:ascii="Times New Roman" w:hAnsi="Times New Roman" w:cs="Times New Roman" w:eastAsia="Times New Roman"/>
          <w:sz w:val="28"/>
        </w:rPr>
        <w:t xml:space="preserve">Bazel III, MHXS 9 va Xalqaro valyuta jamg‘armasining moliyaviy barqarorlik ko‘rsatkichlarini qiyosiy tavsiflash hamda xorijiy mamlakatlar tajribasini umumlashtirish;</w:t>
      </w:r>
    </w:p>
    <w:p>
      <w:pPr>
        <w:pStyle w:val="BodyText"/>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baholashning amaldagi holatini va milliy me’yorlarning xalqaro standartlardan chetlanishlarini aniqlash;</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 va alohida tijorat banklarida moliyaviy barqarorlik ko‘rsatkichlari dinamikasini xalqaro standartlar mezonlari bo‘yicha tahlil qilish;</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ko‘rsatkichlarini milliy va MHXS hisobotlari bo‘yicha qiyosiy tahlil qilish;</w:t>
      </w:r>
    </w:p>
    <w:p>
      <w:pPr>
        <w:pStyle w:val="BodyText"/>
        <w:spacing w:line="360" w:lineRule="auto" w:before="0" w:after="0"/>
        <w:ind w:firstLine="709"/>
        <w:jc w:val="both"/>
      </w:pPr>
      <w:r>
        <w:rPr>
          <w:rFonts w:ascii="Times New Roman" w:hAnsi="Times New Roman" w:cs="Times New Roman" w:eastAsia="Times New Roman"/>
          <w:sz w:val="28"/>
        </w:rPr>
        <w:t xml:space="preserve">xalqaro standartlarga asoslangan moliyaviy barqarorlik integral indeksini ishlab chiqish va unga ta’sir etuvchi omillarni ekonometrik baholash;</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erta ogohlantirish tizimini shakllantirish va uni o‘rta muddatli istiqbolda prognozlash;</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baholash amaliyotini xalqaro standartlarga muvofiqlashtirish bo‘yicha taklif va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obyekti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sifatida O‘zbekiston Respublikasi tijorat banklari, jumladan, «O‘zsanoatqurilishbank» ATB va «Mikrokreditbank» ATB faoliyati tanlangan.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predmeti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jarayonida yuzaga keladigan iqtisodiy munosabatlar majmuidan iborat.</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usullari.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Dissertatsiyada tizimli yondashuv, qiyosiy va tarkibiy tahlil, guruhlash va umumlashtirish, koeffitsiyentlar tahlili, indeks usuli, ekonometrik modellashtirish, stress-test, ssenariyli prognozlash va ekspert baholash usullaridan foydalanildi.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ilmiy yangiligi quyidagilardan iborat:</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asoslangan («O‘zsanoatqurilishbank» ATB misolida metodika farqi 5,4 foiz punktni, hisobot farqi esa 2,7 foiz punktni tashkil etgan);</w:t>
      </w:r>
    </w:p>
    <w:p>
      <w:pPr>
        <w:pStyle w:val="BodyText"/>
        <w:spacing w:line="360" w:lineRule="auto" w:before="0" w:after="0"/>
        <w:ind w:firstLine="709"/>
        <w:jc w:val="both"/>
      </w:pPr>
      <w:r>
        <w:rPr>
          <w:rFonts w:ascii="Times New Roman" w:hAnsi="Times New Roman" w:cs="Times New Roman" w:eastAsia="Times New Roman"/>
          <w:sz w:val="28"/>
        </w:rPr>
        <w:t xml:space="preserve">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pPr>
        <w:pStyle w:val="BodyText"/>
        <w:spacing w:line="360" w:lineRule="auto" w:before="0" w:after="0"/>
        <w:ind w:firstLine="709"/>
        <w:jc w:val="both"/>
      </w:pPr>
      <w:r>
        <w:rPr>
          <w:rFonts w:ascii="Times New Roman" w:hAnsi="Times New Roman" w:cs="Times New Roman" w:eastAsia="Times New Roman"/>
          <w:sz w:val="28"/>
        </w:rPr>
        <w:t xml:space="preserve">MHXS 9 bo‘yicha qadrsizlangan kreditlar ulushining milliy hisobotdagi muammoli kreditlar ulushiga nisbati sifatida «yashirin kredit riski koeffitsiyenti»ni moliyaviy barqarorlikni baholash tizimiga kiritish va uning [__] dan yuqori qiymatini erta ogohlantirish signali sifatida belgilash taklif etilgan;</w:t>
      </w:r>
    </w:p>
    <w:p>
      <w:pPr>
        <w:pStyle w:val="BodyText"/>
        <w:spacing w:line="360" w:lineRule="auto" w:before="0" w:after="0"/>
        <w:ind w:firstLine="709"/>
        <w:jc w:val="both"/>
      </w:pPr>
      <w:r>
        <w:rPr>
          <w:rFonts w:ascii="Times New Roman" w:hAnsi="Times New Roman" w:cs="Times New Roman" w:eastAsia="Times New Roman"/>
          <w:sz w:val="28"/>
        </w:rPr>
        <w:t xml:space="preserve">Bazel III kapital va likvidlik me’yorlari, MHXS 9 bo‘yicha aktivlar sifati va Xalqaro valyuta jamg‘armasi moliyaviy barqarorlik ko‘rsatkichlarini birlashtiruvchi moliyaviy barqarorlik integral indeksi va uning chegaraviy qiymatlari ishlab chiqilgan [3-bob natijalari bo‘yicha aniqlashtiriladi];</w:t>
      </w:r>
    </w:p>
    <w:p>
      <w:pPr>
        <w:pStyle w:val="BodyText"/>
        <w:spacing w:line="360" w:lineRule="auto" w:before="0" w:after="0"/>
        <w:ind w:firstLine="709"/>
        <w:jc w:val="both"/>
      </w:pPr>
      <w:r>
        <w:rPr>
          <w:rFonts w:ascii="Times New Roman" w:hAnsi="Times New Roman" w:cs="Times New Roman" w:eastAsia="Times New Roman"/>
          <w:sz w:val="28"/>
        </w:rPr>
        <w:t xml:space="preserve">[4-bob natijalari bo‘yicha: erta ogohlantirish tizimi yoki prognoz modeli bo‘yicha ilmiy yangilik].</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amaliy natijalari quyidagilardan iborat:</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kapital, aktivlar sifati, likvidlik va daromadlilik o‘rtasidagi muvozanatni hamda xalqaro standartlarda belgilangan chegaralarga nisbatan zaxirani hisobga oluvchi mualliflik ta’rifi ishlab chiqilgan;</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tizimida moliyaviy barqarorlik ko‘rsatkichlari 2021–2025-yillar uchun Xalqaro valyuta jamg‘armasi metodikasi bo‘yicha tizimlashtirilib, rasmiy ko‘rsatkichlar kapital va likvidlik bo‘yicha xalqaro talablardan yuqori bo‘lsa-da, aktivlar sifati va moliyalashtirish tuzilmasi bo‘yicha zaif ekanligi aniqlangan;</w:t>
      </w:r>
    </w:p>
    <w:p>
      <w:pPr>
        <w:pStyle w:val="BodyText"/>
        <w:spacing w:line="360" w:lineRule="auto" w:before="0" w:after="0"/>
        <w:ind w:firstLine="709"/>
        <w:jc w:val="both"/>
      </w:pPr>
      <w:r>
        <w:rPr>
          <w:rFonts w:ascii="Times New Roman" w:hAnsi="Times New Roman" w:cs="Times New Roman" w:eastAsia="Times New Roman"/>
          <w:sz w:val="28"/>
        </w:rPr>
        <w:t xml:space="preserve">«O‘zsanoatqurilishbank» ATB va «Mikrokreditbank» ATB misolida MHXS 9 bo‘yicha qadrsizlangan kreditlar ulushi 2021–2025-yillarda rasmiy muammoli kreditlar ulushidan mos ravishda 1,6–3,0 va 2,8–3,3 barobar yuqori bo‘lgani aniqlangan;</w:t>
      </w:r>
    </w:p>
    <w:p>
      <w:pPr>
        <w:pStyle w:val="BodyText"/>
        <w:spacing w:line="360" w:lineRule="auto" w:before="0" w:after="0"/>
        <w:ind w:firstLine="709"/>
        <w:jc w:val="both"/>
      </w:pPr>
      <w:r>
        <w:rPr>
          <w:rFonts w:ascii="Times New Roman" w:hAnsi="Times New Roman" w:cs="Times New Roman" w:eastAsia="Times New Roman"/>
          <w:sz w:val="28"/>
        </w:rPr>
        <w:t xml:space="preserve">Markaziy bankning 2709-son nizomi bo‘yicha sof barqaror moliyalashtirish me’yori hisob-kitobida barqaror moliyalashtirish manbai sifatida regulyativ kapital o‘rniga xususiy kapital olinishi me’yorni [__] foiz punktga o‘zgartirishi aniqlanib, hisoblash tartibini aniqlashtirish taklif etilgan;</w:t>
      </w:r>
    </w:p>
    <w:p>
      <w:pPr>
        <w:pStyle w:val="BodyText"/>
        <w:spacing w:line="360" w:lineRule="auto" w:before="0" w:after="0"/>
        <w:ind w:firstLine="709"/>
        <w:jc w:val="both"/>
      </w:pPr>
      <w:r>
        <w:rPr>
          <w:rFonts w:ascii="Times New Roman" w:hAnsi="Times New Roman" w:cs="Times New Roman" w:eastAsia="Times New Roman"/>
          <w:sz w:val="28"/>
        </w:rPr>
        <w:t xml:space="preserve">likvidlik me’yorlari va ularning tarkibiy qismlarini Bazel III ning uchinchi ustuni talablariga muvofiq oshkor qilish tartibi taklif etilgan;</w:t>
      </w:r>
    </w:p>
    <w:p>
      <w:pPr>
        <w:pStyle w:val="BodyText"/>
        <w:spacing w:line="360" w:lineRule="auto" w:before="0" w:after="0"/>
        <w:ind w:firstLine="709"/>
        <w:jc w:val="both"/>
      </w:pPr>
      <w:r>
        <w:rPr>
          <w:rFonts w:ascii="Times New Roman" w:hAnsi="Times New Roman" w:cs="Times New Roman" w:eastAsia="Times New Roman"/>
          <w:sz w:val="28"/>
        </w:rPr>
        <w:t xml:space="preserve">[3–4-boblar natijalari bo‘yicha: integral indeks asosida banklar reytingi, erta ogohlantirish tizimi va 2026–2028-yillarga prognoz natijalari].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ishonchliligi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ilmiy va amaliy ahamiyati.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pPr>
        <w:pStyle w:val="BodyText"/>
        <w:spacing w:line="360" w:lineRule="auto" w:before="0" w:after="0"/>
        <w:ind w:firstLine="709"/>
        <w:jc w:val="both"/>
      </w:pPr>
      <w:r>
        <w:rPr>
          <w:rFonts w:ascii="Times New Roman" w:hAnsi="Times New Roman" w:cs="Times New Roman" w:eastAsia="Times New Roman"/>
          <w:sz w:val="28"/>
        </w:rPr>
        <w:t xml:space="preserve">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joriy qilinishi.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metodologiyasini takomillashtirish bo‘yicha olingan ilmiy natijalar asosida:</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me’yorini Markaziy bank va Bazel III metodikalari hamda milliy va MHXS hisobotlari bo‘yicha to‘rt variantda hisoblash va me’yorlar o‘rtasidagi farqni metodik va hisobot komponentlariga ajratish taklifi «O‘zsanoatqurilishbank» ATB amaliyotida foydalanilgan («O‘zsanoatqurilishbank» ATB ning 2026-yil 8-oktabrdagi 22156/56-son ma’lumotnomasi). Ushbu taklifning amaliyotga joriy etilishi natijasida bankda barqaror moliyalashtirish holatini milliy va xalqaro metodikalar bo‘yicha parallel baholash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likvidlikni qoplash me’yorini Bazel III ga muvofiqlashtirish maqsadida boshqa banklardagi muddatli depozitlarni yuqori likvidli aktivlar tarkibidan chiqarish va majburiyatlar bo‘yicha tabaqalashtirilgan chiqish koeffitsiyentlarini qo‘llash taklifi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«yashirin kredit riski koeffitsiyenti»ni moliyaviy barqarorlikni baholash tizimiga kiritish va uning chegaraviy qiymatini erta ogohlantirish signali sifatida belgilash taklifi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 integral indeksi va uning chegaraviy qiymatlari taklifi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aprobatsiyasi.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Tadqiqot natijalari [__] ta xalqaro va [__] ta respublika ilmiy-amaliy konferensiyalarida muhokamadan o‘tkazilgan.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e’lon qilinganligi.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Dissertatsiyaning tuzilishi va hajmi.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tarkibi kirish, to‘rtta bob, xulosa, foydalanilgan adabiyotlar ro‘yxati va ilovalardan iborat. Dissertatsiyaning hajmi [__] betni tashkil etgan.</w:t>
      </w:r>
    </w:p>
    <w:bookmarkEnd w:id="66"/>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Basel Committee on Banking Supervision. Report on the 2023 banking turmoil. – Basel: BIS, October 2023.</w:t>
      </w:r>
    </w:p>
  </w:footnote>
  <w:footnote w:id="21">
    <w:p>
      <w:pPr>
        <w:pStyle w:val="FootnoteText"/>
      </w:pPr>
      <w:r>
        <w:rPr>
          <w:rStyle w:val="FootnoteReference"/>
        </w:rPr>
        <w:footnoteRef/>
      </w:r>
      <w:r>
        <w:t xml:space="preserve"> </w:t>
      </w:r>
      <w:r>
        <w:t xml:space="preserve">European Banking Authority. 2025 EU-wide stress test: Results. – Paris: EBA, 1 August 2025.</w:t>
      </w:r>
    </w:p>
  </w:footnote>
  <w:footnote w:id="22">
    <w:p>
      <w:pPr>
        <w:pStyle w:val="FootnoteText"/>
      </w:pPr>
      <w:r>
        <w:rPr>
          <w:rStyle w:val="FootnoteReference"/>
        </w:rPr>
        <w:footnoteRef/>
      </w:r>
      <w:r>
        <w:t xml:space="preserve"> </w:t>
      </w:r>
      <w:r>
        <w:t xml:space="preserve">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23">
    <w:p>
      <w:pPr>
        <w:pStyle w:val="FootnoteText"/>
      </w:pPr>
      <w:r>
        <w:rPr>
          <w:rStyle w:val="FootnoteReference"/>
        </w:rPr>
        <w:footnoteRef/>
      </w:r>
      <w:r>
        <w:t xml:space="preserve"> </w:t>
      </w:r>
      <w:r>
        <w:t xml:space="preserve">Prudential Regulation Authority. The PRA announces a delay to the implementation of Basel 3.1: press release. – London: Bank of England, 17 January 2025.</w:t>
      </w:r>
    </w:p>
  </w:footnote>
  <w:footnote w:id="24">
    <w:p>
      <w:pPr>
        <w:pStyle w:val="FootnoteText"/>
      </w:pPr>
      <w:r>
        <w:rPr>
          <w:rStyle w:val="FootnoteReference"/>
        </w:rPr>
        <w:footnoteRef/>
      </w:r>
      <w:r>
        <w:t xml:space="preserve"> </w:t>
      </w:r>
      <w:r>
        <w:t xml:space="preserve">International Monetary Fund. Financial Soundness Indicators: Compilation Guide. – Washington, DC: IMF, 2019.</w:t>
      </w:r>
    </w:p>
  </w:footnote>
  <w:footnote w:id="25">
    <w:p>
      <w:pPr>
        <w:pStyle w:val="FootnoteText"/>
      </w:pPr>
      <w:r>
        <w:rPr>
          <w:rStyle w:val="FootnoteReference"/>
        </w:rPr>
        <w:footnoteRef/>
      </w:r>
      <w:r>
        <w:t xml:space="preserve"> </w:t>
      </w:r>
      <w:r>
        <w:t xml:space="preserve">IFRS 9 Financial Instruments. – London: International Accounting Standards Board, 2014.</w:t>
      </w:r>
    </w:p>
  </w:footnote>
  <w:footnote w:id="26">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8">
    <w:p>
      <w:pPr>
        <w:pStyle w:val="FootnoteText"/>
      </w:pPr>
      <w:r>
        <w:rPr>
          <w:rStyle w:val="FootnoteReference"/>
        </w:rPr>
        <w:footnoteRef/>
      </w:r>
      <w:r>
        <w:t xml:space="preserve"> </w:t>
      </w:r>
      <w:r>
        <w:t xml:space="preserve">The Central Bank of the Republic of Uzbekistan. Financial Stability Report for 2025. – Tashkent, 2026.</w:t>
      </w:r>
    </w:p>
  </w:footnote>
  <w:footnote w:id="29">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30">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
    <w:p>
      <w:pPr>
        <w:pStyle w:val="FootnoteText"/>
      </w:pPr>
      <w:r>
        <w:rPr>
          <w:rStyle w:val="FootnoteReference"/>
        </w:rPr>
        <w:footnoteRef/>
      </w:r>
      <w:r>
        <w:t xml:space="preserve"> </w:t>
      </w:r>
      <w:r>
        <w:t xml:space="preserve">O‘zbekiston Respublikasi Prezidentining 2020-yil 12-maydagi PF-5992-son «2020–2025-yillarga mo‘ljallangan O‘zbekiston Respublikasining bank tizimini isloh qilish strategiyasi to‘g‘risida»gi Farmoni // Qonunchilik ma’lumotlari milliy bazasi, 13.05.2020-y.</w:t>
      </w:r>
    </w:p>
  </w:footnote>
  <w:footnote w:id="32">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33">
    <w:p>
      <w:pPr>
        <w:pStyle w:val="FootnoteText"/>
      </w:pPr>
      <w:r>
        <w:rPr>
          <w:rStyle w:val="FootnoteReference"/>
        </w:rPr>
        <w:footnoteRef/>
      </w:r>
      <w:r>
        <w:t xml:space="preserve"> </w:t>
      </w:r>
      <w:r>
        <w:t xml:space="preserve">O‘zbekiston Respublikasining 2025-yil 23-iyundagi O‘RQ-1070-son «Banklarni sanatsiya qilish va tugatish to‘g‘risida»gi Qonuni // Qonunchilik ma’lumotlari milliy bazasi.</w:t>
      </w:r>
    </w:p>
  </w:footnote>
  <w:footnote w:id="34">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35">
    <w:p>
      <w:pPr>
        <w:pStyle w:val="FootnoteText"/>
      </w:pPr>
      <w:r>
        <w:rPr>
          <w:rStyle w:val="FootnoteReference"/>
        </w:rPr>
        <w:footnoteRef/>
      </w:r>
      <w:r>
        <w:t xml:space="preserve"> </w:t>
      </w:r>
      <w:r>
        <w:t xml:space="preserve">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36">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37">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38">
    <w:p>
      <w:pPr>
        <w:pStyle w:val="FootnoteText"/>
      </w:pPr>
      <w:r>
        <w:rPr>
          <w:rStyle w:val="FootnoteReference"/>
        </w:rPr>
        <w:footnoteRef/>
      </w:r>
      <w:r>
        <w:t xml:space="preserve"> </w:t>
      </w:r>
      <w:r>
        <w:t xml:space="preserve">Basel Committee on Banking Supervision. Basel III: Finalising post-crisis reforms. – Basel: BIS, December 2017.</w:t>
      </w:r>
    </w:p>
  </w:footnote>
  <w:footnote w:id="39">
    <w:p>
      <w:pPr>
        <w:pStyle w:val="FootnoteText"/>
      </w:pPr>
      <w:r>
        <w:rPr>
          <w:rStyle w:val="FootnoteReference"/>
        </w:rPr>
        <w:footnoteRef/>
      </w:r>
      <w:r>
        <w:t xml:space="preserve"> </w:t>
      </w:r>
      <w:r>
        <w:t xml:space="preserve">International Monetary Fund. Financial Soundness Indicators: Compilation Guide. – Washington, DC: IMF, 2019.</w:t>
      </w:r>
    </w:p>
  </w:footnote>
  <w:footnote w:id="40">
    <w:p>
      <w:pPr>
        <w:pStyle w:val="FootnoteText"/>
      </w:pPr>
      <w:r>
        <w:rPr>
          <w:rStyle w:val="FootnoteReference"/>
        </w:rPr>
        <w:footnoteRef/>
      </w:r>
      <w:r>
        <w:t xml:space="preserve"> </w:t>
      </w:r>
      <w:r>
        <w:t xml:space="preserve">IFRS 9 Financial Instruments. – London: International Accounting Standards Board, 2014.</w:t>
      </w:r>
    </w:p>
  </w:footnote>
  <w:footnote w:id="41">
    <w:p>
      <w:pPr>
        <w:pStyle w:val="FootnoteText"/>
      </w:pPr>
      <w:r>
        <w:rPr>
          <w:rStyle w:val="FootnoteReference"/>
        </w:rPr>
        <w:footnoteRef/>
      </w:r>
      <w:r>
        <w:t xml:space="preserve"> </w:t>
      </w:r>
      <w:r>
        <w:t xml:space="preserve">Basel Committee on Banking Supervision. Report on the 2023 banking turmoil. – Basel: BIS, October 2023.</w:t>
      </w:r>
    </w:p>
  </w:footnote>
  <w:footnote w:id="42">
    <w:p>
      <w:pPr>
        <w:pStyle w:val="FootnoteText"/>
      </w:pPr>
      <w:r>
        <w:rPr>
          <w:rStyle w:val="FootnoteReference"/>
        </w:rPr>
        <w:footnoteRef/>
      </w:r>
      <w:r>
        <w:t xml:space="preserve"> </w:t>
      </w:r>
      <w:r>
        <w:t xml:space="preserve">Board of Governors of the Federal Reserve System. Revisions to the Large Financial Institution Rating System and Framework for the Supervision of Insurance Organizations // Federal Register. – 2025. – 17 November.</w:t>
      </w:r>
    </w:p>
  </w:footnote>
  <w:footnote w:id="43">
    <w:p>
      <w:pPr>
        <w:pStyle w:val="FootnoteText"/>
      </w:pPr>
      <w:r>
        <w:rPr>
          <w:rStyle w:val="FootnoteReference"/>
        </w:rPr>
        <w:footnoteRef/>
      </w:r>
      <w:r>
        <w:t xml:space="preserve"> </w:t>
      </w:r>
      <w:r>
        <w:t xml:space="preserve">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44">
    <w:p>
      <w:pPr>
        <w:pStyle w:val="FootnoteText"/>
      </w:pPr>
      <w:r>
        <w:rPr>
          <w:rStyle w:val="FootnoteReference"/>
        </w:rPr>
        <w:footnoteRef/>
      </w:r>
      <w:r>
        <w:t xml:space="preserve"> </w:t>
      </w:r>
      <w:r>
        <w:t xml:space="preserve">Национальный норматив краткосрочной ликвидности для СЗКО: порядок расчета: информация Банка России от 12 августа 2025 г. – https://www.cbr.ru/press/event/?id=26840</w:t>
      </w:r>
    </w:p>
  </w:footnote>
  <w:footnote w:id="45">
    <w:p>
      <w:pPr>
        <w:pStyle w:val="FootnoteText"/>
      </w:pPr>
      <w:r>
        <w:rPr>
          <w:rStyle w:val="FootnoteReference"/>
        </w:rPr>
        <w:footnoteRef/>
      </w:r>
      <w:r>
        <w:t xml:space="preserve"> </w:t>
      </w:r>
      <w:r>
        <w:t xml:space="preserve">Банк России. Национальная антициклическая надбавка: решение Совета директоров от 8 ноября 2024 г. – https://www.cbr.ru/finstab/instruments/ccb/</w:t>
      </w:r>
    </w:p>
  </w:footnote>
  <w:footnote w:id="46">
    <w:p>
      <w:pPr>
        <w:pStyle w:val="FootnoteText"/>
      </w:pPr>
      <w:r>
        <w:rPr>
          <w:rStyle w:val="FootnoteReference"/>
        </w:rPr>
        <w:footnoteRef/>
      </w:r>
      <w:r>
        <w:t xml:space="preserve"> </w:t>
      </w:r>
      <w:r>
        <w:t xml:space="preserve">Laeven L., Valencia F. Systemic Banking Crises Database II // IMF Economic Review. – 2020. – Vol. 68, No. 2. – P. 307–361.</w:t>
      </w:r>
    </w:p>
  </w:footnote>
  <w:footnote w:id="47">
    <w:p>
      <w:pPr>
        <w:pStyle w:val="FootnoteText"/>
      </w:pPr>
      <w:r>
        <w:rPr>
          <w:rStyle w:val="FootnoteReference"/>
        </w:rPr>
        <w:footnoteRef/>
      </w:r>
      <w:r>
        <w:t xml:space="preserve"> </w:t>
      </w:r>
      <w:r>
        <w:t xml:space="preserve">Charoenwong B., Miao M., Ruan T. Nonperforming Loan Disposals Without Resolution // Management Science. – 2025. – Vol. 71, No. 1. – P. 898–916.</w:t>
      </w:r>
    </w:p>
  </w:footnote>
  <w:footnote w:id="48">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49">
    <w:p>
      <w:pPr>
        <w:pStyle w:val="FootnoteText"/>
      </w:pPr>
      <w:r>
        <w:rPr>
          <w:rStyle w:val="FootnoteReference"/>
        </w:rPr>
        <w:footnoteRef/>
      </w:r>
      <w:r>
        <w:t xml:space="preserve"> </w:t>
      </w:r>
      <w:r>
        <w:t xml:space="preserve">World Bank. Republic of Uzbekistan: Financial Sector Assessment. – Washington, DC: World Bank, 2025.</w:t>
      </w:r>
    </w:p>
  </w:footnote>
  <w:footnote w:id="50">
    <w:p>
      <w:pPr>
        <w:pStyle w:val="FootnoteText"/>
      </w:pPr>
      <w:r>
        <w:rPr>
          <w:rStyle w:val="FootnoteReference"/>
        </w:rPr>
        <w:footnoteRef/>
      </w:r>
      <w:r>
        <w:t xml:space="preserve"> </w:t>
      </w:r>
      <w:r>
        <w:t xml:space="preserve">Diamond D.W., Dybvig P.H. Bank Runs, Deposit Insurance, and Liquidity // Journal of Political Economy. – 1983. – Vol. 91, No. 3. – P. 401–419.</w:t>
      </w:r>
    </w:p>
  </w:footnote>
  <w:footnote w:id="51">
    <w:p>
      <w:pPr>
        <w:pStyle w:val="FootnoteText"/>
      </w:pPr>
      <w:r>
        <w:rPr>
          <w:rStyle w:val="FootnoteReference"/>
        </w:rPr>
        <w:footnoteRef/>
      </w:r>
      <w:r>
        <w:t xml:space="preserve"> </w:t>
      </w:r>
      <w:r>
        <w:t xml:space="preserve">Minsky H.P. The Financial Instability Hypothesis: Working Paper No. 74. – Annandale-on-Hudson: The Jerome Levy Economics Institute of Bard College, 1992. – 10 p.</w:t>
      </w:r>
    </w:p>
  </w:footnote>
  <w:footnote w:id="52">
    <w:p>
      <w:pPr>
        <w:pStyle w:val="FootnoteText"/>
      </w:pPr>
      <w:r>
        <w:rPr>
          <w:rStyle w:val="FootnoteReference"/>
        </w:rPr>
        <w:footnoteRef/>
      </w:r>
      <w:r>
        <w:t xml:space="preserve"> </w:t>
      </w:r>
      <w:r>
        <w:t xml:space="preserve">Merton R.C. On the Pricing of Corporate Debt: The Risk Structure of Interest Rates // Journal of Finance. – 1974. – Vol. 29, No. 2. – P. 449–470.</w:t>
      </w:r>
    </w:p>
  </w:footnote>
  <w:footnote w:id="53">
    <w:p>
      <w:pPr>
        <w:pStyle w:val="FootnoteText"/>
      </w:pPr>
      <w:r>
        <w:rPr>
          <w:rStyle w:val="FootnoteReference"/>
        </w:rPr>
        <w:footnoteRef/>
      </w:r>
      <w:r>
        <w:t xml:space="preserve"> </w:t>
      </w:r>
      <w:r>
        <w:t xml:space="preserve">Mishkin F.S. Global Financial Instability: Framework, Events, Issues // Journal of Economic Perspectives. – 1999. – Vol. 13, No. 4. – P. 3–20.</w:t>
      </w:r>
    </w:p>
  </w:footnote>
  <w:footnote w:id="54">
    <w:p>
      <w:pPr>
        <w:pStyle w:val="FootnoteText"/>
      </w:pPr>
      <w:r>
        <w:rPr>
          <w:rStyle w:val="FootnoteReference"/>
        </w:rPr>
        <w:footnoteRef/>
      </w:r>
      <w:r>
        <w:t xml:space="preserve"> </w:t>
      </w:r>
      <w:r>
        <w:t xml:space="preserve">Schinasi G.J. Defining Financial Stability: IMF Working Paper WP/04/187. – Washington, DC: International Monetary Fund, 2004. – 18 p.</w:t>
      </w:r>
    </w:p>
  </w:footnote>
  <w:footnote w:id="55">
    <w:p>
      <w:pPr>
        <w:pStyle w:val="FootnoteText"/>
      </w:pPr>
      <w:r>
        <w:rPr>
          <w:rStyle w:val="FootnoteReference"/>
        </w:rPr>
        <w:footnoteRef/>
      </w:r>
      <w:r>
        <w:t xml:space="preserve"> </w:t>
      </w:r>
      <w:r>
        <w:t xml:space="preserve">Crockett A. Why Is Financial Stability a Goal of Public Policy? // Maintaining Financial Stability in a Global Economy. – Kansas City: Federal Reserve Bank of Kansas City, 1997. – P. 7–36.</w:t>
      </w:r>
    </w:p>
  </w:footnote>
  <w:footnote w:id="56">
    <w:p>
      <w:pPr>
        <w:pStyle w:val="FootnoteText"/>
      </w:pPr>
      <w:r>
        <w:rPr>
          <w:rStyle w:val="FootnoteReference"/>
        </w:rPr>
        <w:footnoteRef/>
      </w:r>
      <w:r>
        <w:t xml:space="preserve"> </w:t>
      </w:r>
      <w:r>
        <w:t xml:space="preserve">Borio C. Towards a Macroprudential Framework for Financial Supervision and Regulation?: BIS Working Papers No. 128. – Basel: Bank for International Settlements, 2003. – 32 p.</w:t>
      </w:r>
    </w:p>
  </w:footnote>
  <w:footnote w:id="57">
    <w:p>
      <w:pPr>
        <w:pStyle w:val="FootnoteText"/>
      </w:pPr>
      <w:r>
        <w:rPr>
          <w:rStyle w:val="FootnoteReference"/>
        </w:rPr>
        <w:footnoteRef/>
      </w:r>
      <w:r>
        <w:t xml:space="preserve"> </w:t>
      </w:r>
      <w:r>
        <w:t xml:space="preserve">Adrian T., Brunnermeier M.K. CoVaR // American Economic Review. – 2016. – Vol. 106, No. 7. – P. 1705–1741.</w:t>
      </w:r>
    </w:p>
  </w:footnote>
  <w:footnote w:id="58">
    <w:p>
      <w:pPr>
        <w:pStyle w:val="FootnoteText"/>
      </w:pPr>
      <w:r>
        <w:rPr>
          <w:rStyle w:val="FootnoteReference"/>
        </w:rPr>
        <w:footnoteRef/>
      </w:r>
      <w:r>
        <w:t xml:space="preserve"> </w:t>
      </w:r>
      <w:r>
        <w:t xml:space="preserve">Thakor A.V. Leverage, System Risk and Financial System Health: How Do We Develop a Healthy Financial System? // Governance, Regulation and Bank Stability / ed. by T. Lindblom, S. Sjögren, M. Willesson. – Basingstoke: Palgrave Macmillan, 2014.</w:t>
      </w:r>
    </w:p>
  </w:footnote>
  <w:footnote w:id="59">
    <w:p>
      <w:pPr>
        <w:pStyle w:val="FootnoteText"/>
      </w:pPr>
      <w:r>
        <w:rPr>
          <w:rStyle w:val="FootnoteReference"/>
        </w:rPr>
        <w:footnoteRef/>
      </w:r>
      <w:r>
        <w:t xml:space="preserve"> </w:t>
      </w:r>
      <w:r>
        <w:t xml:space="preserve">Laeven L., Valencia F. Systemic Banking Crises Database II // IMF Economic Review. – 2020. – Vol. 68, No. 2. – P. 307–361.</w:t>
      </w:r>
    </w:p>
  </w:footnote>
  <w:footnote w:id="60">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w:t>
      </w:r>
    </w:p>
  </w:footnote>
  <w:footnote w:id="6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w:t>
      </w:r>
    </w:p>
  </w:footnote>
  <w:footnote w:id="62">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w:t>
      </w:r>
    </w:p>
  </w:footnote>
  <w:footnote w:id="63">
    <w:p>
      <w:pPr>
        <w:pStyle w:val="FootnoteText"/>
      </w:pPr>
      <w:r>
        <w:rPr>
          <w:rStyle w:val="FootnoteReference"/>
        </w:rPr>
        <w:footnoteRef/>
      </w:r>
      <w:r>
        <w:t xml:space="preserve"> </w:t>
      </w:r>
      <w:r>
        <w:t xml:space="preserve">Фетисов Г.Г. Устойчивость банковской системы и методология ее оценки. – М.: Экономика, 2003. – 394 с.</w:t>
      </w:r>
    </w:p>
  </w:footnote>
  <w:footnote w:id="64">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w:t>
      </w:r>
    </w:p>
  </w:footnote>
  <w:footnote w:id="65">
    <w:p>
      <w:pPr>
        <w:pStyle w:val="FootnoteText"/>
      </w:pPr>
      <w:r>
        <w:rPr>
          <w:rStyle w:val="FootnoteReference"/>
        </w:rPr>
        <w:footnoteRef/>
      </w:r>
      <w:r>
        <w:t xml:space="preserve"> </w:t>
      </w:r>
      <w:r>
        <w:t xml:space="preserve">Sattarov O.B. O‘zbekiston Respublikasi bank tizimi barqarorligini ta’minlash metodologiyasini takomillashtirish: iqtisodiyot fanlari doktori (DSc) dissertatsiyasi avtoreferati. – Toshkent, 2018. – 67 b; Xolmamatov F.K. O‘zbekiston Respublikasining bank tizimining barqarorligini oshirish yo‘llari: iqtisodiyot fanlari doktori (DSc) dissertatsiyasi avtoreferati. – Toshkent: TMI, 2023. – 91 b; Sharipova N.H. Tijorat banklari moliyaviy barqarorligini mustahkamlashning konseptual asoslarini takomillashtirish: iqtisodiyot fanlari doktori (DSc) dissertatsiyasi avtoreferati. – Toshkent, 2026; Xolov N.Q. Tijorat banklari barqarorligini mustahkamlash metodologiyasini takomillashtirish: iqtisodiyot fanlari doktori (DSc) dissertatsiyasi. – Toshkent: TDIU, 2025; Madaminov B.A. Tijorat banklarida risk-menejment tizimini takomillashtirish asosida moliyaviy barqarorlikni ta’minlash metodologiyasi: iqtisodiyot fanlari doktori (DSc) dissertatsiyasi avtoreferati. – Toshkent, 2026. – 78 b; Abdullayev A.Ya. Tijorat banklarining likvidlilik darajasini oshirish metodologiyasini takomillashtirish: iqtisodiyot fanlari doktori (DSc) dissertatsiyasi avtoreferati. – Toshkent, 2018. – 74 b; Bozorov R.X. Tijorat banklari moliyaviy barqarorligini ta’minlashni takomillashtirish: iqtisodiyot fanlari bo‘yicha falsafa doktori (PhD) dissertatsiyasi avtoreferati. – Toshkent, 2020. – 52 b; Togayev S.S. Tijorat banklarining moliyaviy barqarorligini ta’minlash yo‘llari: iqtisodiyot fanlari bo‘yicha falsafa doktori (PhD) dissertatsiyasi. – Toshkent, 2022; Djalilov G.K. Banklarning moliyaviy barqarorligini ta’minlashning ustuvor yo‘nalishlari: iqtisodiyot fanlari bo‘yicha falsafa doktori (PhD) dissertatsiyasi avtoreferati. – Toshkent, 2026. – 63 b; Sadikov I.G. Iqtisodiyotni transformatsiyalash jarayonida tijorat banklarining moliyaviy barqarorligini ta’minlash yo‘llari: iqtisodiyot fanlari bo‘yicha falsafa doktori (PhD) dissertatsiyasi avtoreferati. – Toshkent, 2025. – 57 b; Abdishukurov Sh.Sh. Tijorat banklarining moliyaviy barqarorligini ta’minlash yo‘nalishlari: iqtisodiyot fanlari bo‘yicha falsafa doktori (PhD) dissertatsiyasi avtoreferati. – Toshkent, 2026. – 54 b; Karabayev N.A. Tijorat banklari faoliyatini reyting tizimi asosida baholashni takomillashtirish: iqtisodiyot fanlari bo‘yicha falsafa doktori (PhD) dissertatsiyasi avtoreferati. – Toshkent, 2018. – 54 b; Yodgorov M.N. Tijorat banklari kapitali barqarorligini ta’minlash yo‘llari: iqtisodiyot fanlari bo‘yicha falsafa doktori (PhD) dissertatsiyasi avtoreferati. – Toshkent, 2026. – 69 b; Sattorova N.G‘. Tijorat banklari likvidliligini optimallashtirish yo‘llari: iqtisodiyot fanlari bo‘yicha falsafa doktori (PhD) dissertatsiyasi avtoreferati. – Toshkent, 2026. – 69 b; Ismatov N.R. Bank kredit portfeli riskini baholash va boshqarishning metodologik asoslarini takomillashtirish: iqtisodiyot fanlari doktori (DSc) dissertatsiyasi avtoreferati. – Toshkent, 2026. – 73 b; Mahmudaliyeva Yo.A. Tijorat banklarining moliyaviy barqarorligi va uni baholash: iqtisod fanlari nomzodi dissertatsiyasi avtoreferati. – Toshkent, 2001. – 22 b; Karaliyev T.M., Sayfiddinov I.F. Tijorat banklari faoliyatini tartibga solish va nazorati: darslik. – T.: Iqtisod-Moliya, 2019.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2026-10-11T08:12:23Z</dcterms:created>
  <dcterms:modified xsi:type="dcterms:W3CDTF">2026-10-11T08:12:23Z</dcterms:modified>
</cp:coreProperties>
</file>

<file path=docProps/custom.xml><?xml version="1.0" encoding="utf-8"?>
<Properties xmlns="http://schemas.openxmlformats.org/officeDocument/2006/custom-properties" xmlns:vt="http://schemas.openxmlformats.org/officeDocument/2006/docPropsVTypes"/>
</file>