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trike w:val="0"/>
          <w:sz w:val="28"/>
        </w:rPr>
        <w:t>3.1.4-jadval</w:t>
      </w:r>
    </w:p>
    <w:p>
      <w:pPr>
        <w:jc w:val="center"/>
      </w:pPr>
      <w:r>
        <w:rPr>
          <w:b/>
          <w:strike w:val="0"/>
          <w:sz w:val="28"/>
        </w:rPr>
        <w:t>Moliyaviy barqarorlik sinflari va ularga mos choralar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b/>
                <w:strike w:val="0"/>
                <w:sz w:val="22"/>
              </w:rPr>
              <w:t>Sinf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trike w:val="0"/>
                <w:sz w:val="22"/>
              </w:rPr>
              <w:t>MBII qiymati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trike w:val="0"/>
                <w:sz w:val="22"/>
              </w:rPr>
              <w:t>Tavsifi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/>
                <w:strike w:val="0"/>
                <w:sz w:val="22"/>
              </w:rPr>
              <w:t>Tavsiya etiladigan choralar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trike w:val="0"/>
                <w:sz w:val="22"/>
              </w:rPr>
              <w:t>I – barqaror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trike w:val="0"/>
                <w:sz w:val="22"/>
              </w:rPr>
              <w:t>3,25 ≤ MBII ≤ 4,00</w:t>
            </w:r>
          </w:p>
        </w:tc>
        <w:tc>
          <w:tcPr>
            <w:tcW w:type="dxa" w:w="2339"/>
          </w:tcPr>
          <w:p>
            <w:r>
              <w:rPr>
                <w:b w:val="0"/>
                <w:strike/>
                <w:color w:val="7F7F7F"/>
                <w:sz w:val="22"/>
              </w:rPr>
              <w:t>Barcha bloklar xalqaro mezonlardan yuqori, zaxira yetarli</w:t>
            </w:r>
          </w:p>
          <w:p>
            <w:r>
              <w:rPr>
                <w:b w:val="0"/>
                <w:strike w:val="0"/>
                <w:color w:val="FF0000"/>
                <w:sz w:val="22"/>
              </w:rPr>
              <w:t>Ko‘rsatkichlarning aksariyati 3–4 ball darajasida, alohida zaif ko‘rsatkichlar boshqa bloklar hisobiga qoplanadi</w:t>
            </w:r>
          </w:p>
        </w:tc>
        <w:tc>
          <w:tcPr>
            <w:tcW w:type="dxa" w:w="2339"/>
          </w:tcPr>
          <w:p>
            <w:r>
              <w:rPr>
                <w:b w:val="0"/>
                <w:strike w:val="0"/>
                <w:sz w:val="22"/>
              </w:rPr>
              <w:t>Odatdagi nazorat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trike w:val="0"/>
                <w:sz w:val="22"/>
              </w:rPr>
              <w:t>II – qoniqarli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trike w:val="0"/>
                <w:sz w:val="22"/>
              </w:rPr>
              <w:t>2,50 ≤ MBII &lt; 3,25</w:t>
            </w:r>
          </w:p>
        </w:tc>
        <w:tc>
          <w:tcPr>
            <w:tcW w:type="dxa" w:w="2339"/>
          </w:tcPr>
          <w:p>
            <w:r>
              <w:rPr>
                <w:b w:val="0"/>
                <w:strike/>
                <w:color w:val="7F7F7F"/>
                <w:sz w:val="22"/>
              </w:rPr>
              <w:t>Ayrim bloklarda zaiflik, ammo me’yorlar bajariladi</w:t>
            </w:r>
          </w:p>
          <w:p>
            <w:r>
              <w:rPr>
                <w:b w:val="0"/>
                <w:strike w:val="0"/>
                <w:color w:val="FF0000"/>
                <w:sz w:val="22"/>
              </w:rPr>
              <w:t>Ayrim bloklarda zaiflik, ko‘rsatkichlar asosan me’yoriy talablar darajasida (2–3 ball)</w:t>
            </w:r>
          </w:p>
        </w:tc>
        <w:tc>
          <w:tcPr>
            <w:tcW w:type="dxa" w:w="2339"/>
          </w:tcPr>
          <w:p>
            <w:r>
              <w:rPr>
                <w:b w:val="0"/>
                <w:strike w:val="0"/>
                <w:sz w:val="22"/>
              </w:rPr>
              <w:t>Zaif bloklar bo‘yicha monitoringni kuchaytirish, bank tomonidan tiklanish rejasini yangilash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trike w:val="0"/>
                <w:sz w:val="22"/>
              </w:rPr>
              <w:t>III – zaif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trike w:val="0"/>
                <w:sz w:val="22"/>
              </w:rPr>
              <w:t>1,75 ≤ MBII &lt; 2,50</w:t>
            </w:r>
          </w:p>
        </w:tc>
        <w:tc>
          <w:tcPr>
            <w:tcW w:type="dxa" w:w="2339"/>
          </w:tcPr>
          <w:p>
            <w:r>
              <w:rPr>
                <w:b w:val="0"/>
                <w:strike/>
                <w:color w:val="7F7F7F"/>
                <w:sz w:val="22"/>
              </w:rPr>
              <w:t>Bir nechta blokda me’yorga yaqin yoki undan past qiymatlar</w:t>
            </w:r>
          </w:p>
          <w:p>
            <w:r>
              <w:rPr>
                <w:b w:val="0"/>
                <w:strike w:val="0"/>
                <w:color w:val="FF0000"/>
                <w:sz w:val="22"/>
              </w:rPr>
              <w:t>Bir nechta blokda ko‘rsatkichlar me’yorga yaqin yoki undan past (1–2 ball)</w:t>
            </w:r>
          </w:p>
        </w:tc>
        <w:tc>
          <w:tcPr>
            <w:tcW w:type="dxa" w:w="2339"/>
          </w:tcPr>
          <w:p>
            <w:r>
              <w:rPr>
                <w:b w:val="0"/>
                <w:strike w:val="0"/>
                <w:sz w:val="22"/>
              </w:rPr>
              <w:t>Choraklik maqsadli tekshiruv, dividendlarni cheklash, kapitalni oshirish rejasi</w:t>
            </w:r>
          </w:p>
        </w:tc>
      </w:tr>
      <w:tr>
        <w:tc>
          <w:tcPr>
            <w:tcW w:type="dxa" w:w="2339"/>
          </w:tcPr>
          <w:p>
            <w:r>
              <w:rPr>
                <w:b w:val="0"/>
                <w:strike w:val="0"/>
                <w:sz w:val="22"/>
              </w:rPr>
              <w:t>IV – nobarqaror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b w:val="0"/>
                <w:strike w:val="0"/>
                <w:sz w:val="22"/>
              </w:rPr>
              <w:t>1,00 ≤ MBII &lt; 1,75</w:t>
            </w:r>
          </w:p>
        </w:tc>
        <w:tc>
          <w:tcPr>
            <w:tcW w:type="dxa" w:w="2339"/>
          </w:tcPr>
          <w:p>
            <w:r>
              <w:rPr>
                <w:b w:val="0"/>
                <w:strike/>
                <w:color w:val="7F7F7F"/>
                <w:sz w:val="22"/>
              </w:rPr>
              <w:t>Ko‘pchilik bloklarda me’yorlar buzilgan</w:t>
            </w:r>
          </w:p>
          <w:p>
            <w:r>
              <w:rPr>
                <w:b w:val="0"/>
                <w:strike w:val="0"/>
                <w:color w:val="FF0000"/>
                <w:sz w:val="22"/>
              </w:rPr>
              <w:t>Ko‘rsatkichlarning ko‘pchiligi minimal xalqaro talablardan past (1 ball atrofida)</w:t>
            </w:r>
          </w:p>
        </w:tc>
        <w:tc>
          <w:tcPr>
            <w:tcW w:type="dxa" w:w="2339"/>
          </w:tcPr>
          <w:p>
            <w:r>
              <w:rPr>
                <w:b w:val="0"/>
                <w:strike w:val="0"/>
                <w:sz w:val="22"/>
              </w:rPr>
              <w:t>Majburiy sog‘lomlashtirish choralari, faoliyatni cheklash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