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163</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177</w:t>
      </w:r>
    </w:p>
    <w:p w:rsidR="005603EC" w:rsidRDefault="00AB61AC">
      <w:pPr>
        <w:tabs>
          <w:tab w:val="right" w:leader="dot" w:pos="9354"/>
        </w:tabs>
        <w:spacing w:after="80" w:line="240" w:lineRule="auto"/>
        <w:ind w:left="454"/>
      </w:pPr>
      <w:r>
        <w:rPr>
          <w:sz w:val="26"/>
        </w:rPr>
        <w:t>III bob bo‘yicha xulosalar</w:t>
      </w:r>
      <w:r>
        <w:rPr>
          <w:sz w:val="26"/>
        </w:rPr>
        <w:tab/>
        <w:t>195</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198</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198</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214</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226</w:t>
      </w:r>
    </w:p>
    <w:p w:rsidR="005603EC" w:rsidRDefault="00AB61AC">
      <w:pPr>
        <w:tabs>
          <w:tab w:val="right" w:leader="dot" w:pos="9354"/>
        </w:tabs>
        <w:spacing w:after="80" w:line="240" w:lineRule="auto"/>
        <w:ind w:left="454"/>
      </w:pPr>
      <w:r>
        <w:rPr>
          <w:sz w:val="26"/>
        </w:rPr>
        <w:t>IV bob bo‘yicha xulosalar</w:t>
      </w:r>
      <w:r>
        <w:rPr>
          <w:sz w:val="26"/>
        </w:rPr>
        <w:tab/>
        <w:t>239</w:t>
      </w:r>
    </w:p>
    <w:p w:rsidR="005603EC" w:rsidRDefault="00AB61AC">
      <w:pPr>
        <w:tabs>
          <w:tab w:val="right" w:leader="dot" w:pos="9354"/>
        </w:tabs>
        <w:spacing w:after="80" w:line="240" w:lineRule="auto"/>
      </w:pPr>
      <w:r>
        <w:rPr>
          <w:b/>
          <w:sz w:val="26"/>
        </w:rPr>
        <w:t>XULOSA</w:t>
      </w:r>
      <w:r>
        <w:rPr>
          <w:b/>
          <w:sz w:val="26"/>
        </w:rPr>
        <w:tab/>
        <w:t>242</w:t>
      </w:r>
    </w:p>
    <w:p w:rsidR="005603EC" w:rsidRDefault="00AB61AC">
      <w:pPr>
        <w:tabs>
          <w:tab w:val="right" w:leader="dot" w:pos="9354"/>
        </w:tabs>
        <w:spacing w:after="80" w:line="240" w:lineRule="auto"/>
      </w:pPr>
      <w:r>
        <w:rPr>
          <w:b/>
          <w:sz w:val="26"/>
        </w:rPr>
        <w:t>FOYDALANILGAN ADABIYOTLAR RO‘YXATI</w:t>
      </w:r>
      <w:r>
        <w:rPr>
          <w:b/>
          <w:sz w:val="26"/>
        </w:rPr>
        <w:tab/>
        <w:t>248</w:t>
      </w:r>
    </w:p>
    <w:p w:rsidR="005603EC" w:rsidRDefault="00AB61AC">
      <w:pPr>
        <w:tabs>
          <w:tab w:val="right" w:leader="dot" w:pos="9354"/>
        </w:tabs>
        <w:spacing w:after="80" w:line="240" w:lineRule="auto"/>
      </w:pPr>
      <w:r>
        <w:rPr>
          <w:b/>
          <w:sz w:val="26"/>
        </w:rPr>
        <w:t>ILOVALAR</w:t>
      </w:r>
      <w:r>
        <w:rPr>
          <w:b/>
          <w:sz w:val="26"/>
        </w:rPr>
        <w:tab/>
        <w:t>269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244</w:t>
      </w:r>
      <w:r>
        <w:rPr/>
        <w:t xml:space="preserve"> betni</w:t>
      </w:r>
      <w:r>
        <w:t xml:space="preserve"> tashkil etadi, unda 60 dan ortiq jadval va rasm keltirilgan, foydalanilgan </w:t>
      </w:r>
      <w:r>
        <w:rPr/>
        <w:t xml:space="preserve">adabiyotlar </w:t>
      </w:r>
      <w:r>
        <w:rPr/>
        <w:t xml:space="preserve">ro‘yxati </w:t>
      </w:r>
      <w:r>
        <w:rPr>
          <w:color w:val="FF000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color w:val="0070C0"/>
        </w:rPr>
        <w:t xml:space="preserve">. Bunda</w:t>
      </w:r>
      <w:r>
        <w:t xml:space="preserve">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xml:space="preserve">. Nihoyat, 2026-yil martida Bazel III ning yakuniy standartlarini joriy etish bo‘yicha qayta ishlangan takliflar e’lon qilindi</w:t>
      </w:r>
      <w:r>
        <w:rPr>
          <w:color w:val="0070C0"/>
        </w:rPr>
        <w:t xml:space="preserve">. Bu taklif</w:t>
      </w:r>
      <w:r>
        <w:t xml:space="preserve">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color w:val="0070C0"/>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color w:val="0070C0"/>
        </w:rPr>
        <w:t xml:space="preserve">. Bundan tashqari,</w:t>
      </w:r>
      <w:r>
        <w:t xml:space="preserve">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color w:val="0070C0"/>
        </w:rPr>
        <w:t xml:space="preserve">. Biroq</w:t>
      </w:r>
      <w:r>
        <w:rPr/>
        <w:t xml:space="preserve">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color w:val="0070C0"/>
        </w:rPr>
        <w:t xml:space="preserve">. U</w:t>
      </w:r>
      <w:r>
        <w:t xml:space="preserve">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rPr>
          <w:color w:val="0070C0"/>
        </w:rPr>
        <w:t xml:space="preserve">. I</w:t>
      </w:r>
      <w:r>
        <w:t xml:space="preserve">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w:t>
      </w:r>
      <w:r>
        <w:rPr>
          <w:color w:val="0070C0"/>
        </w:rPr>
        <w:t xml:space="preserve">. Ikkala toifa qo‘shilganda es</w:t>
      </w:r>
      <w:r>
        <w:rPr/>
        <w:t xml:space="preserve">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xml:space="preserve">. 2023-yildan boshlab tizimli ahamiyatga molik banklar har yili aniqlanadi</w:t>
      </w:r>
      <w:r>
        <w:rPr>
          <w:color w:val="0070C0"/>
        </w:rPr>
        <w:t xml:space="preserve">. Xususan,</w:t>
      </w:r>
      <w:r>
        <w:t xml:space="preserve">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color w:val="0070C0"/>
        </w:rPr>
        <w:t xml:space="preserve">. B</w:t>
      </w:r>
      <w:r>
        <w:t xml:space="preserve">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color w:val="0070C0"/>
        </w:rPr>
        <w:t xml:space="preserve">. Shu sababli</w:t>
      </w:r>
      <w:r>
        <w:t xml:space="preserve">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w:t>
      </w:r>
      <w:r>
        <w:rPr>
          <w:color w:val="0070C0"/>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color w:val="0070C0"/>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w:t>
      </w:r>
      <w:r>
        <w:rPr>
          <w:color w:val="0070C0"/>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 xml:space="preserve">K. Shannon entropiyasi asosida har bir ko‘rsatkich</w:t>
            </w:r>
            <w:r>
              <w:rPr>
                <w:color w:val="FF0000"/>
                <w:sz w:val="22"/>
              </w:rPr>
              <w:t xml:space="preserve"> ballarining 25 ta bank-yil kuzatuvi</w:t>
            </w:r>
            <w:r>
              <w:rPr>
                <w:sz w:val="22"/>
              </w:rPr>
              <w:t xml:space="preserve">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blok vazni – 0)</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color w:val="FF0000"/>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7"/>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color w:val="FF0000"/>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w:t>
      </w:r>
      <w:r>
        <w:rPr>
          <w:color w:val="0070C0"/>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color w:val="FF0000"/>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color w:val="FF0000"/>
        </w:rPr>
        <w:t xml:space="preserve">Jadval ma’lumotlaridan</w:t>
      </w:r>
      <w:r>
        <w:t xml:space="preserve"> ko‘rinib turibdiki, usullar o‘rtasidagi farq asosan </w:t>
      </w:r>
      <w:r>
        <w:rPr>
          <w:color w:val="FF0000"/>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color w:val="FF0000"/>
        </w:rPr>
        <w:t xml:space="preserve">Tanlangan banklarning</w:t>
      </w:r>
      <w:r>
        <w:rPr>
          <w:b/>
          <w:bCs/>
        </w:rPr>
        <w:t xml:space="preserve">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color w:val="FF0000"/>
                <w:sz w:val="22"/>
              </w:rPr>
              <w:t xml:space="preserve">Bank / 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color w:val="FF0000"/>
                <w:sz w:val="22"/>
              </w:rPr>
              <w:t xml:space="preserve">“Aloqabank” ATB (tanlanmadan tashqari)</w:t>
            </w:r>
          </w:p>
        </w:tc>
        <w:tc>
          <w:tcPr>
            <w:tcW w:w="1176" w:type="dxa"/>
          </w:tcPr>
          <w:p w:rsidR="005603EC" w:rsidRDefault="00AB61AC">
            <w:pPr>
              <w:pStyle w:val="Compact"/>
              <w:spacing w:line="240" w:lineRule="auto"/>
              <w:jc w:val="center"/>
            </w:pPr>
            <w:r>
              <w:rPr>
                <w:color w:val="FF0000"/>
                <w:sz w:val="22"/>
              </w:rPr>
              <w:t xml:space="preserve">2,78</w:t>
            </w:r>
          </w:p>
        </w:tc>
        <w:tc>
          <w:tcPr>
            <w:tcW w:w="1176" w:type="dxa"/>
          </w:tcPr>
          <w:p w:rsidR="005603EC" w:rsidRDefault="00AB61AC">
            <w:pPr>
              <w:pStyle w:val="Compact"/>
              <w:spacing w:line="240" w:lineRule="auto"/>
              <w:jc w:val="center"/>
            </w:pPr>
            <w:r>
              <w:rPr>
                <w:color w:val="FF0000"/>
                <w:sz w:val="22"/>
              </w:rPr>
              <w:t xml:space="preserve">2,23</w:t>
            </w:r>
          </w:p>
        </w:tc>
        <w:tc>
          <w:tcPr>
            <w:tcW w:w="1176" w:type="dxa"/>
          </w:tcPr>
          <w:p w:rsidR="005603EC" w:rsidRDefault="00AB61AC">
            <w:pPr>
              <w:pStyle w:val="Compact"/>
              <w:spacing w:line="240" w:lineRule="auto"/>
              <w:jc w:val="center"/>
            </w:pPr>
            <w:r>
              <w:rPr>
                <w:color w:val="FF0000"/>
                <w:sz w:val="22"/>
              </w:rPr>
              <w:t xml:space="preserve">2,41</w:t>
            </w:r>
          </w:p>
        </w:tc>
        <w:tc>
          <w:tcPr>
            <w:tcW w:w="1176" w:type="dxa"/>
          </w:tcPr>
          <w:p w:rsidR="005603EC" w:rsidRDefault="00AB61AC">
            <w:pPr>
              <w:pStyle w:val="Compact"/>
              <w:spacing w:line="240" w:lineRule="auto"/>
              <w:jc w:val="center"/>
            </w:pPr>
            <w:r>
              <w:rPr>
                <w:color w:val="FF0000"/>
                <w:sz w:val="22"/>
              </w:rPr>
              <w:t xml:space="preserve">2,49</w:t>
            </w:r>
          </w:p>
        </w:tc>
        <w:tc>
          <w:tcPr>
            <w:tcW w:w="1126" w:type="dxa"/>
          </w:tcPr>
          <w:p w:rsidR="005603EC" w:rsidRDefault="00AB61AC">
            <w:pPr>
              <w:pStyle w:val="Compact"/>
              <w:spacing w:line="240" w:lineRule="auto"/>
              <w:jc w:val="center"/>
            </w:pPr>
            <w:r>
              <w:rPr>
                <w:color w:val="FF0000"/>
                <w:sz w:val="22"/>
              </w:rPr>
              <w:t xml:space="preserve">3,01</w:t>
            </w:r>
          </w:p>
        </w:tc>
        <w:tc>
          <w:tcPr>
            <w:tcW w:w="1176" w:type="dxa"/>
          </w:tcPr>
          <w:p w:rsidR="005603EC" w:rsidRDefault="00AB61AC">
            <w:pPr>
              <w:pStyle w:val="Compact"/>
              <w:spacing w:line="240" w:lineRule="auto"/>
              <w:jc w:val="center"/>
            </w:pPr>
            <w:r>
              <w:rPr>
                <w:color w:val="FF0000"/>
                <w:sz w:val="22"/>
              </w:rPr>
              <w:t xml:space="preserve">2,38</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line="240" w:lineRule="auto"/>
        <w:jc w:val="both"/>
      </w:pPr>
      <w:r>
        <w:rPr>
          <w:color w:val="FF0000"/>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w:t>
      </w:r>
      <w:r>
        <w:rPr>
          <w:color w:val="FF0000"/>
        </w:rPr>
        <w:t xml:space="preserve"> Tanlanmadan tashqari “Aloqabank” ATB da esa manzara boshqacha: tayanch vaznlarda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color w:val="FF0000"/>
        </w:rPr>
        <w:t xml:space="preserve">AUC 0,865–0,907, tayanch vaznlarda – 0,864)</w:t>
      </w:r>
      <w:r>
        <w:t xml:space="preserve">, biroq farq katta emas, </w:t>
      </w:r>
      <w:r>
        <w:rPr/>
        <w:t xml:space="preserve">tayanch vaznlar</w:t>
      </w:r>
      <w:r>
        <w:t xml:space="preserve">ning bashorat kuchi esa bosh komponentlar usuli bilan </w:t>
      </w:r>
      <w:r>
        <w:rPr>
          <w:color w:val="FF0000"/>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color w:val="FF0000"/>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color w:val="FF0000"/>
        </w:rPr>
        <w:t xml:space="preserve"> (Dirixle taqsimotining parametri α = 20·w, bu yerda w – blokning tayanch vazni)</w:t>
      </w:r>
      <w:r>
        <w:t xml:space="preserve"> va vaznlar to‘liq tasodifiy, ya’ni hech qanday dastlabki farazsiz tanlangan holatda </w:t>
      </w:r>
      <w:r>
        <w:rPr>
          <w:color w:val="FF0000"/>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color w:val="FF0000"/>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color w:val="FF0000"/>
        </w:rPr>
        <w:t xml:space="preserve">3.2.1-rasm</w:t>
      </w:r>
      <w:r>
        <w:rPr>
          <w:b/>
        </w:rPr>
        <w:t xml:space="preserve">.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color w:val="FF0000"/>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w:t>
      </w:r>
      <w:r>
        <w:rPr>
          <w:color w:val="FF0000"/>
        </w:rPr>
        <w:t xml:space="preserve">Ular 3.1-paragrafda 1–4 ballik shkalani teng to‘rt oraliqqa bo‘lish yo‘li bilan oldindan belgilangan edi.</w:t>
      </w:r>
      <w:r>
        <w:t xml:space="preserve"> Ularni empirik tekshirish uchun 25 ta bank panelida</w:t>
      </w:r>
      <w:r>
        <w:rPr>
          <w:color w:val="FF0000"/>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color w:val="FF0000"/>
        </w:rPr>
        <w:t xml:space="preserve">2021–2024-yillar kuzatuvlari</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color w:val="FF0000"/>
          <w:sz w:val="24"/>
        </w:rPr>
        <w:t xml:space="preserve">Izoh: 25 ta bank paneli, milliy hisobot asosidagi 8 ko‘rsatkichli choraklik indeks</w:t>
      </w:r>
      <w:r>
        <w:rPr>
          <w:color w:val="FF0000"/>
          <w:sz w:val="24"/>
        </w:rPr>
        <w:t xml:space="preserve"> (MBII-8)</w:t>
      </w:r>
      <w:r>
        <w:rPr>
          <w:color w:val="FF0000"/>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color w:val="FF0000"/>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color w:val="FF0000"/>
        </w:rPr>
        <w:t xml:space="preserve">Shundan so‘ng </w:t>
      </w:r>
      <w:r>
        <w:rPr>
          <w:color w:val="FF0000"/>
        </w:rPr>
        <w:t xml:space="preserve">empirik tekshiruvdan o‘tgan, tayanch vaznli indeks</w:t>
      </w:r>
      <w:r>
        <w:t xml:space="preserve"> beshta bankning 2021–2025-yillardagi moliyaviy barqarorligi dinamikasini baholash uchun qo‘llandi </w:t>
      </w:r>
      <w:r>
        <w:rPr>
          <w:color w:val="FF0000"/>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70AD47"/>
                <w:sz w:val="20"/>
              </w:rPr>
              <w:t xml:space="preserve">━━ </w:t>
            </w:r>
            <w:r>
              <w:rPr>
                <w:rFonts w:ascii="Times New Roman" w:hAnsi="Times New Roman" w:eastAsia="Times New Roman" w:cs="Times New Roman"/>
                <w:b w:val="0"/>
                <w:color w:val="FF0000"/>
                <w:sz w:val="22"/>
              </w:rPr>
              <w:t>“Xalq banki”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2,66</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2,96</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3,38</w:t>
            </w:r>
          </w:p>
        </w:tc>
      </w:tr>
      <w:tr>
        <w:tc>
          <w:tcPr>
            <w:tcW w:type="dxa" w:w="3685"/>
          </w:tcPr>
          <w:p>
            <w:pPr>
              <w:spacing w:before="0" w:after="0" w:line="240" w:lineRule="auto"/>
              <w:ind w:firstLine="0"/>
              <w:jc w:val="left"/>
            </w:pPr>
            <w:r>
              <w:rPr>
                <w:rFonts w:ascii="Times New Roman" w:hAnsi="Times New Roman" w:eastAsia="Times New Roman" w:cs="Times New Roman"/>
                <w:b/>
                <w:color w:val="FFC000"/>
                <w:sz w:val="20"/>
              </w:rPr>
              <w:t xml:space="preserve">━━ </w:t>
            </w:r>
            <w:r>
              <w:rPr>
                <w:rFonts w:ascii="Times New Roman" w:hAnsi="Times New Roman" w:eastAsia="Times New Roman" w:cs="Times New Roman"/>
                <w:b w:val="0"/>
                <w:color w:val="FF0000"/>
                <w:sz w:val="22"/>
              </w:rPr>
              <w:t>“Biznesni rivojlantirish banki”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2,51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2,03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3,23</w:t>
            </w:r>
          </w:p>
        </w:tc>
      </w:tr>
      <w:tr>
        <w:tc>
          <w:tcPr>
            <w:tcW w:type="dxa" w:w="3685"/>
          </w:tcPr>
          <w:p>
            <w:pPr>
              <w:spacing w:before="0" w:after="0" w:line="240" w:lineRule="auto"/>
              <w:ind w:firstLine="0"/>
              <w:jc w:val="left"/>
            </w:pPr>
            <w:r>
              <w:rPr>
                <w:rFonts w:ascii="Times New Roman" w:hAnsi="Times New Roman" w:eastAsia="Times New Roman" w:cs="Times New Roman"/>
                <w:b/>
                <w:color w:val="7030A0"/>
                <w:sz w:val="20"/>
              </w:rPr>
              <w:t xml:space="preserve">━━ </w:t>
            </w:r>
            <w:r>
              <w:rPr>
                <w:rFonts w:ascii="Times New Roman" w:hAnsi="Times New Roman" w:eastAsia="Times New Roman" w:cs="Times New Roman"/>
                <w:b w:val="0"/>
                <w:color w:val="FF0000"/>
                <w:sz w:val="22"/>
              </w:rPr>
              <w:t>“Ipoteka-bank”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3,11</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00A3A3"/>
                <w:sz w:val="20"/>
              </w:rPr>
              <w:t xml:space="preserve">╍╍ </w:t>
            </w:r>
            <w:r>
              <w:rPr>
                <w:rFonts w:ascii="Times New Roman" w:hAnsi="Times New Roman" w:eastAsia="Times New Roman" w:cs="Times New Roman"/>
                <w:b w:val="0"/>
                <w:color w:val="FF0000"/>
                <w:sz w:val="22"/>
              </w:rPr>
              <w:t>“Aloqabank” (tanlanmadan tashqari)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line="240" w:lineRule="auto"/>
        <w:jc w:val="both"/>
      </w:pPr>
      <w:r>
        <w:rPr>
          <w:color w:val="FF0000"/>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color w:val="FF0000"/>
        </w:rPr>
        <w:t xml:space="preserve">3.2.2-rasm</w:t>
      </w:r>
      <w:r>
        <w:rPr>
          <w:b/>
        </w:rPr>
        <w:t xml:space="preserve">.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w:t>
      </w:r>
      <w:r>
        <w:rPr>
          <w:color w:val="FF0000"/>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color w:val="FF0000"/>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color w:val="FF0000"/>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r>
      <w:r>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w:t>
      </w:r>
      <w:r>
        <w:rPr>
          <w:color w:val="0070C0"/>
        </w:rPr>
        <w:t xml:space="preserve">. To‘liq,</w:t>
      </w:r>
      <w:r>
        <w:rPr/>
        <w:t xml:space="preserve">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color w:val="FF0000"/>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color w:val="FF0000"/>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color w:val="FF0000"/>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color w:val="FF0000"/>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color w:val="FF0000"/>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color w:val="FF0000"/>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color w:val="FF0000"/>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color w:val="FF0000"/>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color w:val="FF0000"/>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va “SNS” reyting agentligi bazasi asosida hisoblandi.</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