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880f019e7e8e8204a7c6d408d20a2ed6a5c1801"/>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1.3-§. Banklar moliyaviy barqarorligini baholashning xalqaro standartlari, yondashuvlari va ularning qiyosiy tavsifi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moliyaviy barqarorlikni baholashning nazariy asoslari va yondashuvlar tasnifi ko‘rib chiqildi. Ushbu paragrafda shu yondashuvlarning amaliy ifodasi bo‘lgan xalqaro standartlar tahlil qilinadi. Bu standartlarni ikki guruhga ajratish mumkin. Birinchi guruh – bank faoliyatiga majburiy talablar qo‘yuvchi standartlar: Bank nazorati bo‘yicha Bazel qo‘mitasining kapital va likvidlik standartlari hamda Moliyaviy hisobotning xalqaro standarti (MHXS) 9. Ikkinchi guruh – bank holatini tahlil qilish va reytinglash uchun mo‘ljallangan tizimlar: CAMELS reyting tizimi, Xalqaro valyuta jamg‘armasining moliyaviy barqarorlik ko‘rsatkichlari (XVJ FSI), Yevropa bank boshqarmasining asosiy risk indikatorlari, milliy nazorat tizimlari va reyting agentliklari metodologiyalari. Har bir standart tahlilida uning mazmuni, baholash uchun ahamiyati va cheklovlari ko‘rsatiladi, paragraf yakunida esa ularning qiyosiy tavsifi beriladi.</w:t>
      </w:r>
    </w:p>
    <w:bookmarkStart w:id="50" w:name="X34ef93cef1ef116d78b409d4f120d0fccfc77e1"/>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1. Bazel kelishuvlari: kapital yetarliligidan kompleks prudensial tartibga solishgacha</w:t>
      </w:r>
    </w:p>
    <w:p>
      <w:pPr>
        <w:pStyle w:val="FirstParagraph"/>
        <w:spacing w:line="360" w:lineRule="auto" w:before="0" w:after="0"/>
        <w:ind w:firstLine="709"/>
        <w:jc w:val="both"/>
      </w:pPr>
      <w:r>
        <w:rPr>
          <w:rFonts w:ascii="Times New Roman" w:hAnsi="Times New Roman" w:cs="Times New Roman" w:eastAsia="Times New Roman"/>
          <w:sz w:val="28"/>
        </w:rPr>
        <w:t xml:space="preserve">Bazel kelishuvlari tijorat banklari moliyaviy barqarorligini ta’minlashning xalqaro e’tirof etilgan asosiy standarti hisoblanadi. Ular o‘ttiz yildan ortiq davr mobaynida uch bosqichda rivojlandi (1.3.1-rasm).</w:t>
      </w:r>
    </w:p>
    <w:p>
      <w:pPr>
        <w:pStyle w:val="BodyText"/>
        <w:spacing w:line="360" w:lineRule="auto" w:before="0" w:after="0"/>
        <w:ind w:firstLine="709"/>
        <w:jc w:val="both"/>
      </w:pPr>
      <w:r>
        <w:rPr>
          <w:bCs/>
          <w:rFonts w:ascii="Times New Roman" w:hAnsi="Times New Roman" w:cs="Times New Roman" w:eastAsia="Times New Roman"/>
          <w:b/>
          <w:sz w:val="28"/>
        </w:rPr>
        <w:t xml:space="preserve">Bazel I (1988).</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Birinchi kelishuv ikki maqsadni ko‘zlagan: xalqaro bank tizimi barqarorligini mustahkamlash va turli mamlakat banklari o‘rtasida raqobat tengligini ta’minlash</w:t>
      </w:r>
      <w:r>
        <w:rPr>
          <w:rStyle w:val="FootnoteReference"/>
        </w:rPr>
        <w:footnoteReference w:id="20"/>
      </w:r>
      <w:r>
        <w:rPr>
          <w:rFonts w:ascii="Times New Roman" w:hAnsi="Times New Roman" w:cs="Times New Roman" w:eastAsia="Times New Roman"/>
          <w:sz w:val="28"/>
        </w:rPr>
        <w:t xml:space="preserve">. Kelishuvga ko‘ra, birinchi darajali kapital risk bo‘yicha tortilgan aktivlarning kamida 4 foizini, jami kapital esa kamida 8 foizini tashkil etishi kerak edi. Aktivlar risk darajasiga qarab to‘rt guruhga ajratilgan va ularga 0, 20, 50 va 100 foizlik risk vaznlari berilgan</w:t>
      </w:r>
      <w:r>
        <w:rPr>
          <w:rStyle w:val="FootnoteReference"/>
        </w:rPr>
        <w:footnoteReference w:id="21"/>
      </w:r>
      <w:r>
        <w:rPr>
          <w:rFonts w:ascii="Times New Roman" w:hAnsi="Times New Roman" w:cs="Times New Roman" w:eastAsia="Times New Roman"/>
          <w:sz w:val="28"/>
        </w:rPr>
        <w:t xml:space="preserve">. 1996-yilda kelishuvga bozor riski bo‘yicha tuzatish kiritildi: bozor riski VaR modeli asosida, 10 kunlik gorizont va uch baravarlik koeffitsiyent bilan hisoblanadigan bo‘ldi</w:t>
      </w:r>
      <w:r>
        <w:rPr>
          <w:rStyle w:val="FootnoteReference"/>
        </w:rPr>
        <w:footnoteReference w:id="22"/>
      </w:r>
      <w:r>
        <w:rPr>
          <w:rFonts w:ascii="Times New Roman" w:hAnsi="Times New Roman" w:cs="Times New Roman" w:eastAsia="Times New Roman"/>
          <w:sz w:val="28"/>
        </w:rPr>
        <w:t xml:space="preserve">. D.K. Tarullo ma’lumotiga ko‘ra, Bazel I 100 dan ortiq mamlakatda qabul qilingan, banklar kapital yetarliligining o‘rtacha darajasi esa 1988-yildagi 9,3 foizdan 1996-yilda 11,2 foizgacha oshgan</w:t>
      </w:r>
      <w:r>
        <w:rPr>
          <w:rStyle w:val="FootnoteReference"/>
        </w:rPr>
        <w:footnoteReference w:id="23"/>
      </w:r>
      <w:r>
        <w:rPr>
          <w:rFonts w:ascii="Times New Roman" w:hAnsi="Times New Roman" w:cs="Times New Roman" w:eastAsia="Times New Roman"/>
          <w:sz w:val="28"/>
        </w:rPr>
        <w:t xml:space="preserve">.</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376000"/>
                <wp:effectExtent l="0" t="0" r="0" b="0"/>
                <wp:docPr id="1001" name="1.3.1-rasm"/>
                <wp:cNvGraphicFramePr/>
                <a:graphic>
                  <a:graphicData uri="http://schemas.microsoft.com/office/word/2010/wordprocessingGroup">
                    <wpg:wgp>
                      <wpg:cNvGrpSpPr/>
                      <wpg:grpSpPr>
                        <a:xfrm>
                          <a:off x="0" y="0"/>
                          <a:ext cx="5904000" cy="2376000"/>
                          <a:chOff x="0" y="0"/>
                          <a:chExt cx="5904000" cy="2376000"/>
                        </a:xfrm>
                      </wpg:grpSpPr>
                      <wps:wsp>
                        <wps:cNvPr id="2"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w:t>
                              </w:r>
                            </w:p>
                            <w:p>
                              <w:pPr>
                                <w:spacing w:before="0" w:after="0" w:line="228" w:lineRule="auto"/>
                                <w:jc w:val="center"/>
                                <w:ind w:firstLine="0"/>
                              </w:pPr>
                              <w:r>
                                <w:rPr>
                                  <w:rFonts w:ascii="Times New Roman" w:hAnsi="Times New Roman" w:cs="Times New Roman"/>
                                  <w:b/>
                                  <w:color w:val="FFFFFF"/>
                                  <w:sz w:val="22"/>
                                  <w:szCs w:val="22"/>
                                </w:rPr>
                                <w:t xml:space="preserve">(1988)</w:t>
                              </w:r>
                            </w:p>
                          </w:txbxContent>
                        </wps:txbx>
                        <wps:bodyPr rot="0" vert="horz" wrap="square" lIns="36000" tIns="18000" rIns="36000" bIns="18000" anchor="ctr" anchorCtr="0">
                          <a:noAutofit/>
                        </wps:bodyPr>
                      </wps:wsp>
                      <wps:wsp>
                        <wps:cNvPr id="3" name="Connector 3"/>
                        <wps:cNvCnPr/>
                        <wps:spPr>
                          <a:xfrm>
                            <a:off x="666000" y="540000"/>
                            <a:ext cx="0" cy="180000"/>
                          </a:xfrm>
                          <a:prstGeom prst="straightConnector1">
                            <a:avLst/>
                          </a:prstGeom>
                          <a:ln w="15875">
                            <a:solidFill>
                              <a:srgbClr val="7F7F7F"/>
                            </a:solidFill>
                          </a:ln>
                        </wps:spPr>
                        <wps:bodyPr/>
                      </wps:wsp>
                      <wps:wsp>
                        <wps:cNvPr id="4"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Faqat kredit riski;</w:t>
                              </w:r>
                            </w:p>
                            <w:p>
                              <w:pPr>
                                <w:spacing w:before="0" w:after="0" w:line="228" w:lineRule="auto"/>
                                <w:jc w:val="center"/>
                                <w:ind w:firstLine="0"/>
                              </w:pPr>
                              <w:r>
                                <w:rPr>
                                  <w:rFonts w:ascii="Times New Roman" w:hAnsi="Times New Roman" w:cs="Times New Roman"/>
                                  <w:color w:val="000000"/>
                                  <w:sz w:val="22"/>
                                  <w:szCs w:val="22"/>
                                </w:rPr>
                                <w:t xml:space="preserve">Tier 1 ≥ 4%;</w:t>
                              </w:r>
                            </w:p>
                            <w:p>
                              <w:pPr>
                                <w:spacing w:before="0" w:after="0" w:line="228" w:lineRule="auto"/>
                                <w:jc w:val="center"/>
                                <w:ind w:firstLine="0"/>
                              </w:pPr>
                              <w:r>
                                <w:rPr>
                                  <w:rFonts w:ascii="Times New Roman" w:hAnsi="Times New Roman" w:cs="Times New Roman"/>
                                  <w:color w:val="000000"/>
                                  <w:sz w:val="22"/>
                                  <w:szCs w:val="22"/>
                                </w:rPr>
                                <w:t xml:space="preserve">jami kapital ≥ 8%;</w:t>
                              </w:r>
                            </w:p>
                            <w:p>
                              <w:pPr>
                                <w:spacing w:before="0" w:after="0" w:line="228" w:lineRule="auto"/>
                                <w:jc w:val="center"/>
                                <w:ind w:firstLine="0"/>
                              </w:pPr>
                              <w:r>
                                <w:rPr>
                                  <w:rFonts w:ascii="Times New Roman" w:hAnsi="Times New Roman" w:cs="Times New Roman"/>
                                  <w:color w:val="000000"/>
                                  <w:sz w:val="22"/>
                                  <w:szCs w:val="22"/>
                                </w:rPr>
                                <w:t xml:space="preserve">risk vaznlari</w:t>
                              </w:r>
                            </w:p>
                            <w:p>
                              <w:pPr>
                                <w:spacing w:before="0" w:after="0" w:line="228" w:lineRule="auto"/>
                                <w:jc w:val="center"/>
                                <w:ind w:firstLine="0"/>
                              </w:pPr>
                              <w:r>
                                <w:rPr>
                                  <w:rFonts w:ascii="Times New Roman" w:hAnsi="Times New Roman" w:cs="Times New Roman"/>
                                  <w:color w:val="000000"/>
                                  <w:sz w:val="22"/>
                                  <w:szCs w:val="22"/>
                                </w:rPr>
                                <w:t xml:space="preserve">0, 20, 50, 100%</w:t>
                              </w:r>
                            </w:p>
                          </w:txbxContent>
                        </wps:txbx>
                        <wps:bodyPr rot="0" vert="horz" wrap="square" lIns="36000" tIns="18000" rIns="36000" bIns="18000" anchor="ctr" anchorCtr="0">
                          <a:noAutofit/>
                        </wps:bodyPr>
                      </wps:wsp>
                      <wps:wsp>
                        <wps:cNvPr id="5" name="Connector 5"/>
                        <wps:cNvCnPr/>
                        <wps:spPr>
                          <a:xfrm>
                            <a:off x="1303200" y="306000"/>
                            <a:ext cx="255600" cy="0"/>
                          </a:xfrm>
                          <a:prstGeom prst="straightConnector1">
                            <a:avLst/>
                          </a:prstGeom>
                          <a:ln w="19050">
                            <a:solidFill>
                              <a:srgbClr val="404040"/>
                            </a:solidFill>
                            <a:tailEnd type="triangle" w="med" len="med"/>
                          </a:ln>
                        </wps:spPr>
                        <wps:bodyPr/>
                      </wps:wsp>
                      <wps:wsp>
                        <wps:cNvPr id="6"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Bozor riski tuzatishi</w:t>
                              </w:r>
                            </w:p>
                            <w:p>
                              <w:pPr>
                                <w:spacing w:before="0" w:after="0" w:line="228" w:lineRule="auto"/>
                                <w:jc w:val="center"/>
                                <w:ind w:firstLine="0"/>
                              </w:pPr>
                              <w:r>
                                <w:rPr>
                                  <w:rFonts w:ascii="Times New Roman" w:hAnsi="Times New Roman" w:cs="Times New Roman"/>
                                  <w:b/>
                                  <w:color w:val="000000"/>
                                  <w:sz w:val="22"/>
                                  <w:szCs w:val="22"/>
                                </w:rPr>
                                <w:t xml:space="preserve">(1996)</w:t>
                              </w:r>
                            </w:p>
                          </w:txbxContent>
                        </wps:txbx>
                        <wps:bodyPr rot="0" vert="horz" wrap="square" lIns="36000" tIns="18000" rIns="36000" bIns="18000" anchor="ctr" anchorCtr="0">
                          <a:noAutofit/>
                        </wps:bodyPr>
                      </wps:wsp>
                      <wps:wsp>
                        <wps:cNvPr id="7" name="Connector 7"/>
                        <wps:cNvCnPr/>
                        <wps:spPr>
                          <a:xfrm>
                            <a:off x="2196000" y="540000"/>
                            <a:ext cx="0" cy="180000"/>
                          </a:xfrm>
                          <a:prstGeom prst="straightConnector1">
                            <a:avLst/>
                          </a:prstGeom>
                          <a:ln w="15875">
                            <a:solidFill>
                              <a:srgbClr val="7F7F7F"/>
                            </a:solidFill>
                          </a:ln>
                        </wps:spPr>
                        <wps:bodyPr/>
                      </wps:wsp>
                      <wps:wsp>
                        <wps:cNvPr id="8"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riski uchun</w:t>
                              </w:r>
                            </w:p>
                            <w:p>
                              <w:pPr>
                                <w:spacing w:before="0" w:after="0" w:line="228" w:lineRule="auto"/>
                                <w:jc w:val="center"/>
                                <w:ind w:firstLine="0"/>
                              </w:pPr>
                              <w:r>
                                <w:rPr>
                                  <w:rFonts w:ascii="Times New Roman" w:hAnsi="Times New Roman" w:cs="Times New Roman"/>
                                  <w:color w:val="000000"/>
                                  <w:sz w:val="22"/>
                                  <w:szCs w:val="22"/>
                                </w:rPr>
                                <w:t xml:space="preserve">kapital;</w:t>
                              </w:r>
                            </w:p>
                            <w:p>
                              <w:pPr>
                                <w:spacing w:before="0" w:after="0" w:line="228" w:lineRule="auto"/>
                                <w:jc w:val="center"/>
                                <w:ind w:firstLine="0"/>
                              </w:pPr>
                              <w:r>
                                <w:rPr>
                                  <w:rFonts w:ascii="Times New Roman" w:hAnsi="Times New Roman" w:cs="Times New Roman"/>
                                  <w:color w:val="000000"/>
                                  <w:sz w:val="22"/>
                                  <w:szCs w:val="22"/>
                                </w:rPr>
                                <w:t xml:space="preserve">VaR modeli;</w:t>
                              </w:r>
                            </w:p>
                            <w:p>
                              <w:pPr>
                                <w:spacing w:before="0" w:after="0" w:line="228" w:lineRule="auto"/>
                                <w:jc w:val="center"/>
                                <w:ind w:firstLine="0"/>
                              </w:pPr>
                              <w:r>
                                <w:rPr>
                                  <w:rFonts w:ascii="Times New Roman" w:hAnsi="Times New Roman" w:cs="Times New Roman"/>
                                  <w:color w:val="000000"/>
                                  <w:sz w:val="22"/>
                                  <w:szCs w:val="22"/>
                                </w:rPr>
                                <w:t xml:space="preserve">10 kunlik gorizont;</w:t>
                              </w:r>
                            </w:p>
                            <w:p>
                              <w:pPr>
                                <w:spacing w:before="0" w:after="0" w:line="228" w:lineRule="auto"/>
                                <w:jc w:val="center"/>
                                <w:ind w:firstLine="0"/>
                              </w:pPr>
                              <w:r>
                                <w:rPr>
                                  <w:rFonts w:ascii="Times New Roman" w:hAnsi="Times New Roman" w:cs="Times New Roman"/>
                                  <w:color w:val="000000"/>
                                  <w:sz w:val="22"/>
                                  <w:szCs w:val="22"/>
                                </w:rPr>
                                <w:t xml:space="preserve">×3 koeffitsiyent</w:t>
                              </w:r>
                            </w:p>
                          </w:txbxContent>
                        </wps:txbx>
                        <wps:bodyPr rot="0" vert="horz" wrap="square" lIns="36000" tIns="18000" rIns="36000" bIns="18000" anchor="ctr" anchorCtr="0">
                          <a:noAutofit/>
                        </wps:bodyPr>
                      </wps:wsp>
                      <wps:wsp>
                        <wps:cNvPr id="9" name="Connector 9"/>
                        <wps:cNvCnPr/>
                        <wps:spPr>
                          <a:xfrm>
                            <a:off x="2833200" y="306000"/>
                            <a:ext cx="255600" cy="0"/>
                          </a:xfrm>
                          <a:prstGeom prst="straightConnector1">
                            <a:avLst/>
                          </a:prstGeom>
                          <a:ln w="19050">
                            <a:solidFill>
                              <a:srgbClr val="404040"/>
                            </a:solidFill>
                            <a:tailEnd type="triangle" w="med" len="med"/>
                          </a:ln>
                        </wps:spPr>
                        <wps:bodyPr/>
                      </wps:wsp>
                      <wps:wsp>
                        <wps:cNvPr id="10"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w:t>
                              </w:r>
                            </w:p>
                            <w:p>
                              <w:pPr>
                                <w:spacing w:before="0" w:after="0" w:line="228" w:lineRule="auto"/>
                                <w:jc w:val="center"/>
                                <w:ind w:firstLine="0"/>
                              </w:pPr>
                              <w:r>
                                <w:rPr>
                                  <w:rFonts w:ascii="Times New Roman" w:hAnsi="Times New Roman" w:cs="Times New Roman"/>
                                  <w:b/>
                                  <w:color w:val="FFFFFF"/>
                                  <w:sz w:val="22"/>
                                  <w:szCs w:val="22"/>
                                </w:rPr>
                                <w:t xml:space="preserve">(2004)</w:t>
                              </w:r>
                            </w:p>
                          </w:txbxContent>
                        </wps:txbx>
                        <wps:bodyPr rot="0" vert="horz" wrap="square" lIns="36000" tIns="18000" rIns="36000" bIns="18000" anchor="ctr" anchorCtr="0">
                          <a:noAutofit/>
                        </wps:bodyPr>
                      </wps:wsp>
                      <wps:wsp>
                        <wps:cNvPr id="11" name="Connector 11"/>
                        <wps:cNvCnPr/>
                        <wps:spPr>
                          <a:xfrm>
                            <a:off x="3726000" y="540000"/>
                            <a:ext cx="0" cy="180000"/>
                          </a:xfrm>
                          <a:prstGeom prst="straightConnector1">
                            <a:avLst/>
                          </a:prstGeom>
                          <a:ln w="15875">
                            <a:solidFill>
                              <a:srgbClr val="7F7F7F"/>
                            </a:solidFill>
                          </a:ln>
                        </wps:spPr>
                        <wps:bodyPr/>
                      </wps:wsp>
                      <wps:wsp>
                        <wps:cNvPr id="12"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Uch ustun;</w:t>
                              </w:r>
                            </w:p>
                            <w:p>
                              <w:pPr>
                                <w:spacing w:before="0" w:after="0" w:line="228" w:lineRule="auto"/>
                                <w:jc w:val="center"/>
                                <w:ind w:firstLine="0"/>
                              </w:pPr>
                              <w:r>
                                <w:rPr>
                                  <w:rFonts w:ascii="Times New Roman" w:hAnsi="Times New Roman" w:cs="Times New Roman"/>
                                  <w:color w:val="000000"/>
                                  <w:sz w:val="22"/>
                                  <w:szCs w:val="22"/>
                                </w:rPr>
                                <w:t xml:space="preserve">kredit, bozor va</w:t>
                              </w:r>
                            </w:p>
                            <w:p>
                              <w:pPr>
                                <w:spacing w:before="0" w:after="0" w:line="228" w:lineRule="auto"/>
                                <w:jc w:val="center"/>
                                <w:ind w:firstLine="0"/>
                              </w:pPr>
                              <w:r>
                                <w:rPr>
                                  <w:rFonts w:ascii="Times New Roman" w:hAnsi="Times New Roman" w:cs="Times New Roman"/>
                                  <w:color w:val="000000"/>
                                  <w:sz w:val="22"/>
                                  <w:szCs w:val="22"/>
                                </w:rPr>
                                <w:t xml:space="preserve">operatsion risklar;</w:t>
                              </w:r>
                            </w:p>
                            <w:p>
                              <w:pPr>
                                <w:spacing w:before="0" w:after="0" w:line="228" w:lineRule="auto"/>
                                <w:jc w:val="center"/>
                                <w:ind w:firstLine="0"/>
                              </w:pPr>
                              <w:r>
                                <w:rPr>
                                  <w:rFonts w:ascii="Times New Roman" w:hAnsi="Times New Roman" w:cs="Times New Roman"/>
                                  <w:color w:val="000000"/>
                                  <w:sz w:val="22"/>
                                  <w:szCs w:val="22"/>
                                </w:rPr>
                                <w:t xml:space="preserve">IRB yondashuvi</w:t>
                              </w:r>
                            </w:p>
                            <w:p>
                              <w:pPr>
                                <w:spacing w:before="0" w:after="0" w:line="228" w:lineRule="auto"/>
                                <w:jc w:val="center"/>
                                <w:ind w:firstLine="0"/>
                              </w:pPr>
                              <w:r>
                                <w:rPr>
                                  <w:rFonts w:ascii="Times New Roman" w:hAnsi="Times New Roman" w:cs="Times New Roman"/>
                                  <w:color w:val="000000"/>
                                  <w:sz w:val="22"/>
                                  <w:szCs w:val="22"/>
                                </w:rPr>
                                <w:t xml:space="preserve">(PD, LGD, EAD, M)</w:t>
                              </w:r>
                            </w:p>
                          </w:txbxContent>
                        </wps:txbx>
                        <wps:bodyPr rot="0" vert="horz" wrap="square" lIns="36000" tIns="18000" rIns="36000" bIns="18000" anchor="ctr" anchorCtr="0">
                          <a:noAutofit/>
                        </wps:bodyPr>
                      </wps:wsp>
                      <wps:wsp>
                        <wps:cNvPr id="13" name="Connector 13"/>
                        <wps:cNvCnPr/>
                        <wps:spPr>
                          <a:xfrm>
                            <a:off x="4363200" y="306000"/>
                            <a:ext cx="255600" cy="0"/>
                          </a:xfrm>
                          <a:prstGeom prst="straightConnector1">
                            <a:avLst/>
                          </a:prstGeom>
                          <a:ln w="19050">
                            <a:solidFill>
                              <a:srgbClr val="404040"/>
                            </a:solidFill>
                            <a:tailEnd type="triangle" w="med" len="med"/>
                          </a:ln>
                        </wps:spPr>
                        <wps:bodyPr/>
                      </wps:wsp>
                      <wps:wsp>
                        <wps:cNvPr id="14"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p>
                              <w:pPr>
                                <w:spacing w:before="0" w:after="0" w:line="228" w:lineRule="auto"/>
                                <w:jc w:val="center"/>
                                <w:ind w:firstLine="0"/>
                              </w:pPr>
                              <w:r>
                                <w:rPr>
                                  <w:rFonts w:ascii="Times New Roman" w:hAnsi="Times New Roman" w:cs="Times New Roman"/>
                                  <w:b/>
                                  <w:color w:val="FFFFFF"/>
                                  <w:sz w:val="22"/>
                                  <w:szCs w:val="22"/>
                                </w:rPr>
                                <w:t xml:space="preserve">(2010)</w:t>
                              </w:r>
                            </w:p>
                          </w:txbxContent>
                        </wps:txbx>
                        <wps:bodyPr rot="0" vert="horz" wrap="square" lIns="36000" tIns="18000" rIns="36000" bIns="18000" anchor="ctr" anchorCtr="0">
                          <a:noAutofit/>
                        </wps:bodyPr>
                      </wps:wsp>
                      <wps:wsp>
                        <wps:cNvPr id="15" name="Connector 15"/>
                        <wps:cNvCnPr/>
                        <wps:spPr>
                          <a:xfrm>
                            <a:off x="5256000" y="540000"/>
                            <a:ext cx="0" cy="180000"/>
                          </a:xfrm>
                          <a:prstGeom prst="straightConnector1">
                            <a:avLst/>
                          </a:prstGeom>
                          <a:ln w="15875">
                            <a:solidFill>
                              <a:srgbClr val="7F7F7F"/>
                            </a:solidFill>
                          </a:ln>
                        </wps:spPr>
                        <wps:bodyPr/>
                      </wps:wsp>
                      <wps:wsp>
                        <wps:cNvPr id="16"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CET1 ≥ 4,5%;</w:t>
                              </w:r>
                            </w:p>
                            <w:p>
                              <w:pPr>
                                <w:spacing w:before="0" w:after="0" w:line="228" w:lineRule="auto"/>
                                <w:jc w:val="center"/>
                                <w:ind w:firstLine="0"/>
                              </w:pPr>
                              <w:r>
                                <w:rPr>
                                  <w:rFonts w:ascii="Times New Roman" w:hAnsi="Times New Roman" w:cs="Times New Roman"/>
                                  <w:color w:val="000000"/>
                                  <w:sz w:val="22"/>
                                  <w:szCs w:val="22"/>
                                </w:rPr>
                                <w:t xml:space="preserve">konservatsiya va</w:t>
                              </w:r>
                            </w:p>
                            <w:p>
                              <w:pPr>
                                <w:spacing w:before="0" w:after="0" w:line="228" w:lineRule="auto"/>
                                <w:jc w:val="center"/>
                                <w:ind w:firstLine="0"/>
                              </w:pPr>
                              <w:r>
                                <w:rPr>
                                  <w:rFonts w:ascii="Times New Roman" w:hAnsi="Times New Roman" w:cs="Times New Roman"/>
                                  <w:color w:val="000000"/>
                                  <w:sz w:val="22"/>
                                  <w:szCs w:val="22"/>
                                </w:rPr>
                                <w:t xml:space="preserve">kontrsiklik buferlar;</w:t>
                              </w:r>
                            </w:p>
                            <w:p>
                              <w:pPr>
                                <w:spacing w:before="0" w:after="0" w:line="228" w:lineRule="auto"/>
                                <w:jc w:val="center"/>
                                <w:ind w:firstLine="0"/>
                              </w:pPr>
                              <w:r>
                                <w:rPr>
                                  <w:rFonts w:ascii="Times New Roman" w:hAnsi="Times New Roman" w:cs="Times New Roman"/>
                                  <w:color w:val="000000"/>
                                  <w:sz w:val="22"/>
                                  <w:szCs w:val="22"/>
                                </w:rPr>
                                <w:t xml:space="preserve">leverej ≥ 3%;</w:t>
                              </w:r>
                            </w:p>
                            <w:p>
                              <w:pPr>
                                <w:spacing w:before="0" w:after="0" w:line="228" w:lineRule="auto"/>
                                <w:jc w:val="center"/>
                                <w:ind w:firstLine="0"/>
                              </w:pPr>
                              <w:r>
                                <w:rPr>
                                  <w:rFonts w:ascii="Times New Roman" w:hAnsi="Times New Roman" w:cs="Times New Roman"/>
                                  <w:color w:val="000000"/>
                                  <w:sz w:val="22"/>
                                  <w:szCs w:val="22"/>
                                </w:rPr>
                                <w:t xml:space="preserve">LCR, NSFR ≥ 100%</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1.3.1-rasm. Bazel kelishuvlarining rivojlanish bosqichlari</w:t>
      </w:r>
      <w:r>
        <w:rPr>
          <w:rStyle w:val="FootnoteReference"/>
        </w:rPr>
        <w:footnoteReference w:id="24"/>
      </w:r>
    </w:p>
    <w:p>
      <w:pPr>
        <w:pStyle w:val="BodyText"/>
        <w:spacing w:line="360" w:lineRule="auto" w:before="0" w:after="0"/>
        <w:ind w:firstLine="709"/>
        <w:jc w:val="both"/>
      </w:pPr>
      <w:r>
        <w:rPr>
          <w:rFonts w:ascii="Times New Roman" w:hAnsi="Times New Roman" w:cs="Times New Roman" w:eastAsia="Times New Roman"/>
          <w:sz w:val="28"/>
        </w:rPr>
        <w:t xml:space="preserve">Shu bilan birga, Bazel I jiddiy kamchiliklarga ega edi. Tarullo ularning asosiylari sifatida protsiklik xususiyatni (1990–1991-yillardagi «kredit tanqisligi»), regulyativ arbitrajni va kapital talabi bilan real risk o‘rtasidagi uzilishni ko‘rsatadi</w:t>
      </w:r>
      <w:r>
        <w:rPr>
          <w:rStyle w:val="FootnoteReference"/>
        </w:rPr>
        <w:footnoteReference w:id="25"/>
      </w:r>
      <w:r>
        <w:rPr>
          <w:rFonts w:ascii="Times New Roman" w:hAnsi="Times New Roman" w:cs="Times New Roman" w:eastAsia="Times New Roman"/>
          <w:sz w:val="28"/>
        </w:rPr>
        <w:t xml:space="preserve">. Yaponiya tajribasi bu kamchiliklarni yaqqol namoyon qildi: kechiktirilgan soliq aktivlari bank kapitalining 15–40 foizini tashkil etgan, ular chiqarib tashlansa, tuzatilgan birinchi darajali kapital taxminan 2 foizgacha tushgan</w:t>
      </w:r>
      <w:r>
        <w:rPr>
          <w:rStyle w:val="FootnoteReference"/>
        </w:rPr>
        <w:footnoteReference w:id="26"/>
      </w:r>
      <w:r>
        <w:rPr>
          <w:rFonts w:ascii="Times New Roman" w:hAnsi="Times New Roman" w:cs="Times New Roman" w:eastAsia="Times New Roman"/>
          <w:sz w:val="28"/>
        </w:rPr>
        <w:t xml:space="preserve">. Bu holat milliy hisob qoidalari kapitalni sun’iy «bo‘rttirishi» mumkinligini ko‘rsatadi va keyinchalik MHXS bo‘yicha baholashning ahamiyatini asoslaydi.</w:t>
      </w:r>
    </w:p>
    <w:p>
      <w:pPr>
        <w:pStyle w:val="BodyText"/>
        <w:spacing w:line="360" w:lineRule="auto" w:before="0" w:after="0"/>
        <w:ind w:firstLine="709"/>
        <w:jc w:val="both"/>
      </w:pPr>
      <w:r>
        <w:rPr>
          <w:bCs/>
          <w:rFonts w:ascii="Times New Roman" w:hAnsi="Times New Roman" w:cs="Times New Roman" w:eastAsia="Times New Roman"/>
          <w:b/>
          <w:sz w:val="28"/>
        </w:rPr>
        <w:t xml:space="preserve">Bazel II (2004).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Ikkinchi kelishuv uch ustunga asoslangan: minimal kapital talablari, nazorat jarayoni va bozor intizomi. Kapital endi kredit, bozor va operatsion risklarni qoplashi kerak bo‘ldi. Eng muhim yangilik – ichki reytinglarga asoslangan (IRB) yondashuv bo‘lib, unda bank defolt ehtimoli (PD), defolt holatidagi yo‘qotish (LGD), defolt paytidagi risk miqdori (EAD) va muddat (M) parametrlarini o‘zi baholaydi</w:t>
      </w:r>
      <w:r>
        <w:rPr>
          <w:rStyle w:val="FootnoteReference"/>
        </w:rPr>
        <w:footnoteReference w:id="27"/>
      </w:r>
      <w:r>
        <w:rPr>
          <w:rFonts w:ascii="Times New Roman" w:hAnsi="Times New Roman" w:cs="Times New Roman" w:eastAsia="Times New Roman"/>
          <w:sz w:val="28"/>
        </w:rPr>
        <w:t xml:space="preserve">. Bu yondashuv kapital talabini risk darajasiga sezgirroq qildi, lekin ichki modellarning ishonchliligi muammosini keltirib chiqardi. Tarullo keltirgan miqdoriy tadqiqotlarga ko‘ra, turli banklarning ichki modellari bir xil kreditlar uchun minus 30 foizdan plyus 190 foizgacha farq qiladigan kapital talabini bergan</w:t>
      </w:r>
      <w:r>
        <w:rPr>
          <w:rStyle w:val="FootnoteReference"/>
        </w:rPr>
        <w:footnoteReference w:id="28"/>
      </w:r>
      <w:r>
        <w:rPr>
          <w:rFonts w:ascii="Times New Roman" w:hAnsi="Times New Roman" w:cs="Times New Roman" w:eastAsia="Times New Roman"/>
          <w:sz w:val="28"/>
        </w:rPr>
        <w:t xml:space="preserve">. Muallif Bazel II ni «ikki dunyoning eng yomoni» deb baholaydi: u murakkab, lekin riskka yetarlicha sezgir emas</w:t>
      </w:r>
      <w:r>
        <w:rPr>
          <w:rStyle w:val="FootnoteReference"/>
        </w:rPr>
        <w:footnoteReference w:id="29"/>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Bazel III (2010).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2007–2009-yillardagi global moliyaviy inqiroz Bazel II ning kamchiliklarini yaqqol ko‘rsatdi va Bazel III ning qabul qilinishiga olib keldi. W. Tian Bazel III ning mohiyatini risk menejmenti nuqtai nazaridan «riskka sezgirlikdan kapital sig‘imkorlikka» siljish deb tavsiflaydi</w:t>
      </w:r>
      <w:r>
        <w:rPr>
          <w:rStyle w:val="FootnoteReference"/>
        </w:rPr>
        <w:footnoteReference w:id="30"/>
      </w:r>
      <w:r>
        <w:rPr>
          <w:rFonts w:ascii="Times New Roman" w:hAnsi="Times New Roman" w:cs="Times New Roman" w:eastAsia="Times New Roman"/>
          <w:sz w:val="28"/>
        </w:rPr>
        <w:t xml:space="preserve">. M. Modina yangi kelishuvning ikki maqsadini ajratadi: mikroprudensial maqsad – alohida banklarning stressga chidamliligini oshirish; makroprudensial maqsad – protsiklikni cheklash</w:t>
      </w:r>
      <w:r>
        <w:rPr>
          <w:rStyle w:val="FootnoteReference"/>
        </w:rPr>
        <w:footnoteReference w:id="3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III kapital talablarini ham miqdor, ham sifat jihatidan kuchaytirdi. Asosiy kapital (CET1) talabi 2 foizdan 4,5 foizga, birinchi darajali kapital talabi 4 foizdan 6 foizga oshirildi, jami kapital talabi 8 foiz darajasida qoldi. Bunga qo‘shimcha ravishda 2,5 foizlik kapitalni saqlash (konservatsiya) buferi va 0–2,5 foizlik kontrsiklik bufer joriy etildi</w:t>
      </w:r>
      <w:r>
        <w:rPr>
          <w:rStyle w:val="FootnoteReference"/>
        </w:rPr>
        <w:footnoteReference w:id="32"/>
      </w:r>
      <w:r>
        <w:rPr>
          <w:rFonts w:ascii="Times New Roman" w:hAnsi="Times New Roman" w:cs="Times New Roman" w:eastAsia="Times New Roman"/>
          <w:sz w:val="28"/>
        </w:rPr>
        <w:t xml:space="preserve">. Natijada konservatsiya buferi bilan birga jami talab 10,5 foizga, kontrsiklik bufer to‘liq qo‘llanganda esa 13 foizga yetadi (1.3.2-rasm).</w:t>
      </w:r>
    </w:p>
    <w:p>
      <w:pPr>
        <w:pStyle w:val="BodyText"/>
        <w:keepNext/>
        <w:spacing w:line="240" w:lineRule="auto" w:before="0" w:after="0"/>
        <w:ind w:firstLine="0"/>
        <w:jc w:val="center"/>
      </w:pPr>
      <w:r xmlns:c="http://schemas.openxmlformats.org/drawingml/2006/chart">
        <w:rPr>
          <w:noProof/>
        </w:rPr>
        <w:drawing>
          <wp:inline distT="0" distB="0" distL="0" distR="0">
            <wp:extent cx="5580000" cy="3060000"/>
            <wp:effectExtent l="0" t="0" r="0" b="0"/>
            <wp:docPr id="1002" name="1.3.2-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1.3.2-rasm. Bazel II va Bazel III bo‘yicha kapital talablarining tuzilmasi</w:t>
      </w:r>
      <w:r>
        <w:rPr>
          <w:rStyle w:val="FootnoteReference"/>
        </w:rPr>
        <w:footnoteReference w:id="33"/>
      </w:r>
    </w:p>
    <w:p>
      <w:pPr>
        <w:pStyle w:val="BodyText"/>
        <w:spacing w:line="360" w:lineRule="auto" w:before="0" w:after="0"/>
        <w:ind w:firstLine="709"/>
        <w:jc w:val="both"/>
      </w:pPr>
      <w:r>
        <w:rPr>
          <w:rFonts w:ascii="Times New Roman" w:hAnsi="Times New Roman" w:cs="Times New Roman" w:eastAsia="Times New Roman"/>
          <w:sz w:val="28"/>
        </w:rPr>
        <w:t xml:space="preserve">Kapital sifati talablari ham qat’iylashdi. Asosiy kapitalga kiritiladigan instrumentlar uchun 14 ta mezon belgilandi, gudvil, kelajakdagi foydaga bog‘liq kechiktirilgan soliq aktivlari va zaxiralarning kutilgan yo‘qotishdan kam qismi asosiy kapitaldan chegirib tashlanadigan bo‘ldi</w:t>
      </w:r>
      <w:r>
        <w:rPr>
          <w:rStyle w:val="FootnoteReference"/>
        </w:rPr>
        <w:footnoteReference w:id="3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Konservatsiya buferining o‘ziga xos jihati shundaki, u to‘g‘ridan-to‘g‘ri majburiy minimum emas, balki bank xatti-harakatini cheklovchi mexanizmdir. Agar bankning asosiy kapitali buferni hisobga olgan holda 7 foizdan past bo‘lsa, bank foydaning bir qismini dividend sifatida taqsimlay olmaydi. Asosiy kapital 4,5–5,125 foiz oralig‘ida bo‘lsa foydaning 100 foizi, 5,125–5,75 foiz oralig‘ida 80 foizi, 5,75–6,375 foiz oralig‘ida 60 foizi, 6,375–7 foiz oralig‘ida 40 foizi bankda qoldirilishi kerak</w:t>
      </w:r>
      <w:r>
        <w:rPr>
          <w:rStyle w:val="FootnoteReference"/>
        </w:rPr>
        <w:footnoteReference w:id="35"/>
      </w:r>
      <w:r>
        <w:rPr>
          <w:rFonts w:ascii="Times New Roman" w:hAnsi="Times New Roman" w:cs="Times New Roman" w:eastAsia="Times New Roman"/>
          <w:sz w:val="28"/>
        </w:rPr>
        <w:t xml:space="preserve">. Bu bog‘liqlik pog‘onali funksiya ko‘rinishiga ega (1.3.3-rasm).</w:t>
      </w:r>
    </w:p>
    <w:p>
      <w:pPr>
        <w:pStyle w:val="BodyText"/>
        <w:keepNext/>
        <w:spacing w:line="240" w:lineRule="auto" w:before="0" w:after="0"/>
        <w:ind w:firstLine="0"/>
        <w:jc w:val="center"/>
      </w:pPr>
      <w:r xmlns:c="http://schemas.openxmlformats.org/drawingml/2006/chart">
        <w:rPr>
          <w:noProof/>
        </w:rPr>
        <w:drawing>
          <wp:inline distT="0" distB="0" distL="0" distR="0">
            <wp:extent cx="5580000" cy="2700000"/>
            <wp:effectExtent l="0" t="0" r="0" b="0"/>
            <wp:docPr id="1003" name="1.3.3-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1.3.3-rasm. Konservatsiya buferi bo‘yicha foydani taqsimlash cheklovlari shkalasi</w:t>
      </w:r>
      <w:r>
        <w:rPr>
          <w:rStyle w:val="FootnoteReference"/>
        </w:rPr>
        <w:footnoteReference w:id="36"/>
      </w:r>
    </w:p>
    <w:p>
      <w:pPr>
        <w:pStyle w:val="BodyText"/>
        <w:spacing w:line="360" w:lineRule="auto" w:before="0" w:after="0"/>
        <w:ind w:firstLine="709"/>
        <w:jc w:val="both"/>
      </w:pPr>
      <w:r>
        <w:rPr>
          <w:rFonts w:ascii="Times New Roman" w:hAnsi="Times New Roman" w:cs="Times New Roman" w:eastAsia="Times New Roman"/>
          <w:sz w:val="28"/>
        </w:rPr>
        <w:t xml:space="preserve">Bu shkala moliyaviy barqarorlikni baholash metodikasi uchun muhim metodologik namuna hisoblanadi. U kapital ko‘rsatkichini «bajarilgan – bajarilmagan» ikkilik mezoni bilan emas, balki minimumdan qanchalik yuqori ekaniga qarab bir necha pog‘onada baholash mumkinligini ko‘rsatadi. Dissertatsiyaning 3.1-paragrafida taklif etiladigan ballik shkala ham aynan shu mantiqqa tayanadi.</w:t>
      </w:r>
    </w:p>
    <w:p>
      <w:pPr>
        <w:pStyle w:val="BodyText"/>
        <w:spacing w:line="360" w:lineRule="auto" w:before="0" w:after="0"/>
        <w:ind w:firstLine="709"/>
        <w:jc w:val="both"/>
      </w:pPr>
      <w:r>
        <w:rPr>
          <w:rFonts w:ascii="Times New Roman" w:hAnsi="Times New Roman" w:cs="Times New Roman" w:eastAsia="Times New Roman"/>
          <w:sz w:val="28"/>
        </w:rPr>
        <w:t xml:space="preserve">Kontrsiklik bufer esa makroprudensial vosita bo‘lib, kreditlashning haddan tashqari o‘sishi davrida kapital to‘plashni va inqiroz davrida uni bo‘shatishni ta’minlaydi. Bazel qo‘mitasi tavsiyasiga ko‘ra, bufer miqdori kredit/YaIM nisbatining uzoq muddatli trenddan og‘ishi (kredit gepi) asosida belgilanadi: gep 2 foiz punktdan past bo‘lsa bufer nolga teng, 10 foiz punktdan yuqori bo‘lsa maksimal 2,5 foizga teng, oraliqda esa chiziqli oshib boradi (1.3.4-rasm). O.N. Afanasyeva va S.E. Dubova kredit/YaIM nisbatining yiliga 2–3 foizga oshishi ortiqcha kreditlash xavfidan dalolat berishini ta’kidlaydi</w:t>
      </w:r>
      <w:r>
        <w:rPr>
          <w:rStyle w:val="FootnoteReference"/>
        </w:rPr>
        <w:footnoteReference w:id="37"/>
      </w:r>
      <w:r>
        <w:rPr>
          <w:rFonts w:ascii="Times New Roman" w:hAnsi="Times New Roman" w:cs="Times New Roman" w:eastAsia="Times New Roman"/>
          <w:sz w:val="28"/>
        </w:rPr>
        <w:t xml:space="preserve">.</w:t>
      </w:r>
    </w:p>
    <w:p>
      <w:pPr>
        <w:pStyle w:val="BodyText"/>
        <w:keepNext/>
        <w:spacing w:line="240" w:lineRule="auto" w:before="0" w:after="0"/>
        <w:ind w:firstLine="0"/>
        <w:jc w:val="center"/>
      </w:pPr>
      <w:r xmlns:c="http://schemas.openxmlformats.org/drawingml/2006/chart">
        <w:rPr>
          <w:noProof/>
        </w:rPr>
        <w:drawing>
          <wp:inline distT="0" distB="0" distL="0" distR="0">
            <wp:extent cx="5580000" cy="2700000"/>
            <wp:effectExtent l="0" t="0" r="0" b="0"/>
            <wp:docPr id="1004" name="1.3.4-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1.3.4-rasm. Kontrsiklik bufer miqdorining kredit gepiga bog‘liqligi</w:t>
      </w:r>
      <w:r>
        <w:rPr>
          <w:rStyle w:val="FootnoteReference"/>
        </w:rPr>
        <w:footnoteReference w:id="38"/>
      </w:r>
    </w:p>
    <w:p>
      <w:pPr>
        <w:pStyle w:val="BodyText"/>
        <w:spacing w:line="360" w:lineRule="auto" w:before="0" w:after="0"/>
        <w:ind w:firstLine="709"/>
        <w:jc w:val="both"/>
      </w:pPr>
      <w:r>
        <w:rPr>
          <w:rFonts w:ascii="Times New Roman" w:hAnsi="Times New Roman" w:cs="Times New Roman" w:eastAsia="Times New Roman"/>
          <w:sz w:val="28"/>
        </w:rPr>
        <w:t xml:space="preserve">Bazel III ning yana bir yangiligi – leverej koeffitsiyenti. U birinchi darajali kapitalning balans va balansdan tashqari jami risk miqdoriga nisbati sifatida hisoblanadi va kamida 3 foiz bo‘lishi kerak</w:t>
      </w:r>
      <w:r>
        <w:rPr>
          <w:rStyle w:val="FootnoteReference"/>
        </w:rPr>
        <w:footnoteReference w:id="39"/>
      </w:r>
      <w:r>
        <w:rPr>
          <w:rFonts w:ascii="Times New Roman" w:hAnsi="Times New Roman" w:cs="Times New Roman" w:eastAsia="Times New Roman"/>
          <w:sz w:val="28"/>
        </w:rPr>
        <w:t xml:space="preserve">. Tian uni «oddiy, riskka asoslanmagan zaxira chorasi» (backstop) deb ataydi</w:t>
      </w:r>
      <w:r>
        <w:rPr>
          <w:rStyle w:val="FootnoteReference"/>
        </w:rPr>
        <w:footnoteReference w:id="40"/>
      </w:r>
      <w:r>
        <w:rPr>
          <w:rFonts w:ascii="Times New Roman" w:hAnsi="Times New Roman" w:cs="Times New Roman" w:eastAsia="Times New Roman"/>
          <w:sz w:val="28"/>
        </w:rPr>
        <w:t xml:space="preserve">. Bu ko‘rsatkich ichki modellar xatosidan himoya qiladi, chunki u risk vaznlariga bog‘liq emas. Tarullo ham uni bank balansidan oson hisoblanadigan, eng shaffof kapital ko‘rsatkichi deb baholaydi</w:t>
      </w:r>
      <w:r>
        <w:rPr>
          <w:rStyle w:val="FootnoteReference"/>
        </w:rPr>
        <w:footnoteReference w:id="4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III birinchi marta likvidlik bo‘yicha miqdoriy talablarni kiritdi. Likvidlikni qoplash koeffitsiyenti (LCR) yuqori sifatli likvid aktivlarning keyingi 30 kundagi sof pul chiqimiga nisbati sifatida hisoblanadi va kamida 100 foiz bo‘lishi kerak. Yuqori sifatli likvid aktivlarning ikkinchi darajasi jami likvid aktivlarning 40 foizidan, 2B darajasi esa 15 foizidan oshmasligi, ularga mos ravishda 15 va 25–50 foizlik diskontlar qo‘llanishi belgilangan</w:t>
      </w:r>
      <w:r>
        <w:rPr>
          <w:rStyle w:val="FootnoteReference"/>
        </w:rPr>
        <w:footnoteReference w:id="42"/>
      </w:r>
      <w:r>
        <w:rPr>
          <w:rFonts w:ascii="Times New Roman" w:hAnsi="Times New Roman" w:cs="Times New Roman" w:eastAsia="Times New Roman"/>
          <w:sz w:val="28"/>
        </w:rPr>
        <w:t xml:space="preserve">. Sof barqaror moliyalashtirish koeffitsiyenti (NSFR) mavjud barqaror moliyalashtirishning talab qilinadigan barqaror moliyalashtirishga nisbati bo‘lib, u ham kamida 100 foiz bo‘lishi lozim. Bunda kapitalga 100 foiz, barqaror depozitlarga 90 foiz, kamroq barqaror depozitlarga 80 foiz koeffitsiyent beriladi</w:t>
      </w:r>
      <w:r>
        <w:rPr>
          <w:rStyle w:val="FootnoteReference"/>
        </w:rPr>
        <w:footnoteReference w:id="4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Nihoyat, Bazel III tizimli ahamiyatli banklar uchun qo‘shimcha talablarni joriy etdi. Global tizimli ahamiyatli banklar besh mezon – hajm, o‘zaro bog‘liqlik, o‘rnini bosish qiyinligi, transchegaraviy faoliyat va murakkablik bo‘yicha (har biri 20 foiz vazn bilan) aniqlanadi va ularga 1–2,5 foizlik qo‘shimcha asosiy kapital talabi qo‘yiladi</w:t>
      </w:r>
      <w:r>
        <w:rPr>
          <w:rStyle w:val="FootnoteReference"/>
        </w:rPr>
        <w:footnoteReference w:id="44"/>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O‘zbekistonda Bazel III ning joriy etilishi.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Respublikasi Prezidentining 2015-yil 6-maydagi PQ-2344-son qarori bilan Markaziy bankka 2015–2019-yillarda Bazel III talablarini bosqichma-bosqich joriy etish topshirilgan</w:t>
      </w:r>
      <w:r>
        <w:rPr>
          <w:rStyle w:val="FootnoteReference"/>
        </w:rPr>
        <w:footnoteReference w:id="45"/>
      </w:r>
      <w:r>
        <w:rPr>
          <w:rFonts w:ascii="Times New Roman" w:hAnsi="Times New Roman" w:cs="Times New Roman" w:eastAsia="Times New Roman"/>
          <w:sz w:val="28"/>
        </w:rPr>
        <w:t xml:space="preserve">. Markaziy bankning 2015-yildagi nizomlari bilan kapital yetarliligi va likvidlikka talablar belgilangan. T.M. Karaliyev va I.F. Sayfiddinov ma’lumotiga ko‘ra, LCR ning minimal darajasi 2016-yil 1-yanvardan 80 foiz, 2017-yil 1-yanvardan 90 foiz, 2018-yil 1-yanvardan 100 foiz qilib belgilangan, NSFR esa 2018-yildan kamida 100 foiz darajasida joriy etilgan</w:t>
      </w:r>
      <w:r>
        <w:rPr>
          <w:rStyle w:val="FootnoteReference"/>
        </w:rPr>
        <w:footnoteReference w:id="46"/>
      </w:r>
      <w:r>
        <w:rPr>
          <w:rFonts w:ascii="Times New Roman" w:hAnsi="Times New Roman" w:cs="Times New Roman" w:eastAsia="Times New Roman"/>
          <w:sz w:val="28"/>
        </w:rPr>
        <w:t xml:space="preserve">. Mualliflar bank tizimi kapital yetarliligi 24 foizdan oshgani, ya’ni xalqaro 8 foizlik talabdan uch baravar yuqori ekanini qayd etadi</w:t>
      </w:r>
      <w:r>
        <w:rPr>
          <w:rStyle w:val="FootnoteReference"/>
        </w:rPr>
        <w:footnoteReference w:id="47"/>
      </w:r>
      <w:r>
        <w:rPr>
          <w:rFonts w:ascii="Times New Roman" w:hAnsi="Times New Roman" w:cs="Times New Roman" w:eastAsia="Times New Roman"/>
          <w:sz w:val="28"/>
        </w:rPr>
        <w:t xml:space="preserve">. Biroq yuqori kapitallashuv o‘z-o‘zidan barqarorlik kafolati emas: B.T. Berdiyarov haddan ortiq kapitallashuv qimmat moliyalashtirishga olib kelishi mumkinligini ta’kidlaydi</w:t>
      </w:r>
      <w:r>
        <w:rPr>
          <w:rStyle w:val="FootnoteReference"/>
        </w:rPr>
        <w:footnoteReference w:id="48"/>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Bazel standartlarining baholash uchun ahamiyati va cheklovlari.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 moliyaviy barqarorlikni baholash uchun aniq miqdoriy mezonlar beradi: kapital yetarliligi, leverej, LCR va NSFR ko‘rsatkichlari va ularning minimal qiymatlari. Ammo uni to‘liq baholash tizimi deb bo‘lmaydi. Birinchidan, Bazel III aktivlar sifati va daromadlilikka bevosita miqdoriy talab qo‘ymaydi. Ikkinchidan, u har bir ko‘rsatkich bo‘yicha alohida talab belgilaydi, lekin ularni yagona bahoga birlashtirmaydi. Uchinchidan, Rossiya tajribasi asosida yozilgan monografiyada ko‘rsatilganidek, kredit riski yetarli baholanmagan sharoitda Bazel III yangiliklari bank sektori barqarorligi muammosini hal qila olmaydi</w:t>
      </w:r>
      <w:r>
        <w:rPr>
          <w:rStyle w:val="FootnoteReference"/>
        </w:rPr>
        <w:footnoteReference w:id="49"/>
      </w:r>
      <w:r>
        <w:rPr>
          <w:rFonts w:ascii="Times New Roman" w:hAnsi="Times New Roman" w:cs="Times New Roman" w:eastAsia="Times New Roman"/>
          <w:sz w:val="28"/>
        </w:rPr>
        <w:t xml:space="preserve">.</w:t>
      </w:r>
    </w:p>
    <w:bookmarkEnd w:id="50"/>
    <w:bookmarkStart w:id="57" w:name="mhxs-9-kutilgan-kredit-zararlari-model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2. MHXS 9: kutilgan kredit zararlari modeli</w:t>
      </w:r>
    </w:p>
    <w:p>
      <w:pPr>
        <w:pStyle w:val="FirstParagraph"/>
        <w:spacing w:line="360" w:lineRule="auto" w:before="0" w:after="0"/>
        <w:ind w:firstLine="709"/>
        <w:jc w:val="both"/>
      </w:pPr>
      <w:r>
        <w:rPr>
          <w:rFonts w:ascii="Times New Roman" w:hAnsi="Times New Roman" w:cs="Times New Roman" w:eastAsia="Times New Roman"/>
          <w:sz w:val="28"/>
        </w:rPr>
        <w:t xml:space="preserve">Moliyaviy barqarorlikni baholashda ishlatiladigan ko‘rsatkichlarning ishonchliligi bevosita ular qaysi hisob standarti asosida tuzilganiga bog‘liq. Shu jihatdan 2018-yildan amalga kiritilgan MHXS 9 «Moliyaviy instrumentlar» standarti alohida ahamiyatga ega.</w:t>
      </w:r>
    </w:p>
    <w:p>
      <w:pPr>
        <w:pStyle w:val="BodyText"/>
        <w:spacing w:line="360" w:lineRule="auto" w:before="0" w:after="0"/>
        <w:ind w:firstLine="709"/>
        <w:jc w:val="both"/>
      </w:pPr>
      <w:r>
        <w:rPr>
          <w:rFonts w:ascii="Times New Roman" w:hAnsi="Times New Roman" w:cs="Times New Roman" w:eastAsia="Times New Roman"/>
          <w:sz w:val="28"/>
        </w:rPr>
        <w:t xml:space="preserve">MHXS 9 ning asosiy yangiligi – kredit zararlarini tan olishda «yuzaga kelgan zararlar» modelidan «kutilgan zararlar» modeliga o‘tish. Avvalgi MHXS (IAS) 39 standartida zaxira faqat haqiqatda yuzaga kelgan yo‘qotishlar summasiga yaratilgan. MHXS 9 da esa zaxira 12 oylik yoki butun muddat uchun defolt ehtimoli bilan tortilgan, kutilayotgan pul tushumlari kamayishi asosida hisoblanadi; defolt holatidagi yo‘qotish samarali foiz stavkasi bo‘yicha diskontlanadi</w:t>
      </w:r>
      <w:r>
        <w:rPr>
          <w:rStyle w:val="FootnoteReference"/>
        </w:rPr>
        <w:footnoteReference w:id="51"/>
      </w:r>
      <w:r>
        <w:rPr>
          <w:rFonts w:ascii="Times New Roman" w:hAnsi="Times New Roman" w:cs="Times New Roman" w:eastAsia="Times New Roman"/>
          <w:sz w:val="28"/>
        </w:rPr>
        <w:t xml:space="preserve">. N.E. Sokolinskaya bu o‘zgarishni «yuzaga kelgan zararlarga asoslangan yondashuv o‘rniga prognoz yondashuvining kiritilishi» deb tavsiflaydi</w:t>
      </w:r>
      <w:r>
        <w:rPr>
          <w:rStyle w:val="FootnoteReference"/>
        </w:rPr>
        <w:footnoteReference w:id="5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Standartga ko‘ra, moliyaviy aktivlar kredit sifatining o‘zgarishiga qarab uch bosqichga ajratiladi (1.3.5-rasm).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448000"/>
                <wp:effectExtent l="0" t="0" r="0" b="0"/>
                <wp:docPr id="1005" name="1.3.5-rasm"/>
                <wp:cNvGraphicFramePr/>
                <a:graphic>
                  <a:graphicData uri="http://schemas.microsoft.com/office/word/2010/wordprocessingGroup">
                    <wpg:wgp>
                      <wpg:cNvGrpSpPr/>
                      <wpg:grpSpPr>
                        <a:xfrm>
                          <a:off x="0" y="0"/>
                          <a:ext cx="5904000" cy="2448000"/>
                          <a:chOff x="0" y="0"/>
                          <a:chExt cx="5904000" cy="2448000"/>
                        </a:xfrm>
                      </wpg:grpSpPr>
                      <wps:wsp>
                        <wps:cNvPr id="17" name="Shape 17"/>
                        <wps:cNvSpPr/>
                        <wps:spPr>
                          <a:xfrm>
                            <a:off x="36000" y="0"/>
                            <a:ext cx="58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i/>
                                  <w:color w:val="000000"/>
                                  <w:sz w:val="22"/>
                                  <w:szCs w:val="22"/>
                                </w:rPr>
                                <w:t xml:space="preserve">Dastlabki tan olingandan keyin kredit sifatining yomonlashuvi</w:t>
                              </w:r>
                            </w:p>
                          </w:txbxContent>
                        </wps:txbx>
                        <wps:bodyPr rot="0" vert="horz" wrap="square" lIns="36000" tIns="18000" rIns="36000" bIns="18000" anchor="ctr" anchorCtr="0">
                          <a:noAutofit/>
                        </wps:bodyPr>
                      </wps:wsp>
                      <wps:wsp>
                        <wps:cNvPr id="18" name="Connector 18"/>
                        <wps:cNvCnPr/>
                        <wps:spPr>
                          <a:xfrm>
                            <a:off x="72000" y="270000"/>
                            <a:ext cx="5760000" cy="0"/>
                          </a:xfrm>
                          <a:prstGeom prst="straightConnector1">
                            <a:avLst/>
                          </a:prstGeom>
                          <a:ln w="31750">
                            <a:solidFill>
                              <a:srgbClr val="7F7F7F"/>
                            </a:solidFill>
                            <a:tailEnd type="triangle" w="med" len="med"/>
                          </a:ln>
                        </wps:spPr>
                        <wps:bodyPr/>
                      </wps:wsp>
                      <wps:wsp>
                        <wps:cNvPr id="19"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1-bosqich</w:t>
                              </w:r>
                            </w:p>
                          </w:txbxContent>
                        </wps:txbx>
                        <wps:bodyPr rot="0" vert="horz" wrap="square" lIns="36000" tIns="18000" rIns="36000" bIns="18000" anchor="ctr" anchorCtr="0">
                          <a:noAutofit/>
                        </wps:bodyPr>
                      </wps:wsp>
                      <wps:wsp>
                        <wps:cNvPr id="20"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oshmagan aktivlar</w:t>
                              </w:r>
                            </w:p>
                          </w:txbxContent>
                        </wps:txbx>
                        <wps:bodyPr rot="0" vert="horz" wrap="square" lIns="36000" tIns="18000" rIns="36000" bIns="18000" anchor="ctr" anchorCtr="0">
                          <a:noAutofit/>
                        </wps:bodyPr>
                      </wps:wsp>
                      <wps:wsp>
                        <wps:cNvPr id="21"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12 oylik kutilgan</w:t>
                              </w:r>
                            </w:p>
                            <w:p>
                              <w:pPr>
                                <w:spacing w:before="0" w:after="0" w:line="228" w:lineRule="auto"/>
                                <w:jc w:val="center"/>
                                <w:ind w:firstLine="0"/>
                              </w:pPr>
                              <w:r>
                                <w:rPr>
                                  <w:rFonts w:ascii="Times New Roman" w:hAnsi="Times New Roman" w:cs="Times New Roman"/>
                                  <w:b/>
                                  <w:color w:val="000000"/>
                                  <w:sz w:val="22"/>
                                  <w:szCs w:val="22"/>
                                </w:rPr>
                                <w:t xml:space="preserve">kredit zararlari</w:t>
                              </w:r>
                            </w:p>
                          </w:txbxContent>
                        </wps:txbx>
                        <wps:bodyPr rot="0" vert="horz" wrap="square" lIns="36000" tIns="18000" rIns="36000" bIns="18000" anchor="ctr" anchorCtr="0">
                          <a:noAutofit/>
                        </wps:bodyPr>
                      </wps:wsp>
                      <wps:wsp>
                        <wps:cNvPr id="22"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3"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4"/>
                                  <w:szCs w:val="24"/>
                                </w:rPr>
                                <w:t xml:space="preserve">2-bosqich</w:t>
                              </w:r>
                            </w:p>
                          </w:txbxContent>
                        </wps:txbx>
                        <wps:bodyPr rot="0" vert="horz" wrap="square" lIns="36000" tIns="18000" rIns="36000" bIns="18000" anchor="ctr" anchorCtr="0">
                          <a:noAutofit/>
                        </wps:bodyPr>
                      </wps:wsp>
                      <wps:wsp>
                        <wps:cNvPr id="24"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oshgan aktivlar</w:t>
                              </w:r>
                            </w:p>
                          </w:txbxContent>
                        </wps:txbx>
                        <wps:bodyPr rot="0" vert="horz" wrap="square" lIns="36000" tIns="18000" rIns="36000" bIns="18000" anchor="ctr" anchorCtr="0">
                          <a:noAutofit/>
                        </wps:bodyPr>
                      </wps:wsp>
                      <wps:wsp>
                        <wps:cNvPr id="2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26"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7"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3-bosqich</w:t>
                              </w:r>
                            </w:p>
                          </w:txbxContent>
                        </wps:txbx>
                        <wps:bodyPr rot="0" vert="horz" wrap="square" lIns="36000" tIns="18000" rIns="36000" bIns="18000" anchor="ctr" anchorCtr="0">
                          <a:noAutofit/>
                        </wps:bodyPr>
                      </wps:wsp>
                      <wps:wsp>
                        <wps:cNvPr id="28"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Qadrsizlangan</w:t>
                              </w:r>
                            </w:p>
                            <w:p>
                              <w:pPr>
                                <w:spacing w:before="0" w:after="0" w:line="228" w:lineRule="auto"/>
                                <w:jc w:val="center"/>
                                <w:ind w:firstLine="0"/>
                              </w:pPr>
                              <w:r>
                                <w:rPr>
                                  <w:rFonts w:ascii="Times New Roman" w:hAnsi="Times New Roman" w:cs="Times New Roman"/>
                                  <w:color w:val="000000"/>
                                  <w:sz w:val="22"/>
                                  <w:szCs w:val="22"/>
                                </w:rPr>
                                <w:t xml:space="preserve">(defolt) aktivlar</w:t>
                              </w:r>
                            </w:p>
                          </w:txbxContent>
                        </wps:txbx>
                        <wps:bodyPr rot="0" vert="horz" wrap="square" lIns="36000" tIns="18000" rIns="36000" bIns="18000" anchor="ctr" anchorCtr="0">
                          <a:noAutofit/>
                        </wps:bodyPr>
                      </wps:wsp>
                      <wps:wsp>
                        <wps:cNvPr id="29"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3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sof</w:t>
                              </w:r>
                            </w:p>
                            <w:p>
                              <w:pPr>
                                <w:spacing w:before="0" w:after="0" w:line="228" w:lineRule="auto"/>
                                <w:jc w:val="center"/>
                                <w:ind w:firstLine="0"/>
                              </w:pPr>
                              <w:r>
                                <w:rPr>
                                  <w:rFonts w:ascii="Times New Roman" w:hAnsi="Times New Roman" w:cs="Times New Roman"/>
                                  <w:color w:val="000000"/>
                                  <w:sz w:val="22"/>
                                  <w:szCs w:val="22"/>
                                </w:rPr>
                                <w:t xml:space="preserve">(zaxiradan keyingi)</w:t>
                              </w:r>
                            </w:p>
                            <w:p>
                              <w:pPr>
                                <w:spacing w:before="0" w:after="0" w:line="228" w:lineRule="auto"/>
                                <w:jc w:val="center"/>
                                <w:ind w:firstLine="0"/>
                              </w:pPr>
                              <w:r>
                                <w:rPr>
                                  <w:rFonts w:ascii="Times New Roman" w:hAnsi="Times New Roman" w:cs="Times New Roman"/>
                                  <w:color w:val="000000"/>
                                  <w:sz w:val="22"/>
                                  <w:szCs w:val="22"/>
                                </w:rPr>
                                <w:t xml:space="preserve">qiymatga hisoblanadi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1.3.5-rasm. MHXS 9 bo‘yicha kutilgan kredit zararlarini baholashning uch bosqichli modeli</w:t>
      </w:r>
      <w:r>
        <w:rPr>
          <w:rStyle w:val="FootnoteReference"/>
        </w:rPr>
        <w:footnoteReference w:id="53"/>
      </w:r>
    </w:p>
    <w:p>
      <w:pPr>
        <w:pStyle w:val="BodyText"/>
        <w:spacing w:line="360" w:lineRule="auto" w:before="0" w:after="0"/>
        <w:ind w:firstLine="709"/>
        <w:jc w:val="both"/>
      </w:pPr>
      <w:r>
        <w:rPr>
          <w:rFonts w:ascii="Times New Roman" w:hAnsi="Times New Roman" w:cs="Times New Roman" w:eastAsia="Times New Roman"/>
          <w:sz w:val="28"/>
        </w:rPr>
        <w:t xml:space="preserve">MHXS 9 ning bank moliyaviy barqarorligiga ta’siri sezilarli. Sokolinskaya Rossiya bankining ma’lumotlari asosida tuzgan prognozda, MHXS 9 ga o‘tish natijasida zaxiralar kredit portfelining 19,1 foiziga yetishi, ya’ni zaxira xarajatlari deyarli ikki baravar oshishi mumkinligini ko‘rsatgan</w:t>
      </w:r>
      <w:r>
        <w:rPr>
          <w:rStyle w:val="FootnoteReference"/>
        </w:rPr>
        <w:footnoteReference w:id="54"/>
      </w:r>
      <w:r>
        <w:rPr>
          <w:rFonts w:ascii="Times New Roman" w:hAnsi="Times New Roman" w:cs="Times New Roman" w:eastAsia="Times New Roman"/>
          <w:sz w:val="28"/>
        </w:rPr>
        <w:t xml:space="preserve">. Milliy hisob qoidalari va MHXS o‘rtasidagi farq ba’zan keskin bo‘ladi: muallif keltirgan misolda bitta bank 2015-yilda milliy hisobotda 63,7 mlrd rubl zarar, MHXS bo‘yicha esa 4,35 mlrd rubl foyda ko‘rsatgan</w:t>
      </w:r>
      <w:r>
        <w:rPr>
          <w:rStyle w:val="FootnoteReference"/>
        </w:rPr>
        <w:footnoteReference w:id="5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III ga oid monografiyada keltirilgan empirik natija ham shu muammoni tasdiqlaydi: Rossiya bank sektorida 2010–2016-yillarda zaxiralar va kapital yetarliligi o‘rtasidagi korrelyatsiya 0,7 ni, zaxiralar va muddati o‘tgan qarzlar ulushi o‘rtasidagi korrelyatsiya esa atigi 0,24 ni tashkil etgan. Mualliflar bundan amaldagi zaxira yaratish amaliyoti kutilgan yo‘qotishlarni qoplash maqsadiga javob bermaydi, degan xulosaga keladi</w:t>
      </w:r>
      <w:r>
        <w:rPr>
          <w:rStyle w:val="FootnoteReference"/>
        </w:rPr>
        <w:footnoteReference w:id="5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Demak, MHXS 9 moliyaviy barqarorlikni baholashda ikki vazifani bajaradi. Birinchidan, u aktivlar sifati ko‘rsatkichlarini, xususan, zaxiralar bilan qoplanish darajasini ishonchliroq qiladi. Ikkinchidan, milliy va MHXS hisobotlari bo‘yicha hisoblangan ko‘rsatkichlar farqi bankning haqiqiy holatini aniqlashda qo‘shimcha axborot manbai bo‘ladi. Bu farq dissertatsiyaning 2.3- va 3.2-paragraflarida O‘zbekiston banklari misolida tahlil qilinadi.</w:t>
      </w:r>
    </w:p>
    <w:bookmarkEnd w:id="57"/>
    <w:bookmarkStart w:id="67" w:name="camels-reyting-tizim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3. CAMELS reyting tizimi</w:t>
      </w:r>
    </w:p>
    <w:p>
      <w:pPr>
        <w:pStyle w:val="FirstParagraph"/>
        <w:spacing w:line="360" w:lineRule="auto" w:before="0" w:after="0"/>
        <w:ind w:firstLine="709"/>
        <w:jc w:val="both"/>
      </w:pPr>
      <w:r>
        <w:rPr>
          <w:rFonts w:ascii="Times New Roman" w:hAnsi="Times New Roman" w:cs="Times New Roman" w:eastAsia="Times New Roman"/>
          <w:sz w:val="28"/>
        </w:rPr>
        <w:t xml:space="preserve">CAMELS – bank holatini kompleks baholashning eng keng tarqalgan tizimi. U 1978-yilda AQShda Moliya institutlari federal ekspertiza kengashi (FFIEC) tomonidan yaratilgan</w:t>
      </w:r>
      <w:r>
        <w:rPr>
          <w:rStyle w:val="FootnoteReference"/>
        </w:rPr>
        <w:footnoteReference w:id="58"/>
      </w:r>
      <w:r>
        <w:rPr>
          <w:rFonts w:ascii="Times New Roman" w:hAnsi="Times New Roman" w:cs="Times New Roman" w:eastAsia="Times New Roman"/>
          <w:sz w:val="28"/>
        </w:rPr>
        <w:t xml:space="preserve">, 1997-yildan unga bozor riskiga sezgirlik (S) komponenti qo‘shilgan</w:t>
      </w:r>
      <w:r>
        <w:rPr>
          <w:rStyle w:val="FootnoteReference"/>
        </w:rPr>
        <w:footnoteReference w:id="59"/>
      </w:r>
      <w:r>
        <w:rPr>
          <w:rFonts w:ascii="Times New Roman" w:hAnsi="Times New Roman" w:cs="Times New Roman" w:eastAsia="Times New Roman"/>
          <w:sz w:val="28"/>
        </w:rPr>
        <w:t xml:space="preserve">. Tizim olti komponentdan iborat: kapital yetarliligi (C), aktivlar sifati (A), boshqaruv sifati (M), daromadlilik (E), likvidlik (L) va bozor riskiga sezgirlik (S). Har bir komponent 1 (eng yaxshi) dan 5 (eng yomon) gacha ballarda baholanadi.</w:t>
      </w:r>
    </w:p>
    <w:p>
      <w:pPr>
        <w:pStyle w:val="BodyText"/>
        <w:spacing w:line="360" w:lineRule="auto" w:before="0" w:after="0"/>
        <w:ind w:firstLine="709"/>
        <w:jc w:val="both"/>
      </w:pPr>
      <w:r>
        <w:rPr>
          <w:rFonts w:ascii="Times New Roman" w:hAnsi="Times New Roman" w:cs="Times New Roman" w:eastAsia="Times New Roman"/>
          <w:sz w:val="28"/>
        </w:rPr>
        <w:t xml:space="preserve">O.I. Lavrushin va I.D. Mamonova CAMELS komponentlari bo‘yicha baholash mezonlarini batafsil keltiradi. Ulardan ayrimlari 1.3.1-jadvalda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1.3.1-jadval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CAMELS tizimida ayrim komponentlarni baholash mezonlari</w:t>
      </w:r>
      <w:r>
        <w:rPr>
          <w:rStyle w:val="FootnoteReference"/>
        </w:rPr>
        <w:footnoteReference w:id="60"/>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131"/>
        <w:gridCol w:w="1131"/>
        <w:gridCol w:w="1131"/>
        <w:gridCol w:w="1131"/>
        <w:gridCol w:w="1131"/>
        <w:gridCol w:w="1131"/>
        <w:gridCol w:w="1131"/>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Komponent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1-reyting</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2-reyting</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3-reyting</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4-reyting</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5-reyting</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(C)</w:t>
            </w:r>
          </w:p>
        </w:tc>
        <w:tc>
          <w:tcPr/>
          <w:p>
            <w:pPr>
              <w:pStyle w:val="Compact"/>
              <w:spacing w:line="240" w:lineRule="auto"/>
              <w:ind w:firstLine="0"/>
              <w:jc w:val="left"/>
            </w:pPr>
            <w:r>
              <w:rPr>
                <w:rFonts w:ascii="Times New Roman" w:hAnsi="Times New Roman" w:cs="Times New Roman" w:eastAsia="Times New Roman"/>
                <w:sz w:val="22"/>
              </w:rPr>
              <w:t xml:space="preserve">Kapital yetarliligi koeffitsiyentlari</w:t>
            </w:r>
          </w:p>
        </w:tc>
        <w:tc>
          <w:tcPr/>
          <w:p>
            <w:pPr>
              <w:pStyle w:val="Compact"/>
              <w:spacing w:line="240" w:lineRule="auto"/>
              <w:ind w:firstLine="0"/>
              <w:jc w:val="left"/>
            </w:pPr>
            <w:r>
              <w:rPr>
                <w:rFonts w:ascii="Times New Roman" w:hAnsi="Times New Roman" w:cs="Times New Roman" w:eastAsia="Times New Roman"/>
                <w:sz w:val="22"/>
              </w:rPr>
              <w:t xml:space="preserve">4% va 8% dan ancha yuqori</w:t>
            </w:r>
          </w:p>
        </w:tc>
        <w:tc>
          <w:tcPr/>
          <w:p>
            <w:pPr>
              <w:pStyle w:val="Compact"/>
              <w:spacing w:line="240" w:lineRule="auto"/>
              <w:ind w:firstLine="0"/>
              <w:jc w:val="left"/>
            </w:pPr>
            <w:r>
              <w:rPr>
                <w:rFonts w:ascii="Times New Roman" w:hAnsi="Times New Roman" w:cs="Times New Roman" w:eastAsia="Times New Roman"/>
                <w:sz w:val="22"/>
              </w:rPr>
              <w:t xml:space="preserve">yuqori</w:t>
            </w:r>
          </w:p>
        </w:tc>
        <w:tc>
          <w:tcPr/>
          <w:p>
            <w:pPr>
              <w:pStyle w:val="Compact"/>
              <w:spacing w:line="240" w:lineRule="auto"/>
              <w:ind w:firstLine="0"/>
              <w:jc w:val="left"/>
            </w:pPr>
            <w:r>
              <w:rPr>
                <w:rFonts w:ascii="Times New Roman" w:hAnsi="Times New Roman" w:cs="Times New Roman" w:eastAsia="Times New Roman"/>
                <w:sz w:val="22"/>
              </w:rPr>
              <w:t xml:space="preserve">4% va 8% atrofida</w:t>
            </w:r>
          </w:p>
        </w:tc>
        <w:tc>
          <w:tcPr/>
          <w:p>
            <w:pPr>
              <w:pStyle w:val="Compact"/>
              <w:spacing w:line="240" w:lineRule="auto"/>
              <w:ind w:firstLine="0"/>
              <w:jc w:val="left"/>
            </w:pPr>
            <w:r>
              <w:rPr>
                <w:rFonts w:ascii="Times New Roman" w:hAnsi="Times New Roman" w:cs="Times New Roman" w:eastAsia="Times New Roman"/>
                <w:sz w:val="22"/>
              </w:rPr>
              <w:t xml:space="preserve">biroz past</w:t>
            </w:r>
          </w:p>
        </w:tc>
        <w:tc>
          <w:tcPr/>
          <w:p>
            <w:pPr>
              <w:pStyle w:val="Compact"/>
              <w:spacing w:line="240" w:lineRule="auto"/>
              <w:ind w:firstLine="0"/>
              <w:jc w:val="left"/>
            </w:pPr>
            <w:r>
              <w:rPr>
                <w:rFonts w:ascii="Times New Roman" w:hAnsi="Times New Roman" w:cs="Times New Roman" w:eastAsia="Times New Roman"/>
                <w:sz w:val="22"/>
              </w:rPr>
              <w:t xml:space="preserve">ancha past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Aktivlar sifati (A)</w:t>
            </w:r>
          </w:p>
        </w:tc>
        <w:tc>
          <w:tcPr/>
          <w:p>
            <w:pPr>
              <w:pStyle w:val="Compact"/>
              <w:spacing w:line="240" w:lineRule="auto"/>
              <w:ind w:firstLine="0"/>
              <w:jc w:val="left"/>
            </w:pPr>
            <w:r>
              <w:rPr>
                <w:rFonts w:ascii="Times New Roman" w:hAnsi="Times New Roman" w:cs="Times New Roman" w:eastAsia="Times New Roman"/>
                <w:sz w:val="22"/>
              </w:rPr>
              <w:t xml:space="preserve">Tasniflangan aktivlar / (kapital + zaxiralar), %</w:t>
            </w:r>
          </w:p>
        </w:tc>
        <w:tc>
          <w:tcPr/>
          <w:p>
            <w:pPr>
              <w:pStyle w:val="Compact"/>
              <w:spacing w:line="240" w:lineRule="auto"/>
              <w:ind w:firstLine="0"/>
              <w:jc w:val="left"/>
            </w:pPr>
            <w:r>
              <w:rPr>
                <w:rFonts w:ascii="Times New Roman" w:hAnsi="Times New Roman" w:cs="Times New Roman" w:eastAsia="Times New Roman"/>
                <w:sz w:val="22"/>
              </w:rPr>
              <w:t xml:space="preserve">&lt; 5</w:t>
            </w:r>
          </w:p>
        </w:tc>
        <w:tc>
          <w:tcPr/>
          <w:p>
            <w:pPr>
              <w:pStyle w:val="Compact"/>
              <w:spacing w:line="240" w:lineRule="auto"/>
              <w:ind w:firstLine="0"/>
              <w:jc w:val="left"/>
            </w:pPr>
            <w:r>
              <w:rPr>
                <w:rFonts w:ascii="Times New Roman" w:hAnsi="Times New Roman" w:cs="Times New Roman" w:eastAsia="Times New Roman"/>
                <w:sz w:val="22"/>
              </w:rPr>
              <w:t xml:space="preserve">5–15</w:t>
            </w:r>
          </w:p>
        </w:tc>
        <w:tc>
          <w:tcPr/>
          <w:p>
            <w:pPr>
              <w:pStyle w:val="Compact"/>
              <w:spacing w:line="240" w:lineRule="auto"/>
              <w:ind w:firstLine="0"/>
              <w:jc w:val="left"/>
            </w:pPr>
            <w:r>
              <w:rPr>
                <w:rFonts w:ascii="Times New Roman" w:hAnsi="Times New Roman" w:cs="Times New Roman" w:eastAsia="Times New Roman"/>
                <w:sz w:val="22"/>
              </w:rPr>
              <w:t xml:space="preserve">15–30</w:t>
            </w:r>
          </w:p>
        </w:tc>
        <w:tc>
          <w:tcPr/>
          <w:p>
            <w:pPr>
              <w:pStyle w:val="Compact"/>
              <w:spacing w:line="240" w:lineRule="auto"/>
              <w:ind w:firstLine="0"/>
              <w:jc w:val="left"/>
            </w:pPr>
            <w:r>
              <w:rPr>
                <w:rFonts w:ascii="Times New Roman" w:hAnsi="Times New Roman" w:cs="Times New Roman" w:eastAsia="Times New Roman"/>
                <w:sz w:val="22"/>
              </w:rPr>
              <w:t xml:space="preserve">30–50</w:t>
            </w:r>
          </w:p>
        </w:tc>
        <w:tc>
          <w:tcPr/>
          <w:p>
            <w:pPr>
              <w:pStyle w:val="Compact"/>
              <w:spacing w:line="240" w:lineRule="auto"/>
              <w:ind w:firstLine="0"/>
              <w:jc w:val="left"/>
            </w:pPr>
            <w:r>
              <w:rPr>
                <w:rFonts w:ascii="Times New Roman" w:hAnsi="Times New Roman" w:cs="Times New Roman" w:eastAsia="Times New Roman"/>
                <w:sz w:val="22"/>
              </w:rPr>
              <w:t xml:space="preserve">≥ 50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Daromadlilik (E)</w:t>
            </w:r>
          </w:p>
        </w:tc>
        <w:tc>
          <w:tcPr/>
          <w:p>
            <w:pPr>
              <w:pStyle w:val="Compact"/>
              <w:spacing w:line="240" w:lineRule="auto"/>
              <w:ind w:firstLine="0"/>
              <w:jc w:val="left"/>
            </w:pPr>
            <w:r>
              <w:rPr>
                <w:rFonts w:ascii="Times New Roman" w:hAnsi="Times New Roman" w:cs="Times New Roman" w:eastAsia="Times New Roman"/>
                <w:sz w:val="22"/>
              </w:rPr>
              <w:t xml:space="preserve">ROA, %</w:t>
            </w:r>
          </w:p>
        </w:tc>
        <w:tc>
          <w:tcPr/>
          <w:p>
            <w:pPr>
              <w:pStyle w:val="Compact"/>
              <w:spacing w:line="240" w:lineRule="auto"/>
              <w:ind w:firstLine="0"/>
              <w:jc w:val="left"/>
            </w:pPr>
            <w:r>
              <w:rPr>
                <w:rFonts w:ascii="Times New Roman" w:hAnsi="Times New Roman" w:cs="Times New Roman" w:eastAsia="Times New Roman"/>
                <w:sz w:val="22"/>
              </w:rPr>
              <w:t xml:space="preserve">&gt; 1,0</w:t>
            </w:r>
          </w:p>
        </w:tc>
        <w:tc>
          <w:tcPr/>
          <w:p>
            <w:pPr>
              <w:pStyle w:val="Compact"/>
              <w:spacing w:line="240" w:lineRule="auto"/>
              <w:ind w:firstLine="0"/>
              <w:jc w:val="left"/>
            </w:pPr>
            <w:r>
              <w:rPr>
                <w:rFonts w:ascii="Times New Roman" w:hAnsi="Times New Roman" w:cs="Times New Roman" w:eastAsia="Times New Roman"/>
                <w:sz w:val="22"/>
              </w:rPr>
              <w:t xml:space="preserve">0,75–1,0</w:t>
            </w:r>
          </w:p>
        </w:tc>
        <w:tc>
          <w:tcPr/>
          <w:p>
            <w:pPr>
              <w:pStyle w:val="Compact"/>
              <w:spacing w:line="240" w:lineRule="auto"/>
              <w:ind w:firstLine="0"/>
              <w:jc w:val="left"/>
            </w:pPr>
            <w:r>
              <w:rPr>
                <w:rFonts w:ascii="Times New Roman" w:hAnsi="Times New Roman" w:cs="Times New Roman" w:eastAsia="Times New Roman"/>
                <w:sz w:val="22"/>
              </w:rPr>
              <w:t xml:space="preserve">0,5–0,75</w:t>
            </w:r>
          </w:p>
        </w:tc>
        <w:tc>
          <w:tcPr/>
          <w:p>
            <w:pPr>
              <w:pStyle w:val="Compact"/>
              <w:spacing w:line="240" w:lineRule="auto"/>
              <w:ind w:firstLine="0"/>
              <w:jc w:val="left"/>
            </w:pPr>
            <w:r>
              <w:rPr>
                <w:rFonts w:ascii="Times New Roman" w:hAnsi="Times New Roman" w:cs="Times New Roman" w:eastAsia="Times New Roman"/>
                <w:sz w:val="22"/>
              </w:rPr>
              <w:t xml:space="preserve">0,25–0,5</w:t>
            </w:r>
          </w:p>
        </w:tc>
        <w:tc>
          <w:tcPr/>
          <w:p>
            <w:pPr>
              <w:pStyle w:val="Compact"/>
              <w:spacing w:line="240" w:lineRule="auto"/>
              <w:ind w:firstLine="0"/>
              <w:jc w:val="left"/>
            </w:pPr>
            <w:r>
              <w:rPr>
                <w:rFonts w:ascii="Times New Roman" w:hAnsi="Times New Roman" w:cs="Times New Roman" w:eastAsia="Times New Roman"/>
                <w:sz w:val="22"/>
              </w:rPr>
              <w:t xml:space="preserve">&lt; 0,25 yoki zarar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Yig‘ma reyting</w:t>
            </w:r>
          </w:p>
        </w:tc>
        <w:tc>
          <w:tcPr/>
          <w:p>
            <w:pPr>
              <w:pStyle w:val="Compact"/>
              <w:spacing w:line="240" w:lineRule="auto"/>
              <w:ind w:firstLine="0"/>
              <w:jc w:val="left"/>
            </w:pPr>
            <w:r>
              <w:rPr>
                <w:rFonts w:ascii="Times New Roman" w:hAnsi="Times New Roman" w:cs="Times New Roman" w:eastAsia="Times New Roman"/>
                <w:sz w:val="22"/>
              </w:rPr>
              <w:t xml:space="preserve">Komponentlar bahosi asosida</w:t>
            </w:r>
          </w:p>
        </w:tc>
        <w:tc>
          <w:tcPr/>
          <w:p>
            <w:pPr>
              <w:pStyle w:val="Compact"/>
              <w:spacing w:line="240" w:lineRule="auto"/>
              <w:ind w:firstLine="0"/>
              <w:jc w:val="left"/>
            </w:pPr>
            <w:r>
              <w:rPr>
                <w:rFonts w:ascii="Times New Roman" w:hAnsi="Times New Roman" w:cs="Times New Roman" w:eastAsia="Times New Roman"/>
                <w:sz w:val="22"/>
              </w:rPr>
              <w:t xml:space="preserve">1,0–1,4</w:t>
            </w:r>
          </w:p>
        </w:tc>
        <w:tc>
          <w:tcPr/>
          <w:p>
            <w:pPr>
              <w:pStyle w:val="Compact"/>
              <w:spacing w:line="240" w:lineRule="auto"/>
              <w:ind w:firstLine="0"/>
              <w:jc w:val="left"/>
            </w:pPr>
            <w:r>
              <w:rPr>
                <w:rFonts w:ascii="Times New Roman" w:hAnsi="Times New Roman" w:cs="Times New Roman" w:eastAsia="Times New Roman"/>
                <w:sz w:val="22"/>
              </w:rPr>
              <w:t xml:space="preserve">1,5–2,4</w:t>
            </w:r>
          </w:p>
        </w:tc>
        <w:tc>
          <w:tcPr/>
          <w:p>
            <w:pPr>
              <w:pStyle w:val="Compact"/>
              <w:spacing w:line="240" w:lineRule="auto"/>
              <w:ind w:firstLine="0"/>
              <w:jc w:val="left"/>
            </w:pPr>
            <w:r>
              <w:rPr>
                <w:rFonts w:ascii="Times New Roman" w:hAnsi="Times New Roman" w:cs="Times New Roman" w:eastAsia="Times New Roman"/>
                <w:sz w:val="22"/>
              </w:rPr>
              <w:t xml:space="preserve">2,5–3,4</w:t>
            </w:r>
          </w:p>
        </w:tc>
        <w:tc>
          <w:tcPr/>
          <w:p>
            <w:pPr>
              <w:pStyle w:val="Compact"/>
              <w:spacing w:line="240" w:lineRule="auto"/>
              <w:ind w:firstLine="0"/>
              <w:jc w:val="left"/>
            </w:pPr>
            <w:r>
              <w:rPr>
                <w:rFonts w:ascii="Times New Roman" w:hAnsi="Times New Roman" w:cs="Times New Roman" w:eastAsia="Times New Roman"/>
                <w:sz w:val="22"/>
              </w:rPr>
              <w:t xml:space="preserve">3,5–4,4</w:t>
            </w:r>
          </w:p>
        </w:tc>
        <w:tc>
          <w:tcPr/>
          <w:p>
            <w:pPr>
              <w:pStyle w:val="Compact"/>
              <w:spacing w:line="240" w:lineRule="auto"/>
              <w:ind w:firstLine="0"/>
              <w:jc w:val="left"/>
            </w:pPr>
            <w:r>
              <w:rPr>
                <w:rFonts w:ascii="Times New Roman" w:hAnsi="Times New Roman" w:cs="Times New Roman" w:eastAsia="Times New Roman"/>
                <w:sz w:val="22"/>
              </w:rPr>
              <w:t xml:space="preserve">4,5–5,0</w:t>
            </w:r>
          </w:p>
        </w:tc>
      </w:tr>
    </w:tbl>
    <w:p>
      <w:pPr>
        <w:pStyle w:val="BodyText"/>
        <w:spacing w:line="360" w:lineRule="auto" w:before="0" w:after="0"/>
        <w:ind w:firstLine="709"/>
        <w:jc w:val="both"/>
      </w:pPr>
      <w:r>
        <w:rPr>
          <w:rFonts w:ascii="Times New Roman" w:hAnsi="Times New Roman" w:cs="Times New Roman" w:eastAsia="Times New Roman"/>
          <w:sz w:val="28"/>
        </w:rPr>
        <w:t xml:space="preserve">Aktivlar sifatini baholashda tasniflangan aktivlar quyidagicha tortiladi: nostandart aktivlar 0,2, shubhali aktivlar 0,5, zararli aktivlar 1,0 koeffitsiyent bilan</w:t>
      </w:r>
      <w:r>
        <w:rPr>
          <w:rStyle w:val="FootnoteReference"/>
        </w:rPr>
        <w:footnoteReference w:id="61"/>
      </w:r>
      <w:r>
        <w:rPr>
          <w:rFonts w:ascii="Times New Roman" w:hAnsi="Times New Roman" w:cs="Times New Roman" w:eastAsia="Times New Roman"/>
          <w:sz w:val="28"/>
        </w:rPr>
        <w:t xml:space="preserve">. Likvidlik bo‘yicha esa mezon qiymatlar belgilanmagan, baho asosan aktiv va passivlarni boshqarish sifatiga qarab beriladi. Boshqaruv sifati boshqa komponentlar bahosi va joyida tekshiruv natijalari asosida eng oxirida baholanadi</w:t>
      </w:r>
      <w:r>
        <w:rPr>
          <w:rStyle w:val="FootnoteReference"/>
        </w:rPr>
        <w:footnoteReference w:id="6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CAMELS ning muhim xususiyati shundaki, yig‘ma reyting komponentlarning oddiy o‘rtacha arifmetigi emas. T.F. Cargill ta’kidlashicha, kompozit ball tekshiruv guruhining umumiy bahosi bo‘lib, 3, 4 yoki 5 ball olgan bank «muammoli banklar» ro‘yxatiga kiritiladi; ballar zararlanish xavfi tufayli oshkor qilinmaydi</w:t>
      </w:r>
      <w:r>
        <w:rPr>
          <w:rStyle w:val="FootnoteReference"/>
        </w:rPr>
        <w:footnoteReference w:id="6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O‘zbekistonda CAMEL tizimi 1997-yil noyabrdan qisman, 1998-yil 1-yanvardan to‘liq joriy etilgan</w:t>
      </w:r>
      <w:r>
        <w:rPr>
          <w:rStyle w:val="FootnoteReference"/>
        </w:rPr>
        <w:footnoteReference w:id="64"/>
      </w:r>
      <w:r>
        <w:rPr>
          <w:rFonts w:ascii="Times New Roman" w:hAnsi="Times New Roman" w:cs="Times New Roman" w:eastAsia="Times New Roman"/>
          <w:sz w:val="28"/>
        </w:rPr>
        <w:t xml:space="preserve">. Unda umumiy reyting komponentlar yig‘indisini beshga bo‘lish orqali hisoblanadi va yaxlitlanadi: masalan, 2+2+3+3+1=11 bo‘lsa, 11/5=2,2, ya’ni umumiy reyting 2 ga teng</w:t>
      </w:r>
      <w:r>
        <w:rPr>
          <w:rStyle w:val="FootnoteReference"/>
        </w:rPr>
        <w:footnoteReference w:id="65"/>
      </w:r>
      <w:r>
        <w:rPr>
          <w:rFonts w:ascii="Times New Roman" w:hAnsi="Times New Roman" w:cs="Times New Roman" w:eastAsia="Times New Roman"/>
          <w:sz w:val="28"/>
        </w:rPr>
        <w:t xml:space="preserve">. Karaliyev va Sayfiddinov milliy amaliyotning kamchiliklarini ham ko‘rsatadi: qiyosiy (peer) baholash yo‘q, har bir omil uchun solishtirma vazn va omillar o‘rtasidagi mutanosiblik belgilanmagan</w:t>
      </w:r>
      <w:r>
        <w:rPr>
          <w:rStyle w:val="FootnoteReference"/>
        </w:rPr>
        <w:footnoteReference w:id="6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CAMELS ning baholash uchun afzalligi – kompleksligi va xalqaro e’tirofi. Kamchiliklari – sub’ektivlik, joyida tekshiruv talab qilishi va natijalarning yopiqligi. Shu sababli undan ochiq ma’lumotlar asosida mustaqil baholash uchun bevosita foydalanib bo‘lmaydi, ammo uning komponentli tuzilmasi baholash bloklarini shakllantirish uchun asos bo‘la oladi.</w:t>
      </w:r>
    </w:p>
    <w:bookmarkEnd w:id="67"/>
    <w:bookmarkStart w:id="75" w:name="X0f1aaf092ab26f179c7da1e18bd520d9eff1941"/>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4. XVJ moliyaviy barqarorlik ko‘rsatkichlari va Yevropa amaliyoti</w:t>
      </w:r>
    </w:p>
    <w:p>
      <w:pPr>
        <w:pStyle w:val="FirstParagraph"/>
        <w:spacing w:line="360" w:lineRule="auto" w:before="0" w:after="0"/>
        <w:ind w:firstLine="709"/>
        <w:jc w:val="both"/>
      </w:pPr>
      <w:r>
        <w:rPr>
          <w:bCs/>
          <w:rFonts w:ascii="Times New Roman" w:hAnsi="Times New Roman" w:cs="Times New Roman" w:eastAsia="Times New Roman"/>
          <w:b/>
          <w:sz w:val="28"/>
        </w:rPr>
        <w:t xml:space="preserve">XVJ FSI.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Xalqaro valyuta jamg‘armasi bank tizimi barqarorligini makrodarajada kuzatish uchun moliyaviy barqarorlik ko‘rsatkichlari (Financial Soundness Indicators, FSI) tizimini ishlab chiqqan. O.I. Lavrushin tahriridagi monografiyada keltirilishicha, bu tizim 12 ta asosiy va 28 ta qo‘shimcha ko‘rsatkichni o‘z ichiga oladi</w:t>
      </w:r>
      <w:r>
        <w:rPr>
          <w:rStyle w:val="FootnoteReference"/>
        </w:rPr>
        <w:footnoteReference w:id="68"/>
      </w:r>
      <w:r>
        <w:rPr>
          <w:rFonts w:ascii="Times New Roman" w:hAnsi="Times New Roman" w:cs="Times New Roman" w:eastAsia="Times New Roman"/>
          <w:sz w:val="28"/>
        </w:rPr>
        <w:t xml:space="preserve">. Asosiy ko‘rsatkichlar besh guruhga birlashtirilgan (1.3.2-jadval).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XVJ moliyaviy barqarorlik ko‘rsatkichlarining asosiy to‘plami (bank sektori)</w:t>
      </w:r>
      <w:r>
        <w:rPr>
          <w:rStyle w:val="FootnoteReference"/>
        </w:rPr>
        <w:footnoteReference w:id="69"/>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Guruh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Ko‘rsatkichlar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yetarliligi</w:t>
            </w:r>
          </w:p>
        </w:tc>
        <w:tc>
          <w:tcPr/>
          <w:p>
            <w:pPr>
              <w:pStyle w:val="Compact"/>
              <w:spacing w:line="240" w:lineRule="auto"/>
              <w:ind w:firstLine="0"/>
              <w:jc w:val="left"/>
            </w:pPr>
            <w:r>
              <w:rPr>
                <w:rFonts w:ascii="Times New Roman" w:hAnsi="Times New Roman" w:cs="Times New Roman" w:eastAsia="Times New Roman"/>
                <w:sz w:val="22"/>
              </w:rPr>
              <w:t xml:space="preserve">Regulyativ kapital / risk bo‘yicha tortilgan aktivlar; birinchi darajali kapital / risk bo‘yicha tortilgan aktivlar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p>
            <w:pPr>
              <w:pStyle w:val="Compact"/>
              <w:spacing w:line="240" w:lineRule="auto"/>
              <w:ind w:firstLine="0"/>
              <w:jc w:val="left"/>
            </w:pPr>
            <w:r>
              <w:rPr>
                <w:rFonts w:ascii="Times New Roman" w:hAnsi="Times New Roman" w:cs="Times New Roman" w:eastAsia="Times New Roman"/>
                <w:sz w:val="22"/>
              </w:rPr>
              <w:t xml:space="preserve">Zaxiralar chegirilgan muammoli kreditlar / kapital; muammoli kreditlar / jami kreditlar; kreditlarning tarmoqlar bo‘yicha taqsimoti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Daromad va rentabellik</w:t>
            </w:r>
          </w:p>
        </w:tc>
        <w:tc>
          <w:tcPr/>
          <w:p>
            <w:pPr>
              <w:pStyle w:val="Compact"/>
              <w:spacing w:line="240" w:lineRule="auto"/>
              <w:ind w:firstLine="0"/>
              <w:jc w:val="left"/>
            </w:pPr>
            <w:r>
              <w:rPr>
                <w:rFonts w:ascii="Times New Roman" w:hAnsi="Times New Roman" w:cs="Times New Roman" w:eastAsia="Times New Roman"/>
                <w:sz w:val="22"/>
              </w:rPr>
              <w:t xml:space="preserve">ROA; ROE; foiz marjasi / yalpi daromad; foizsiz xarajatlar / yalpi daromad</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Likvidlik</w:t>
            </w:r>
          </w:p>
        </w:tc>
        <w:tc>
          <w:tcPr/>
          <w:p>
            <w:pPr>
              <w:pStyle w:val="Compact"/>
              <w:spacing w:line="240" w:lineRule="auto"/>
              <w:ind w:firstLine="0"/>
              <w:jc w:val="left"/>
            </w:pPr>
            <w:r>
              <w:rPr>
                <w:rFonts w:ascii="Times New Roman" w:hAnsi="Times New Roman" w:cs="Times New Roman" w:eastAsia="Times New Roman"/>
                <w:sz w:val="22"/>
              </w:rPr>
              <w:t xml:space="preserve">Likvid aktivlar / jami aktivlar; likvid aktivlar / qisqa muddatli majburiyatlar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Bozor riskiga sezgirlik</w:t>
            </w:r>
          </w:p>
        </w:tc>
        <w:tc>
          <w:tcPr/>
          <w:p>
            <w:pPr>
              <w:pStyle w:val="Compact"/>
              <w:spacing w:line="240" w:lineRule="auto"/>
              <w:ind w:firstLine="0"/>
              <w:jc w:val="left"/>
            </w:pPr>
            <w:r>
              <w:rPr>
                <w:rFonts w:ascii="Times New Roman" w:hAnsi="Times New Roman" w:cs="Times New Roman" w:eastAsia="Times New Roman"/>
                <w:sz w:val="22"/>
              </w:rPr>
              <w:t xml:space="preserve">Sof ochiq valyuta pozitsiyasi / kapital</w:t>
            </w:r>
          </w:p>
        </w:tc>
      </w:tr>
    </w:tbl>
    <w:p>
      <w:pPr>
        <w:pStyle w:val="BodyText"/>
        <w:spacing w:line="360" w:lineRule="auto" w:before="0" w:after="0"/>
        <w:ind w:firstLine="709"/>
        <w:jc w:val="both"/>
      </w:pPr>
      <w:r>
        <w:rPr>
          <w:rFonts w:ascii="Times New Roman" w:hAnsi="Times New Roman" w:cs="Times New Roman" w:eastAsia="Times New Roman"/>
          <w:sz w:val="28"/>
        </w:rPr>
        <w:t xml:space="preserve">B.T. Berdiyarov XVJ tizimining 24 ko‘rsatkichli kengaytirilgan ro‘yxatini keltirib, O‘zbekistonda milliy baholash tizimini shu ko‘rsatkichlar asosida, qo‘shimcha likvidlik koeffitsiyentlari bilan shakllantirishni taklif etadi</w:t>
      </w:r>
      <w:r>
        <w:rPr>
          <w:rStyle w:val="FootnoteReference"/>
        </w:rPr>
        <w:footnoteReference w:id="70"/>
      </w:r>
      <w:r>
        <w:rPr>
          <w:rFonts w:ascii="Times New Roman" w:hAnsi="Times New Roman" w:cs="Times New Roman" w:eastAsia="Times New Roman"/>
          <w:sz w:val="28"/>
        </w:rPr>
        <w:t xml:space="preserve">. FSI ning afzalligi – xalqaro taqqoslanuvchanligi va ko‘rsatkichlar tarkibining aniq belgilanganligi. Uning cheklovi – u asosan bank sektori darajasidagi agregat ko‘rsatkichlarga mo‘ljallangan, mezoniy qiymatlar va yagona integral baho bermaydi.</w:t>
      </w:r>
    </w:p>
    <w:p>
      <w:pPr>
        <w:pStyle w:val="BodyText"/>
        <w:spacing w:line="360" w:lineRule="auto" w:before="0" w:after="0"/>
        <w:ind w:firstLine="709"/>
        <w:jc w:val="both"/>
      </w:pPr>
      <w:r>
        <w:rPr>
          <w:rFonts w:ascii="Times New Roman" w:hAnsi="Times New Roman" w:cs="Times New Roman" w:eastAsia="Times New Roman"/>
          <w:sz w:val="28"/>
        </w:rPr>
        <w:t xml:space="preserve">Afanasyeva va Dubova makroprudensial monitoringda FSI dan tashqari Yevropa markaziy banki ko‘rsatkichlari va XVJ hamda Jahon bankining moliya sektorini baholash dasturi (FSAP) doirasida qo‘llanadigan «risklar xaritasi»dan foydalanilishini ko‘rsatadi. Bu xaritada likvidlik, kredit, rentabellik, kapital, bozor, makroiqtisodiy va tashqi risklar bo‘yicha yetti guruh 0 dan 10 gacha shkalada baholanadi</w:t>
      </w:r>
      <w:r>
        <w:rPr>
          <w:rStyle w:val="FootnoteReference"/>
        </w:rPr>
        <w:footnoteReference w:id="71"/>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Yevropa bank boshqarmasining asosiy risk indikatorlari.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Yevropa bank boshqarmasi (EBA) 2009-yildan boshlab 20 ta Yevropa iqtisodiy hududi mamlakatidagi 57 ta yirik bankdan har chorakda 53 ta asosiy risk indikatori (KRI) to‘playdi</w:t>
      </w:r>
      <w:r>
        <w:rPr>
          <w:rStyle w:val="FootnoteReference"/>
        </w:rPr>
        <w:footnoteReference w:id="72"/>
      </w:r>
      <w:r>
        <w:rPr>
          <w:rFonts w:ascii="Times New Roman" w:hAnsi="Times New Roman" w:cs="Times New Roman" w:eastAsia="Times New Roman"/>
          <w:sz w:val="28"/>
        </w:rPr>
        <w:t xml:space="preserve">. R. Cocozza bu indikatorlarni to‘rt blokka ajratadi: kapital yetarliligi; kredit riski va aktivlar sifati; rentabellik; balans tuzilmasi</w:t>
      </w:r>
      <w:r>
        <w:rPr>
          <w:rStyle w:val="FootnoteReference"/>
        </w:rPr>
        <w:footnoteReference w:id="73"/>
      </w:r>
      <w:r>
        <w:rPr>
          <w:rFonts w:ascii="Times New Roman" w:hAnsi="Times New Roman" w:cs="Times New Roman" w:eastAsia="Times New Roman"/>
          <w:sz w:val="28"/>
        </w:rPr>
        <w:t xml:space="preserve">. Muallif Yevropa nazorat amaliyoti asosan aktivlar sifati va zaxiralarga qaratilganini, kredit riskiga haddan tashqari urg‘u esa boshqa risklarni e’tibordan chetda qoldirish xavfini tug‘dirishini ta’kidlaydi</w:t>
      </w:r>
      <w:r>
        <w:rPr>
          <w:rStyle w:val="FootnoteReference"/>
        </w:rPr>
        <w:footnoteReference w:id="74"/>
      </w:r>
      <w:r>
        <w:rPr>
          <w:rFonts w:ascii="Times New Roman" w:hAnsi="Times New Roman" w:cs="Times New Roman" w:eastAsia="Times New Roman"/>
          <w:sz w:val="28"/>
        </w:rPr>
        <w:t xml:space="preserve">. Bu xulosa integral baholashda bir blokka ortiqcha vazn bermaslik zarurligini ko‘rsatadi.</w:t>
      </w:r>
    </w:p>
    <w:bookmarkEnd w:id="75"/>
    <w:bookmarkStart w:id="88" w:name="X5ada22a642709559610db3be7c820655b057676"/>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5. Milliy nazorat tizimlari va reyting agentliklari metodologiyalari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Milliy nazorat tizimlari.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Ko‘plab mamlakatlarning markaziy banklari CAMELS asosida o‘z baholash tizimlarini ishlab chiqqan. Angliya Bankining BAITE tizimi to‘qqiz yo‘nalish – kapital, aktivlar sifati, bozor riski, daromadlilik, likvidlik, biznes, ichki nazorat, tashkiliy tuzilma va boshqaruv bo‘yicha risklarni baholaydi va natijani nazorat rejimiga bog‘laydi</w:t>
      </w:r>
      <w:r>
        <w:rPr>
          <w:rStyle w:val="FootnoteReference"/>
        </w:rPr>
        <w:footnoteReference w:id="76"/>
      </w:r>
      <w:r>
        <w:rPr>
          <w:rFonts w:ascii="Times New Roman" w:hAnsi="Times New Roman" w:cs="Times New Roman" w:eastAsia="Times New Roman"/>
          <w:sz w:val="28"/>
        </w:rPr>
        <w:t xml:space="preserve">. Germaniyaning BAKIS tizimida 47 ta ko‘rsatkich teng vaznda olinib, guruh o‘rtachasi bilan solishtiriladi</w:t>
      </w:r>
      <w:r>
        <w:rPr>
          <w:rStyle w:val="FootnoteReference"/>
        </w:rPr>
        <w:footnoteReference w:id="7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Bankining 2008-yildagi 2005-U-son ko‘rsatmasiga asoslangan tizimi</w:t>
      </w:r>
      <w:r>
        <w:rPr>
          <w:rStyle w:val="FootnoteReference"/>
        </w:rPr>
        <w:footnoteReference w:id="78"/>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ochiq vaznlar va chegaralarga ega bo‘lgani bilan alohida qiziqish uyg‘otadi. Unda kapital, aktivlar, daromadlilik, likvidlik va boshqaruv sifati guruhlari bo‘yicha ko‘rsatkichlar 1–4 ballik shkalada baholanadi va har bir ko‘rsatkichga vazn beriladi. Masalan, N1 kapital yetarliligi normativi bo‘yicha 1 ball uchun kamida 14 foiz qiymat talab qilinadi va bu ko‘rsatkichning vazni 3 ga teng</w:t>
      </w:r>
      <w:r>
        <w:rPr>
          <w:rStyle w:val="FootnoteReference"/>
        </w:rPr>
        <w:footnoteReference w:id="79"/>
      </w:r>
      <w:r>
        <w:rPr>
          <w:rFonts w:ascii="Times New Roman" w:hAnsi="Times New Roman" w:cs="Times New Roman" w:eastAsia="Times New Roman"/>
          <w:sz w:val="28"/>
        </w:rPr>
        <w:t xml:space="preserve">. Har bir guruhning integral bahosi 2,3 balldan oshmasa, bank holati «qoniqarli» hisoblanadi. Biroq bu tizimning kamchiliklari sifatida dinamikaning hisobga olinmasligi, prognozning yo‘qligi va sub’ektivlik ko‘rsatiladi</w:t>
      </w:r>
      <w:r>
        <w:rPr>
          <w:rStyle w:val="FootnoteReference"/>
        </w:rPr>
        <w:footnoteReference w:id="8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AQShda tezkor tuzatuvchi choralar (PCA) tizimi kapital yetarliligini besh toifaga ajratadi: yaxshi kapitallashgan (10 foiz va undan yuqori), yetarli kapitallashgan (8 foiz va undan yuqori), yetarli kapitallashmagan (8 foizdan past), sezilarli darajada kapitallashmagan (6 foizdan past) va keskin darajada kapitallashmagan (2 foiz va undan past). Oxirgi toifadagi bank tugatiladi yoki boshqa bankka qo‘shib yuboriladi</w:t>
      </w:r>
      <w:r>
        <w:rPr>
          <w:rStyle w:val="FootnoteReference"/>
        </w:rPr>
        <w:footnoteReference w:id="81"/>
      </w:r>
      <w:r>
        <w:rPr>
          <w:rFonts w:ascii="Times New Roman" w:hAnsi="Times New Roman" w:cs="Times New Roman" w:eastAsia="Times New Roman"/>
          <w:sz w:val="28"/>
        </w:rPr>
        <w:t xml:space="preserve">. Bu tizim ham kapital ko‘rsatkichini pog‘onali shkalada baholash namunasidir.</w:t>
      </w:r>
    </w:p>
    <w:p>
      <w:pPr>
        <w:pStyle w:val="BodyText"/>
        <w:spacing w:line="360" w:lineRule="auto" w:before="0" w:after="0"/>
        <w:ind w:firstLine="709"/>
        <w:jc w:val="both"/>
      </w:pPr>
      <w:r>
        <w:rPr>
          <w:bCs/>
          <w:rFonts w:ascii="Times New Roman" w:hAnsi="Times New Roman" w:cs="Times New Roman" w:eastAsia="Times New Roman"/>
          <w:b/>
          <w:sz w:val="28"/>
        </w:rPr>
        <w:t xml:space="preserve">Reyting agentliklari.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Moody’s, S&amp;P va Fitch kabi xalqaro reyting agentliklari bank barqarorligini mustaqil va ochiq baholovchi asosiy institutlar hisoblanadi. H. Langohr va P. Langohr bank moliyaviy barqarorlik reytingini bankning tashqi yordamsiz mustaqil kuchi, ya’ni bankka yordam kerak bo‘lish ehtimolining o‘lchovi deb ta’riflaydi. Bunday reyting biznes profili (mamlakat riski, nazorat sifati, bozor pozitsiyasi, diversifikatsiya) va CAMEL asosidagi moliyaviy profil tahliliga tayanadi; mualliflar fikricha, aktivlar sifati bank tahlilining eng muhim qismi hisoblanadi</w:t>
      </w:r>
      <w:r>
        <w:rPr>
          <w:rStyle w:val="FootnoteReference"/>
        </w:rPr>
        <w:footnoteReference w:id="82"/>
      </w:r>
      <w:r>
        <w:rPr>
          <w:rFonts w:ascii="Times New Roman" w:hAnsi="Times New Roman" w:cs="Times New Roman" w:eastAsia="Times New Roman"/>
          <w:sz w:val="28"/>
        </w:rPr>
        <w:t xml:space="preserve">. Rossiyaning ACRA agentligi metodologiyasida ham bankning o‘z kreditga layoqatliligi bahosi biznes profili, kapital yetarliligi, risk profili hamda fondlash va likvidlik bloklaridan shakllanadi, so‘ngra tashqi qo‘llab-quvvatlash hisobga olinadi</w:t>
      </w:r>
      <w:r>
        <w:rPr>
          <w:rStyle w:val="FootnoteReference"/>
        </w:rPr>
        <w:footnoteReference w:id="8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Reyting shkalasi ordinal xarakterga ega, ammo reyting toifalari va defolt ehtimoli o‘rtasida barqaror bog‘liqlik mavjud. S&amp;P Global Ratings agentligining 1981–2024-yillar bo‘yicha global korporativ ma’lumotlariga ko‘ra, reyting pasaygan sari defolt darajasi eksponensial oshib boradi: 5 yillik kumulyativ defolt darajasi investitsion toifadagi kompaniyalarda o‘rtacha 0,77 foizni, spekulyativ toifadagilarda esa 13,64 foizni tashkil etgan (1.3.6-rasm).</w:t>
      </w:r>
    </w:p>
    <w:p>
      <w:pPr>
        <w:pStyle w:val="BodyText"/>
        <w:keepNext/>
        <w:spacing w:line="240" w:lineRule="auto" w:before="0" w:after="0"/>
        <w:ind w:firstLine="0"/>
        <w:jc w:val="center"/>
      </w:pPr>
      <w:r xmlns:c="http://schemas.openxmlformats.org/drawingml/2006/chart">
        <w:rPr>
          <w:noProof/>
        </w:rPr>
        <w:drawing>
          <wp:inline distT="0" distB="0" distL="0" distR="0">
            <wp:extent cx="5580000" cy="2700000"/>
            <wp:effectExtent l="0" t="0" r="0" b="0"/>
            <wp:docPr id="1006" name="1.3.6-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1.3.6-rasm. S&amp;P reyting toifalari bo‘yicha 5 yillik o‘rtacha kumulyativ defolt darajasi, 1981–2024-yillar, %</w:t>
      </w:r>
      <w:r>
        <w:rPr>
          <w:rStyle w:val="FootnoteReference"/>
        </w:rPr>
        <w:footnoteReference w:id="84"/>
      </w:r>
    </w:p>
    <w:p>
      <w:pPr>
        <w:pStyle w:val="BodyText"/>
        <w:spacing w:line="360" w:lineRule="auto" w:before="0" w:after="0"/>
        <w:ind w:firstLine="709"/>
        <w:jc w:val="both"/>
      </w:pPr>
      <w:r>
        <w:rPr>
          <w:rFonts w:ascii="Times New Roman" w:hAnsi="Times New Roman" w:cs="Times New Roman" w:eastAsia="Times New Roman"/>
          <w:sz w:val="28"/>
        </w:rPr>
        <w:t xml:space="preserve">Bu bog‘liqlik baholash shkalasini qurish uchun muhim xulosa beradi: baho pasaygan sari risk chiziqli emas, balki tezlashib oshadi. Shu sababli past baholar oralig‘idagi farqlar yuqori baholar oralig‘idagi farqlardan ko‘ra muhimroq. Reyting tizimlarining bashorat kuchi ham yuqori: S&amp;P reytinglarining Gini koeffitsiyenti bir yillik gorizontda 83 foizni tashkil etgan</w:t>
      </w:r>
      <w:r>
        <w:rPr>
          <w:rStyle w:val="FootnoteReference"/>
        </w:rPr>
        <w:footnoteReference w:id="8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Shu bilan birga, reyting agentliklari ham tanqiddan holi emas. Cargill «katta uchlik» bozorning 90 foizini egallashini, bu esa konsentratsiya va manfaatlar to‘qnashuvi muammolarini keltirib chiqarishini qayd etadi</w:t>
      </w:r>
      <w:r>
        <w:rPr>
          <w:rStyle w:val="FootnoteReference"/>
        </w:rPr>
        <w:footnoteReference w:id="86"/>
      </w:r>
      <w:r>
        <w:rPr>
          <w:rFonts w:ascii="Times New Roman" w:hAnsi="Times New Roman" w:cs="Times New Roman" w:eastAsia="Times New Roman"/>
          <w:sz w:val="28"/>
        </w:rPr>
        <w:t xml:space="preserve">. A.M. Karminskiy esa Moody’s agentligi bankning absolyut ko‘rsatkichlariga emas, ko‘proq uning bank tizimidagi nisbiy o‘rniga qarashini aniqlagan</w:t>
      </w:r>
      <w:r>
        <w:rPr>
          <w:rStyle w:val="FootnoteReference"/>
        </w:rPr>
        <w:footnoteReference w:id="87"/>
      </w:r>
      <w:r>
        <w:rPr>
          <w:rFonts w:ascii="Times New Roman" w:hAnsi="Times New Roman" w:cs="Times New Roman" w:eastAsia="Times New Roman"/>
          <w:sz w:val="28"/>
        </w:rPr>
        <w:t xml:space="preserve">. O‘zbekiston sharoitida reyting agentliklari faqat bir qism banklarni baholaydi, shuning uchun ular barcha banklar uchun yagona baholash vositasi bo‘la olmaydi.</w:t>
      </w:r>
    </w:p>
    <w:bookmarkEnd w:id="88"/>
    <w:bookmarkStart w:id="92" w:name="X31d031cf2bba2a7d04e69ebb9edc9043e56b647"/>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6. Xalqaro standartlar va yondashuvlarning qiyosiy tavsifi</w:t>
      </w:r>
    </w:p>
    <w:p>
      <w:pPr>
        <w:pStyle w:val="FirstParagraph"/>
        <w:spacing w:line="360" w:lineRule="auto" w:before="0" w:after="0"/>
        <w:ind w:firstLine="709"/>
        <w:jc w:val="both"/>
      </w:pPr>
      <w:r>
        <w:rPr>
          <w:rFonts w:ascii="Times New Roman" w:hAnsi="Times New Roman" w:cs="Times New Roman" w:eastAsia="Times New Roman"/>
          <w:sz w:val="28"/>
        </w:rPr>
        <w:t xml:space="preserve">Ko‘rib chiqilgan standartlar va tizimlarning qiyosiy tavsifi 1.3.3-jadvalda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1.3.3-jadval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baholash bo‘yicha xalqaro standartlar va tizimlarning qiyosiy tavsifi</w:t>
      </w:r>
      <w:r>
        <w:rPr>
          <w:rStyle w:val="FootnoteReference"/>
        </w:rPr>
        <w:footnoteReference w:id="89"/>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131"/>
        <w:gridCol w:w="1131"/>
        <w:gridCol w:w="1131"/>
        <w:gridCol w:w="1131"/>
        <w:gridCol w:w="1131"/>
        <w:gridCol w:w="1131"/>
        <w:gridCol w:w="1131"/>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Mezon</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9</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CAMELS</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XVJ FSI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EBA KRI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Reyting agentliklari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Asosiy maqsad</w:t>
            </w:r>
          </w:p>
        </w:tc>
        <w:tc>
          <w:tcPr/>
          <w:p>
            <w:pPr>
              <w:pStyle w:val="Compact"/>
              <w:spacing w:line="240" w:lineRule="auto"/>
              <w:ind w:firstLine="0"/>
              <w:jc w:val="left"/>
            </w:pPr>
            <w:r>
              <w:rPr>
                <w:rFonts w:ascii="Times New Roman" w:hAnsi="Times New Roman" w:cs="Times New Roman" w:eastAsia="Times New Roman"/>
                <w:sz w:val="22"/>
              </w:rPr>
              <w:t xml:space="preserve">Minimal prudensial talablar</w:t>
            </w:r>
          </w:p>
        </w:tc>
        <w:tc>
          <w:tcPr/>
          <w:p>
            <w:pPr>
              <w:pStyle w:val="Compact"/>
              <w:spacing w:line="240" w:lineRule="auto"/>
              <w:ind w:firstLine="0"/>
              <w:jc w:val="left"/>
            </w:pPr>
            <w:r>
              <w:rPr>
                <w:rFonts w:ascii="Times New Roman" w:hAnsi="Times New Roman" w:cs="Times New Roman" w:eastAsia="Times New Roman"/>
                <w:sz w:val="22"/>
              </w:rPr>
              <w:t xml:space="preserve">Kredit zararlarini to‘g‘ri aks ettirish</w:t>
            </w:r>
          </w:p>
        </w:tc>
        <w:tc>
          <w:tcPr/>
          <w:p>
            <w:pPr>
              <w:pStyle w:val="Compact"/>
              <w:spacing w:line="240" w:lineRule="auto"/>
              <w:ind w:firstLine="0"/>
              <w:jc w:val="left"/>
            </w:pPr>
            <w:r>
              <w:rPr>
                <w:rFonts w:ascii="Times New Roman" w:hAnsi="Times New Roman" w:cs="Times New Roman" w:eastAsia="Times New Roman"/>
                <w:sz w:val="22"/>
              </w:rPr>
              <w:t xml:space="preserve">Nazorat reytingi</w:t>
            </w:r>
          </w:p>
        </w:tc>
        <w:tc>
          <w:tcPr/>
          <w:p>
            <w:pPr>
              <w:pStyle w:val="Compact"/>
              <w:spacing w:line="240" w:lineRule="auto"/>
              <w:ind w:firstLine="0"/>
              <w:jc w:val="left"/>
            </w:pPr>
            <w:r>
              <w:rPr>
                <w:rFonts w:ascii="Times New Roman" w:hAnsi="Times New Roman" w:cs="Times New Roman" w:eastAsia="Times New Roman"/>
                <w:sz w:val="22"/>
              </w:rPr>
              <w:t xml:space="preserve">Sektor barqarorligini kuzatish</w:t>
            </w:r>
          </w:p>
        </w:tc>
        <w:tc>
          <w:tcPr/>
          <w:p>
            <w:pPr>
              <w:pStyle w:val="Compact"/>
              <w:spacing w:line="240" w:lineRule="auto"/>
              <w:ind w:firstLine="0"/>
              <w:jc w:val="left"/>
            </w:pPr>
            <w:r>
              <w:rPr>
                <w:rFonts w:ascii="Times New Roman" w:hAnsi="Times New Roman" w:cs="Times New Roman" w:eastAsia="Times New Roman"/>
                <w:sz w:val="22"/>
              </w:rPr>
              <w:t xml:space="preserve">Nazorat monitoringi</w:t>
            </w:r>
          </w:p>
        </w:tc>
        <w:tc>
          <w:tcPr/>
          <w:p>
            <w:pPr>
              <w:pStyle w:val="Compact"/>
              <w:spacing w:line="240" w:lineRule="auto"/>
              <w:ind w:firstLine="0"/>
              <w:jc w:val="left"/>
            </w:pPr>
            <w:r>
              <w:rPr>
                <w:rFonts w:ascii="Times New Roman" w:hAnsi="Times New Roman" w:cs="Times New Roman" w:eastAsia="Times New Roman"/>
                <w:sz w:val="22"/>
              </w:rPr>
              <w:t xml:space="preserve">Investorlarga axborot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Baholash darajasi</w:t>
            </w:r>
          </w:p>
        </w:tc>
        <w:tc>
          <w:tcPr/>
          <w:p>
            <w:pPr>
              <w:pStyle w:val="Compact"/>
              <w:spacing w:line="240" w:lineRule="auto"/>
              <w:ind w:firstLine="0"/>
              <w:jc w:val="left"/>
            </w:pPr>
            <w:r>
              <w:rPr>
                <w:rFonts w:ascii="Times New Roman" w:hAnsi="Times New Roman" w:cs="Times New Roman" w:eastAsia="Times New Roman"/>
                <w:sz w:val="22"/>
              </w:rPr>
              <w:t xml:space="preserve">Bank va tizim</w:t>
            </w:r>
          </w:p>
        </w:tc>
        <w:tc>
          <w:tcPr/>
          <w:p>
            <w:pPr>
              <w:pStyle w:val="Compact"/>
              <w:spacing w:line="240" w:lineRule="auto"/>
              <w:ind w:firstLine="0"/>
              <w:jc w:val="left"/>
            </w:pPr>
            <w:r>
              <w:rPr>
                <w:rFonts w:ascii="Times New Roman" w:hAnsi="Times New Roman" w:cs="Times New Roman" w:eastAsia="Times New Roman"/>
                <w:sz w:val="22"/>
              </w:rPr>
              <w:t xml:space="preserve">Bank</w:t>
            </w:r>
          </w:p>
        </w:tc>
        <w:tc>
          <w:tcPr/>
          <w:p>
            <w:pPr>
              <w:pStyle w:val="Compact"/>
              <w:spacing w:line="240" w:lineRule="auto"/>
              <w:ind w:firstLine="0"/>
              <w:jc w:val="left"/>
            </w:pPr>
            <w:r>
              <w:rPr>
                <w:rFonts w:ascii="Times New Roman" w:hAnsi="Times New Roman" w:cs="Times New Roman" w:eastAsia="Times New Roman"/>
                <w:sz w:val="22"/>
              </w:rPr>
              <w:t xml:space="preserve">Bank</w:t>
            </w:r>
          </w:p>
        </w:tc>
        <w:tc>
          <w:tcPr/>
          <w:p>
            <w:pPr>
              <w:pStyle w:val="Compact"/>
              <w:spacing w:line="240" w:lineRule="auto"/>
              <w:ind w:firstLine="0"/>
              <w:jc w:val="left"/>
            </w:pPr>
            <w:r>
              <w:rPr>
                <w:rFonts w:ascii="Times New Roman" w:hAnsi="Times New Roman" w:cs="Times New Roman" w:eastAsia="Times New Roman"/>
                <w:sz w:val="22"/>
              </w:rPr>
              <w:t xml:space="preserve">Bank sektori</w:t>
            </w:r>
          </w:p>
        </w:tc>
        <w:tc>
          <w:tcPr/>
          <w:p>
            <w:pPr>
              <w:pStyle w:val="Compact"/>
              <w:spacing w:line="240" w:lineRule="auto"/>
              <w:ind w:firstLine="0"/>
              <w:jc w:val="left"/>
            </w:pPr>
            <w:r>
              <w:rPr>
                <w:rFonts w:ascii="Times New Roman" w:hAnsi="Times New Roman" w:cs="Times New Roman" w:eastAsia="Times New Roman"/>
                <w:sz w:val="22"/>
              </w:rPr>
              <w:t xml:space="preserve">Bank</w:t>
            </w:r>
          </w:p>
        </w:tc>
        <w:tc>
          <w:tcPr/>
          <w:p>
            <w:pPr>
              <w:pStyle w:val="Compact"/>
              <w:spacing w:line="240" w:lineRule="auto"/>
              <w:ind w:firstLine="0"/>
              <w:jc w:val="left"/>
            </w:pPr>
            <w:r>
              <w:rPr>
                <w:rFonts w:ascii="Times New Roman" w:hAnsi="Times New Roman" w:cs="Times New Roman" w:eastAsia="Times New Roman"/>
                <w:sz w:val="22"/>
              </w:rPr>
              <w:t xml:space="preserve">Bank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Qamraydigan bloklar</w:t>
            </w:r>
          </w:p>
        </w:tc>
        <w:tc>
          <w:tcPr/>
          <w:p>
            <w:pPr>
              <w:pStyle w:val="Compact"/>
              <w:spacing w:line="240" w:lineRule="auto"/>
              <w:ind w:firstLine="0"/>
              <w:jc w:val="left"/>
            </w:pPr>
            <w:r>
              <w:rPr>
                <w:rFonts w:ascii="Times New Roman" w:hAnsi="Times New Roman" w:cs="Times New Roman" w:eastAsia="Times New Roman"/>
                <w:sz w:val="22"/>
              </w:rPr>
              <w:t xml:space="preserve">Kapital, likvidlik</w:t>
            </w:r>
          </w:p>
        </w:tc>
        <w:tc>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p>
            <w:pPr>
              <w:pStyle w:val="Compact"/>
              <w:spacing w:line="240" w:lineRule="auto"/>
              <w:ind w:firstLine="0"/>
              <w:jc w:val="left"/>
            </w:pPr>
            <w:r>
              <w:rPr>
                <w:rFonts w:ascii="Times New Roman" w:hAnsi="Times New Roman" w:cs="Times New Roman" w:eastAsia="Times New Roman"/>
                <w:sz w:val="22"/>
              </w:rPr>
              <w:t xml:space="preserve">C, A, M, E, L, S</w:t>
            </w:r>
          </w:p>
        </w:tc>
        <w:tc>
          <w:tcPr/>
          <w:p>
            <w:pPr>
              <w:pStyle w:val="Compact"/>
              <w:spacing w:line="240" w:lineRule="auto"/>
              <w:ind w:firstLine="0"/>
              <w:jc w:val="left"/>
            </w:pPr>
            <w:r>
              <w:rPr>
                <w:rFonts w:ascii="Times New Roman" w:hAnsi="Times New Roman" w:cs="Times New Roman" w:eastAsia="Times New Roman"/>
                <w:sz w:val="22"/>
              </w:rPr>
              <w:t xml:space="preserve">Kapital, aktivlar, daromad, likvidlik, bozor riski</w:t>
            </w:r>
          </w:p>
        </w:tc>
        <w:tc>
          <w:tcPr/>
          <w:p>
            <w:pPr>
              <w:pStyle w:val="Compact"/>
              <w:spacing w:line="240" w:lineRule="auto"/>
              <w:ind w:firstLine="0"/>
              <w:jc w:val="left"/>
            </w:pPr>
            <w:r>
              <w:rPr>
                <w:rFonts w:ascii="Times New Roman" w:hAnsi="Times New Roman" w:cs="Times New Roman" w:eastAsia="Times New Roman"/>
                <w:sz w:val="22"/>
              </w:rPr>
              <w:t xml:space="preserve">Kapital, aktivlar, rentabellik, balans tuzilmasi</w:t>
            </w:r>
          </w:p>
        </w:tc>
        <w:tc>
          <w:tcPr/>
          <w:p>
            <w:pPr>
              <w:pStyle w:val="Compact"/>
              <w:spacing w:line="240" w:lineRule="auto"/>
              <w:ind w:firstLine="0"/>
              <w:jc w:val="left"/>
            </w:pPr>
            <w:r>
              <w:rPr>
                <w:rFonts w:ascii="Times New Roman" w:hAnsi="Times New Roman" w:cs="Times New Roman" w:eastAsia="Times New Roman"/>
                <w:sz w:val="22"/>
              </w:rPr>
              <w:t xml:space="preserve">Biznes va moliyaviy profil</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Mezoniy qiymatlar</w:t>
            </w:r>
          </w:p>
        </w:tc>
        <w:tc>
          <w:tcPr/>
          <w:p>
            <w:pPr>
              <w:pStyle w:val="Compact"/>
              <w:spacing w:line="240" w:lineRule="auto"/>
              <w:ind w:firstLine="0"/>
              <w:jc w:val="left"/>
            </w:pPr>
            <w:r>
              <w:rPr>
                <w:rFonts w:ascii="Times New Roman" w:hAnsi="Times New Roman" w:cs="Times New Roman" w:eastAsia="Times New Roman"/>
                <w:sz w:val="22"/>
              </w:rPr>
              <w:t xml:space="preserve">Bor (minimumlar)</w:t>
            </w:r>
          </w:p>
        </w:tc>
        <w:tc>
          <w:tcPr/>
          <w:p>
            <w:pPr>
              <w:pStyle w:val="Compact"/>
              <w:spacing w:line="240" w:lineRule="auto"/>
              <w:ind w:firstLine="0"/>
              <w:jc w:val="left"/>
            </w:pPr>
            <w:r>
              <w:rPr>
                <w:rFonts w:ascii="Times New Roman" w:hAnsi="Times New Roman" w:cs="Times New Roman" w:eastAsia="Times New Roman"/>
                <w:sz w:val="22"/>
              </w:rPr>
              <w:t xml:space="preserve">Yo‘q (tamoyillar)</w:t>
            </w:r>
          </w:p>
        </w:tc>
        <w:tc>
          <w:tcPr/>
          <w:p>
            <w:pPr>
              <w:pStyle w:val="Compact"/>
              <w:spacing w:line="240" w:lineRule="auto"/>
              <w:ind w:firstLine="0"/>
              <w:jc w:val="left"/>
            </w:pPr>
            <w:r>
              <w:rPr>
                <w:rFonts w:ascii="Times New Roman" w:hAnsi="Times New Roman" w:cs="Times New Roman" w:eastAsia="Times New Roman"/>
                <w:sz w:val="22"/>
              </w:rPr>
              <w:t xml:space="preserve">Bor (ballar)</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Ichki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Yagona integral baho</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Bor (1–5)</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Yo‘q</w:t>
            </w:r>
          </w:p>
        </w:tc>
        <w:tc>
          <w:tcPr/>
          <w:p>
            <w:pPr>
              <w:pStyle w:val="Compact"/>
              <w:spacing w:line="240" w:lineRule="auto"/>
              <w:ind w:firstLine="0"/>
              <w:jc w:val="left"/>
            </w:pPr>
            <w:r>
              <w:rPr>
                <w:rFonts w:ascii="Times New Roman" w:hAnsi="Times New Roman" w:cs="Times New Roman" w:eastAsia="Times New Roman"/>
                <w:sz w:val="22"/>
              </w:rPr>
              <w:t xml:space="preserve">Bor (reyting)</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Natijaning oshkoraligi</w:t>
            </w:r>
          </w:p>
        </w:tc>
        <w:tc>
          <w:tcPr/>
          <w:p>
            <w:pPr>
              <w:pStyle w:val="Compact"/>
              <w:spacing w:line="240" w:lineRule="auto"/>
              <w:ind w:firstLine="0"/>
              <w:jc w:val="left"/>
            </w:pPr>
            <w:r>
              <w:rPr>
                <w:rFonts w:ascii="Times New Roman" w:hAnsi="Times New Roman" w:cs="Times New Roman" w:eastAsia="Times New Roman"/>
                <w:sz w:val="22"/>
              </w:rPr>
              <w:t xml:space="preserve">Normativlar ochiq</w:t>
            </w:r>
          </w:p>
        </w:tc>
        <w:tc>
          <w:tcPr/>
          <w:p>
            <w:pPr>
              <w:pStyle w:val="Compact"/>
              <w:spacing w:line="240" w:lineRule="auto"/>
              <w:ind w:firstLine="0"/>
              <w:jc w:val="left"/>
            </w:pPr>
            <w:r>
              <w:rPr>
                <w:rFonts w:ascii="Times New Roman" w:hAnsi="Times New Roman" w:cs="Times New Roman" w:eastAsia="Times New Roman"/>
                <w:sz w:val="22"/>
              </w:rPr>
              <w:t xml:space="preserve">Ochiq</w:t>
            </w:r>
          </w:p>
        </w:tc>
        <w:tc>
          <w:tcPr/>
          <w:p>
            <w:pPr>
              <w:pStyle w:val="Compact"/>
              <w:spacing w:line="240" w:lineRule="auto"/>
              <w:ind w:firstLine="0"/>
              <w:jc w:val="left"/>
            </w:pPr>
            <w:r>
              <w:rPr>
                <w:rFonts w:ascii="Times New Roman" w:hAnsi="Times New Roman" w:cs="Times New Roman" w:eastAsia="Times New Roman"/>
                <w:sz w:val="22"/>
              </w:rPr>
              <w:t xml:space="preserve">Yopiq</w:t>
            </w:r>
          </w:p>
        </w:tc>
        <w:tc>
          <w:tcPr/>
          <w:p>
            <w:pPr>
              <w:pStyle w:val="Compact"/>
              <w:spacing w:line="240" w:lineRule="auto"/>
              <w:ind w:firstLine="0"/>
              <w:jc w:val="left"/>
            </w:pPr>
            <w:r>
              <w:rPr>
                <w:rFonts w:ascii="Times New Roman" w:hAnsi="Times New Roman" w:cs="Times New Roman" w:eastAsia="Times New Roman"/>
                <w:sz w:val="22"/>
              </w:rPr>
              <w:t xml:space="preserve">Ochiq</w:t>
            </w:r>
          </w:p>
        </w:tc>
        <w:tc>
          <w:tcPr/>
          <w:p>
            <w:pPr>
              <w:pStyle w:val="Compact"/>
              <w:spacing w:line="240" w:lineRule="auto"/>
              <w:ind w:firstLine="0"/>
              <w:jc w:val="left"/>
            </w:pPr>
            <w:r>
              <w:rPr>
                <w:rFonts w:ascii="Times New Roman" w:hAnsi="Times New Roman" w:cs="Times New Roman" w:eastAsia="Times New Roman"/>
                <w:sz w:val="22"/>
              </w:rPr>
              <w:t xml:space="preserve">Agregat ochiq</w:t>
            </w:r>
          </w:p>
        </w:tc>
        <w:tc>
          <w:tcPr/>
          <w:p>
            <w:pPr>
              <w:pStyle w:val="Compact"/>
              <w:spacing w:line="240" w:lineRule="auto"/>
              <w:ind w:firstLine="0"/>
              <w:jc w:val="left"/>
            </w:pPr>
            <w:r>
              <w:rPr>
                <w:rFonts w:ascii="Times New Roman" w:hAnsi="Times New Roman" w:cs="Times New Roman" w:eastAsia="Times New Roman"/>
                <w:sz w:val="22"/>
              </w:rPr>
              <w:t xml:space="preserve">Ochiq</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Asosiy cheklovi</w:t>
            </w:r>
          </w:p>
        </w:tc>
        <w:tc>
          <w:tcPr/>
          <w:p>
            <w:pPr>
              <w:pStyle w:val="Compact"/>
              <w:spacing w:line="240" w:lineRule="auto"/>
              <w:ind w:firstLine="0"/>
              <w:jc w:val="left"/>
            </w:pPr>
            <w:r>
              <w:rPr>
                <w:rFonts w:ascii="Times New Roman" w:hAnsi="Times New Roman" w:cs="Times New Roman" w:eastAsia="Times New Roman"/>
                <w:sz w:val="22"/>
              </w:rPr>
              <w:t xml:space="preserve">Aktivlar sifati va daromadlilikni qamramaydi</w:t>
            </w:r>
          </w:p>
        </w:tc>
        <w:tc>
          <w:tcPr/>
          <w:p>
            <w:pPr>
              <w:pStyle w:val="Compact"/>
              <w:spacing w:line="240" w:lineRule="auto"/>
              <w:ind w:firstLine="0"/>
              <w:jc w:val="left"/>
            </w:pPr>
            <w:r>
              <w:rPr>
                <w:rFonts w:ascii="Times New Roman" w:hAnsi="Times New Roman" w:cs="Times New Roman" w:eastAsia="Times New Roman"/>
                <w:sz w:val="22"/>
              </w:rPr>
              <w:t xml:space="preserve">Faqat kredit riski</w:t>
            </w:r>
          </w:p>
        </w:tc>
        <w:tc>
          <w:tcPr/>
          <w:p>
            <w:pPr>
              <w:pStyle w:val="Compact"/>
              <w:spacing w:line="240" w:lineRule="auto"/>
              <w:ind w:firstLine="0"/>
              <w:jc w:val="left"/>
            </w:pPr>
            <w:r>
              <w:rPr>
                <w:rFonts w:ascii="Times New Roman" w:hAnsi="Times New Roman" w:cs="Times New Roman" w:eastAsia="Times New Roman"/>
                <w:sz w:val="22"/>
              </w:rPr>
              <w:t xml:space="preserve">Sub’ektiv, yopiq</w:t>
            </w:r>
          </w:p>
        </w:tc>
        <w:tc>
          <w:tcPr/>
          <w:p>
            <w:pPr>
              <w:pStyle w:val="Compact"/>
              <w:spacing w:line="240" w:lineRule="auto"/>
              <w:ind w:firstLine="0"/>
              <w:jc w:val="left"/>
            </w:pPr>
            <w:r>
              <w:rPr>
                <w:rFonts w:ascii="Times New Roman" w:hAnsi="Times New Roman" w:cs="Times New Roman" w:eastAsia="Times New Roman"/>
                <w:sz w:val="22"/>
              </w:rPr>
              <w:t xml:space="preserve">Integral baho yo‘q</w:t>
            </w:r>
          </w:p>
        </w:tc>
        <w:tc>
          <w:tcPr/>
          <w:p>
            <w:pPr>
              <w:pStyle w:val="Compact"/>
              <w:spacing w:line="240" w:lineRule="auto"/>
              <w:ind w:firstLine="0"/>
              <w:jc w:val="left"/>
            </w:pPr>
            <w:r>
              <w:rPr>
                <w:rFonts w:ascii="Times New Roman" w:hAnsi="Times New Roman" w:cs="Times New Roman" w:eastAsia="Times New Roman"/>
                <w:sz w:val="22"/>
              </w:rPr>
              <w:t xml:space="preserve">Kredit riskiga ortiqcha urg‘u</w:t>
            </w:r>
          </w:p>
        </w:tc>
        <w:tc>
          <w:tcPr/>
          <w:p>
            <w:pPr>
              <w:pStyle w:val="Compact"/>
              <w:spacing w:line="240" w:lineRule="auto"/>
              <w:ind w:firstLine="0"/>
              <w:jc w:val="left"/>
            </w:pPr>
            <w:r>
              <w:rPr>
                <w:rFonts w:ascii="Times New Roman" w:hAnsi="Times New Roman" w:cs="Times New Roman" w:eastAsia="Times New Roman"/>
                <w:sz w:val="22"/>
              </w:rPr>
              <w:t xml:space="preserve">Hamma banklarni qamramaydi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integral baho beradi, lekin yopiq va sub’ektiv. XVJ FSI va EBA KRI ko‘rsatkichlar tarkibini belgilaydi, lekin ularni yagona bahoga birlashtirmaydi. MHXS 9 esa ko‘rsatkichlarning sifatini oshiradi, ammo o‘zi baholash tizimi emas.</w:t>
      </w:r>
    </w:p>
    <w:p>
      <w:pPr>
        <w:pStyle w:val="BodyText"/>
        <w:spacing w:line="360" w:lineRule="auto" w:before="0" w:after="0"/>
        <w:ind w:firstLine="709"/>
        <w:jc w:val="both"/>
      </w:pPr>
      <w:r>
        <w:rPr>
          <w:rFonts w:ascii="Times New Roman" w:hAnsi="Times New Roman" w:cs="Times New Roman" w:eastAsia="Times New Roman"/>
          <w:sz w:val="28"/>
        </w:rPr>
        <w:t xml:space="preserve">Shu bilan birga, bu standartlar bir-birini to‘ldiradi. Ularning afzalliklarini birlashtirish orqali takomillashtirilgan integral baholash tizimini qurish mumkin: CAMELS dan komponentli tuzilma, Bazel III dan mezoniy qiymatlar, XVJ FSI dan ko‘rsatkichlar tarkibi, MHXS 9 dan aktivlar sifatini baholash tamoyili, reyting agentliklaridan esa yagona shkala va bashorat kuchini tekshirish usullari olinadi (1.3.7-rasm).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40000" cy="3060000"/>
                <wp:effectExtent l="0" t="0" r="0" b="0"/>
                <wp:docPr id="1007" name="1.3.7-rasm"/>
                <wp:cNvGraphicFramePr/>
                <a:graphic>
                  <a:graphicData uri="http://schemas.microsoft.com/office/word/2010/wordprocessingGroup">
                    <wpg:wgp>
                      <wpg:cNvGrpSpPr/>
                      <wpg:grpSpPr>
                        <a:xfrm>
                          <a:off x="0" y="0"/>
                          <a:ext cx="5940000" cy="3060000"/>
                          <a:chOff x="0" y="0"/>
                          <a:chExt cx="5940000" cy="3060000"/>
                        </a:xfrm>
                      </wpg:grpSpPr>
                      <wps:wsp>
                        <wps:cNvPr id="31" name="Shape 31"/>
                        <wps:cNvSpPr/>
                        <wps:spPr>
                          <a:xfrm>
                            <a:off x="36000" y="0"/>
                            <a:ext cx="129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Xalqaro standartlar</w:t>
                              </w:r>
                            </w:p>
                          </w:txbxContent>
                        </wps:txbx>
                        <wps:bodyPr rot="0" vert="horz" wrap="square" lIns="36000" tIns="18000" rIns="36000" bIns="18000" anchor="ctr" anchorCtr="0">
                          <a:noAutofit/>
                        </wps:bodyPr>
                      </wps:wsp>
                      <wps:wsp>
                        <wps:cNvPr id="32" name="Shape 32"/>
                        <wps:cNvSpPr/>
                        <wps:spPr>
                          <a:xfrm>
                            <a:off x="2160000" y="0"/>
                            <a:ext cx="1728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Baholash bloklari</w:t>
                              </w:r>
                            </w:p>
                          </w:txbxContent>
                        </wps:txbx>
                        <wps:bodyPr rot="0" vert="horz" wrap="square" lIns="36000" tIns="18000" rIns="36000" bIns="18000" anchor="ctr" anchorCtr="0">
                          <a:noAutofit/>
                        </wps:bodyPr>
                      </wps:wsp>
                      <wps:wsp>
                        <wps:cNvPr id="33" name="Connector 33"/>
                        <wps:cNvCnPr/>
                        <wps:spPr>
                          <a:xfrm>
                            <a:off x="1332000" y="486000"/>
                            <a:ext cx="828000" cy="0"/>
                          </a:xfrm>
                          <a:prstGeom prst="straightConnector1">
                            <a:avLst/>
                          </a:prstGeom>
                          <a:ln w="12700">
                            <a:solidFill>
                              <a:srgbClr val="70AD47"/>
                            </a:solidFill>
                          </a:ln>
                        </wps:spPr>
                        <wps:bodyPr/>
                      </wps:wsp>
                      <wps:wsp>
                        <wps:cNvPr id="34" name="Connector 34"/>
                        <wps:cNvCnPr/>
                        <wps:spPr>
                          <a:xfrm>
                            <a:off x="1332000" y="486000"/>
                            <a:ext cx="828000" cy="1782000"/>
                          </a:xfrm>
                          <a:prstGeom prst="straightConnector1">
                            <a:avLst/>
                          </a:prstGeom>
                          <a:ln w="12700">
                            <a:solidFill>
                              <a:srgbClr val="70AD47"/>
                            </a:solidFill>
                          </a:ln>
                        </wps:spPr>
                        <wps:bodyPr/>
                      </wps:wsp>
                      <wps:wsp>
                        <wps:cNvPr id="35" name="Connector 35"/>
                        <wps:cNvCnPr/>
                        <wps:spPr>
                          <a:xfrm>
                            <a:off x="1332000" y="1080000"/>
                            <a:ext cx="828000" cy="0"/>
                          </a:xfrm>
                          <a:prstGeom prst="straightConnector1">
                            <a:avLst/>
                          </a:prstGeom>
                          <a:ln w="12700">
                            <a:solidFill>
                              <a:srgbClr val="EB6834"/>
                            </a:solidFill>
                          </a:ln>
                        </wps:spPr>
                        <wps:bodyPr/>
                      </wps:wsp>
                      <wps:wsp>
                        <wps:cNvPr id="36" name="Connector 36"/>
                        <wps:cNvCnPr/>
                        <wps:spPr>
                          <a:xfrm flipV="1">
                            <a:off x="1332000" y="486000"/>
                            <a:ext cx="828000" cy="1188000"/>
                          </a:xfrm>
                          <a:prstGeom prst="straightConnector1">
                            <a:avLst/>
                          </a:prstGeom>
                          <a:ln w="12700">
                            <a:solidFill>
                              <a:srgbClr val="5B9BD5"/>
                            </a:solidFill>
                          </a:ln>
                        </wps:spPr>
                        <wps:bodyPr/>
                      </wps:wsp>
                      <wps:wsp>
                        <wps:cNvPr id="37" name="Connector 37"/>
                        <wps:cNvCnPr/>
                        <wps:spPr>
                          <a:xfrm flipV="1">
                            <a:off x="1332000" y="1080000"/>
                            <a:ext cx="828000" cy="594000"/>
                          </a:xfrm>
                          <a:prstGeom prst="straightConnector1">
                            <a:avLst/>
                          </a:prstGeom>
                          <a:ln w="12700">
                            <a:solidFill>
                              <a:srgbClr val="5B9BD5"/>
                            </a:solidFill>
                          </a:ln>
                        </wps:spPr>
                        <wps:bodyPr/>
                      </wps:wsp>
                      <wps:wsp>
                        <wps:cNvPr id="38" name="Connector 38"/>
                        <wps:cNvCnPr/>
                        <wps:spPr>
                          <a:xfrm>
                            <a:off x="1332000" y="1674000"/>
                            <a:ext cx="828000" cy="0"/>
                          </a:xfrm>
                          <a:prstGeom prst="straightConnector1">
                            <a:avLst/>
                          </a:prstGeom>
                          <a:ln w="12700">
                            <a:solidFill>
                              <a:srgbClr val="5B9BD5"/>
                            </a:solidFill>
                          </a:ln>
                        </wps:spPr>
                        <wps:bodyPr/>
                      </wps:wsp>
                      <wps:wsp>
                        <wps:cNvPr id="39" name="Connector 39"/>
                        <wps:cNvCnPr/>
                        <wps:spPr>
                          <a:xfrm>
                            <a:off x="1332000" y="1674000"/>
                            <a:ext cx="828000" cy="594000"/>
                          </a:xfrm>
                          <a:prstGeom prst="straightConnector1">
                            <a:avLst/>
                          </a:prstGeom>
                          <a:ln w="12700">
                            <a:solidFill>
                              <a:srgbClr val="5B9BD5"/>
                            </a:solidFill>
                          </a:ln>
                        </wps:spPr>
                        <wps:bodyPr/>
                      </wps:wsp>
                      <wps:wsp>
                        <wps:cNvPr id="40" name="Connector 40"/>
                        <wps:cNvCnPr/>
                        <wps:spPr>
                          <a:xfrm>
                            <a:off x="1332000" y="1674000"/>
                            <a:ext cx="828000" cy="1188000"/>
                          </a:xfrm>
                          <a:prstGeom prst="straightConnector1">
                            <a:avLst/>
                          </a:prstGeom>
                          <a:ln w="12700">
                            <a:solidFill>
                              <a:srgbClr val="5B9BD5"/>
                            </a:solidFill>
                          </a:ln>
                        </wps:spPr>
                        <wps:bodyPr/>
                      </wps:wsp>
                      <wps:wsp>
                        <wps:cNvPr id="41" name="Connector 41"/>
                        <wps:cNvCnPr/>
                        <wps:spPr>
                          <a:xfrm flipV="1">
                            <a:off x="1332000" y="486000"/>
                            <a:ext cx="828000" cy="1782000"/>
                          </a:xfrm>
                          <a:prstGeom prst="straightConnector1">
                            <a:avLst/>
                          </a:prstGeom>
                          <a:ln w="12700">
                            <a:solidFill>
                              <a:srgbClr val="2A78D6"/>
                            </a:solidFill>
                          </a:ln>
                        </wps:spPr>
                        <wps:bodyPr/>
                      </wps:wsp>
                      <wps:wsp>
                        <wps:cNvPr id="42" name="Connector 42"/>
                        <wps:cNvCnPr/>
                        <wps:spPr>
                          <a:xfrm flipV="1">
                            <a:off x="1332000" y="1080000"/>
                            <a:ext cx="828000" cy="1188000"/>
                          </a:xfrm>
                          <a:prstGeom prst="straightConnector1">
                            <a:avLst/>
                          </a:prstGeom>
                          <a:ln w="12700">
                            <a:solidFill>
                              <a:srgbClr val="2A78D6"/>
                            </a:solidFill>
                          </a:ln>
                        </wps:spPr>
                        <wps:bodyPr/>
                      </wps:wsp>
                      <wps:wsp>
                        <wps:cNvPr id="43" name="Connector 43"/>
                        <wps:cNvCnPr/>
                        <wps:spPr>
                          <a:xfrm flipV="1">
                            <a:off x="1332000" y="1674000"/>
                            <a:ext cx="828000" cy="594000"/>
                          </a:xfrm>
                          <a:prstGeom prst="straightConnector1">
                            <a:avLst/>
                          </a:prstGeom>
                          <a:ln w="12700">
                            <a:solidFill>
                              <a:srgbClr val="2A78D6"/>
                            </a:solidFill>
                          </a:ln>
                        </wps:spPr>
                        <wps:bodyPr/>
                      </wps:wsp>
                      <wps:wsp>
                        <wps:cNvPr id="44" name="Connector 44"/>
                        <wps:cNvCnPr/>
                        <wps:spPr>
                          <a:xfrm>
                            <a:off x="1332000" y="2268000"/>
                            <a:ext cx="828000" cy="0"/>
                          </a:xfrm>
                          <a:prstGeom prst="straightConnector1">
                            <a:avLst/>
                          </a:prstGeom>
                          <a:ln w="12700">
                            <a:solidFill>
                              <a:srgbClr val="2A78D6"/>
                            </a:solidFill>
                          </a:ln>
                        </wps:spPr>
                        <wps:bodyPr/>
                      </wps:wsp>
                      <wps:wsp>
                        <wps:cNvPr id="45" name="Connector 45"/>
                        <wps:cNvCnPr/>
                        <wps:spPr>
                          <a:xfrm>
                            <a:off x="1332000" y="2268000"/>
                            <a:ext cx="828000" cy="594000"/>
                          </a:xfrm>
                          <a:prstGeom prst="straightConnector1">
                            <a:avLst/>
                          </a:prstGeom>
                          <a:ln w="12700">
                            <a:solidFill>
                              <a:srgbClr val="2A78D6"/>
                            </a:solidFill>
                          </a:ln>
                        </wps:spPr>
                        <wps:bodyPr/>
                      </wps:wsp>
                      <wps:wsp>
                        <wps:cNvPr id="46" name="Connector 46"/>
                        <wps:cNvCnPr/>
                        <wps:spPr>
                          <a:xfrm flipV="1">
                            <a:off x="1332000" y="486000"/>
                            <a:ext cx="828000" cy="2376000"/>
                          </a:xfrm>
                          <a:prstGeom prst="straightConnector1">
                            <a:avLst/>
                          </a:prstGeom>
                          <a:ln w="12700">
                            <a:solidFill>
                              <a:srgbClr val="7F7F7F"/>
                            </a:solidFill>
                          </a:ln>
                        </wps:spPr>
                        <wps:bodyPr/>
                      </wps:wsp>
                      <wps:wsp>
                        <wps:cNvPr id="47" name="Connector 47"/>
                        <wps:cNvCnPr/>
                        <wps:spPr>
                          <a:xfrm flipV="1">
                            <a:off x="1332000" y="1080000"/>
                            <a:ext cx="828000" cy="1782000"/>
                          </a:xfrm>
                          <a:prstGeom prst="straightConnector1">
                            <a:avLst/>
                          </a:prstGeom>
                          <a:ln w="12700">
                            <a:solidFill>
                              <a:srgbClr val="7F7F7F"/>
                            </a:solidFill>
                          </a:ln>
                        </wps:spPr>
                        <wps:bodyPr/>
                      </wps:wsp>
                      <wps:wsp>
                        <wps:cNvPr id="48" name="Connector 48"/>
                        <wps:cNvCnPr/>
                        <wps:spPr>
                          <a:xfrm flipV="1">
                            <a:off x="1332000" y="1674000"/>
                            <a:ext cx="828000" cy="1188000"/>
                          </a:xfrm>
                          <a:prstGeom prst="straightConnector1">
                            <a:avLst/>
                          </a:prstGeom>
                          <a:ln w="12700">
                            <a:solidFill>
                              <a:srgbClr val="7F7F7F"/>
                            </a:solidFill>
                          </a:ln>
                        </wps:spPr>
                        <wps:bodyPr/>
                      </wps:wsp>
                      <wps:wsp>
                        <wps:cNvPr id="49" name="Connector 49"/>
                        <wps:cNvCnPr/>
                        <wps:spPr>
                          <a:xfrm flipV="1">
                            <a:off x="1332000" y="2268000"/>
                            <a:ext cx="828000" cy="594000"/>
                          </a:xfrm>
                          <a:prstGeom prst="straightConnector1">
                            <a:avLst/>
                          </a:prstGeom>
                          <a:ln w="12700">
                            <a:solidFill>
                              <a:srgbClr val="7F7F7F"/>
                            </a:solidFill>
                          </a:ln>
                        </wps:spPr>
                        <wps:bodyPr/>
                      </wps:wsp>
                      <wps:wsp>
                        <wps:cNvPr id="50"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txbxContent>
                        </wps:txbx>
                        <wps:bodyPr rot="0" vert="horz" wrap="square" lIns="36000" tIns="18000" rIns="36000" bIns="18000" anchor="ctr" anchorCtr="0">
                          <a:noAutofit/>
                        </wps:bodyPr>
                      </wps:wsp>
                      <wps:wsp>
                        <wps:cNvPr id="5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MHXS 9</w:t>
                              </w:r>
                            </w:p>
                          </w:txbxContent>
                        </wps:txbx>
                        <wps:bodyPr rot="0" vert="horz" wrap="square" lIns="36000" tIns="18000" rIns="36000" bIns="18000" anchor="ctr" anchorCtr="0">
                          <a:noAutofit/>
                        </wps:bodyPr>
                      </wps:wsp>
                      <wps:wsp>
                        <wps:cNvPr id="52"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XVJ FSI</w:t>
                              </w:r>
                            </w:p>
                          </w:txbxContent>
                        </wps:txbx>
                        <wps:bodyPr rot="0" vert="horz" wrap="square" lIns="36000" tIns="18000" rIns="36000" bIns="18000" anchor="ctr" anchorCtr="0">
                          <a:noAutofit/>
                        </wps:bodyPr>
                      </wps:wsp>
                      <wps:wsp>
                        <wps:cNvPr id="5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CAMELS</w:t>
                              </w:r>
                            </w:p>
                          </w:txbxContent>
                        </wps:txbx>
                        <wps:bodyPr rot="0" vert="horz" wrap="square" lIns="36000" tIns="18000" rIns="36000" bIns="18000" anchor="ctr" anchorCtr="0">
                          <a:noAutofit/>
                        </wps:bodyPr>
                      </wps:wsp>
                      <wps:wsp>
                        <wps:cNvPr id="54"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Reyting agentliklari</w:t>
                              </w:r>
                            </w:p>
                          </w:txbxContent>
                        </wps:txbx>
                        <wps:bodyPr rot="0" vert="horz" wrap="square" lIns="36000" tIns="18000" rIns="36000" bIns="18000" anchor="ctr" anchorCtr="0">
                          <a:noAutofit/>
                        </wps:bodyPr>
                      </wps:wsp>
                      <wps:wsp>
                        <wps:cNvPr id="55"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Kapital yetarliligi</w:t>
                              </w:r>
                            </w:p>
                          </w:txbxContent>
                        </wps:txbx>
                        <wps:bodyPr rot="0" vert="horz" wrap="square" lIns="36000" tIns="18000" rIns="36000" bIns="18000" anchor="ctr" anchorCtr="0">
                          <a:noAutofit/>
                        </wps:bodyPr>
                      </wps:wsp>
                      <wps:wsp>
                        <wps:cNvPr id="56"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Aktivlar sifati</w:t>
                              </w:r>
                            </w:p>
                          </w:txbxContent>
                        </wps:txbx>
                        <wps:bodyPr rot="0" vert="horz" wrap="square" lIns="36000" tIns="18000" rIns="36000" bIns="18000" anchor="ctr" anchorCtr="0">
                          <a:noAutofit/>
                        </wps:bodyPr>
                      </wps:wsp>
                      <wps:wsp>
                        <wps:cNvPr id="57"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Daromadlilik</w:t>
                              </w:r>
                            </w:p>
                          </w:txbxContent>
                        </wps:txbx>
                        <wps:bodyPr rot="0" vert="horz" wrap="square" lIns="36000" tIns="18000" rIns="36000" bIns="18000" anchor="ctr" anchorCtr="0">
                          <a:noAutofit/>
                        </wps:bodyPr>
                      </wps:wsp>
                      <wps:wsp>
                        <wps:cNvPr id="58"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Likvidlik</w:t>
                              </w:r>
                            </w:p>
                          </w:txbxContent>
                        </wps:txbx>
                        <wps:bodyPr rot="0" vert="horz" wrap="square" lIns="36000" tIns="18000" rIns="36000" bIns="18000" anchor="ctr" anchorCtr="0">
                          <a:noAutofit/>
                        </wps:bodyPr>
                      </wps:wsp>
                      <wps:wsp>
                        <wps:cNvPr id="59"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(valyuta) riskiga</w:t>
                              </w:r>
                            </w:p>
                            <w:p>
                              <w:pPr>
                                <w:spacing w:before="0" w:after="0" w:line="228" w:lineRule="auto"/>
                                <w:jc w:val="center"/>
                                <w:ind w:firstLine="0"/>
                              </w:pPr>
                              <w:r>
                                <w:rPr>
                                  <w:rFonts w:ascii="Times New Roman" w:hAnsi="Times New Roman" w:cs="Times New Roman"/>
                                  <w:color w:val="000000"/>
                                  <w:sz w:val="22"/>
                                  <w:szCs w:val="22"/>
                                </w:rPr>
                                <w:t xml:space="preserve">sezgirlik</w:t>
                              </w:r>
                            </w:p>
                          </w:txbxContent>
                        </wps:txbx>
                        <wps:bodyPr rot="0" vert="horz" wrap="square" lIns="36000" tIns="18000" rIns="36000" bIns="18000" anchor="ctr" anchorCtr="0">
                          <a:noAutofit/>
                        </wps:bodyPr>
                      </wps:wsp>
                      <wps:wsp>
                        <wps:cNvPr id="60" name="Connector 60"/>
                        <wps:cNvCnPr/>
                        <wps:spPr>
                          <a:xfrm>
                            <a:off x="3888000" y="486000"/>
                            <a:ext cx="648000" cy="1152000"/>
                          </a:xfrm>
                          <a:prstGeom prst="straightConnector1">
                            <a:avLst/>
                          </a:prstGeom>
                          <a:ln w="15875">
                            <a:solidFill>
                              <a:srgbClr val="404040"/>
                            </a:solidFill>
                            <a:tailEnd type="triangle" w="med" len="med"/>
                          </a:ln>
                        </wps:spPr>
                        <wps:bodyPr/>
                      </wps:wsp>
                      <wps:wsp>
                        <wps:cNvPr id="61" name="Connector 61"/>
                        <wps:cNvCnPr/>
                        <wps:spPr>
                          <a:xfrm>
                            <a:off x="3888000" y="1080000"/>
                            <a:ext cx="648000" cy="558000"/>
                          </a:xfrm>
                          <a:prstGeom prst="straightConnector1">
                            <a:avLst/>
                          </a:prstGeom>
                          <a:ln w="15875">
                            <a:solidFill>
                              <a:srgbClr val="404040"/>
                            </a:solidFill>
                            <a:tailEnd type="triangle" w="med" len="med"/>
                          </a:ln>
                        </wps:spPr>
                        <wps:bodyPr/>
                      </wps:wsp>
                      <wps:wsp>
                        <wps:cNvPr id="62"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63"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64"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65"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Moliyaviy</w:t>
                              </w:r>
                            </w:p>
                            <w:p>
                              <w:pPr>
                                <w:spacing w:before="0" w:after="0" w:line="228" w:lineRule="auto"/>
                                <w:jc w:val="center"/>
                                <w:ind w:firstLine="0"/>
                              </w:pPr>
                              <w:r>
                                <w:rPr>
                                  <w:rFonts w:ascii="Times New Roman" w:hAnsi="Times New Roman" w:cs="Times New Roman"/>
                                  <w:b/>
                                  <w:color w:val="FFFFFF"/>
                                  <w:sz w:val="24"/>
                                  <w:szCs w:val="24"/>
                                </w:rPr>
                                <w:t xml:space="preserve">barqarorlikning</w:t>
                              </w:r>
                            </w:p>
                            <w:p>
                              <w:pPr>
                                <w:spacing w:before="0" w:after="0" w:line="228" w:lineRule="auto"/>
                                <w:jc w:val="center"/>
                                <w:ind w:firstLine="0"/>
                              </w:pPr>
                              <w:r>
                                <w:rPr>
                                  <w:rFonts w:ascii="Times New Roman" w:hAnsi="Times New Roman" w:cs="Times New Roman"/>
                                  <w:b/>
                                  <w:color w:val="FFFFFF"/>
                                  <w:sz w:val="24"/>
                                  <w:szCs w:val="24"/>
                                </w:rPr>
                                <w:t xml:space="preserve">integral bahosi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1.3.7-rasm. Xalqaro standartlarning moliyaviy barqarorlikni integral baholash bloklari bilan bog‘liqligi</w:t>
      </w:r>
      <w:r>
        <w:rPr>
          <w:rStyle w:val="FootnoteReference"/>
        </w:rPr>
        <w:footnoteReference w:id="90"/>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kapital yetarliligi va likvidlik bloklari uchun Bazel III mezonlari asos bo‘ladi, aktivlar sifati bloki MHXS 9 tamoyillariga tayanadi, beshala blokning ko‘rsatkichlar tarkibi esa CAMELS va XVJ FSI bilan muvofiqlashtiriladi. Valyuta riskiga sezgirlik bloki ayniqsa muhim: L. Izzi va hammualliflarning bank reyting modelida rivojlanayotgan mamlakatlar banklari uchun sifat omillari ichida xorijiy valyutadagi likvidlikka eng katta – 30 foiz vazn berilgan</w:t>
      </w:r>
      <w:r>
        <w:rPr>
          <w:rStyle w:val="FootnoteReference"/>
        </w:rPr>
        <w:footnoteReference w:id="91"/>
      </w:r>
      <w:r>
        <w:rPr>
          <w:rFonts w:ascii="Times New Roman" w:hAnsi="Times New Roman" w:cs="Times New Roman" w:eastAsia="Times New Roman"/>
          <w:sz w:val="28"/>
        </w:rPr>
        <w:t xml:space="preserve">, EBA KRI tizimida esa bunday blok yo‘q.</w:t>
      </w:r>
    </w:p>
    <w:bookmarkEnd w:id="92"/>
    <w:bookmarkStart w:id="93" w:name="paragraf-boyicha-xulosa"/>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Paragraf bo‘yicha xulosa</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Bazel kelishuvlari kapital yetarliligining oddiy talabidan kapital sifati, buferlar, leverej, likvidlik va tizimli ahamiyatli banklarga qo‘shimcha talablarni qamrab oluvchi kompleks prudensial standartga aylandi. Konservatsiya buferi bo‘yicha pog‘onali shkala kapital ko‘rsatkichini minimumdan qanchalik yuqori ekaniga qarab baholashning metodologik namunasi bo‘la oladi.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MHXS 9 kutilgan kredit zararlari modeli orqali aktivlar sifati ko‘rsatkichlarining ishonchliligini oshiradi. Milliy hisobot va MHXS o‘rtasidagi farq bank holatini baholashda sezilarli bo‘lishi mumkin, shuning uchun baholash metodikasida hisobot standarti hisobga olinishi kerak.</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CAMELS kompleks baholashning eng keng tarqalgan tizimi, ammo uning natijalari yopiq va sub’ektiv. O‘zbekistonda qo‘llanayotgan CAMEL tizimida omillar vazni va qiyosiy baholash yo‘qligi uni takomillashtirish zaruratini ko‘rsatadi.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XVJ FSI va EBA KRI ko‘rsatkichlar tarkibini xalqaro miqyosda unifikatsiya qiladi, ammo mezoniy qiymatlar va yagona integral baho bermaydi. Reyting agentliklari integral baho beradi, lekin barcha banklarni qamramaydi.</w:t>
      </w:r>
    </w:p>
    <w:p>
      <w:pPr>
        <w:numPr>
          <w:ilvl w:val="0"/>
          <w:numId w:val="1001"/>
        </w:numPr>
        <w:spacing w:line="360" w:lineRule="auto" w:before="0" w:after="0"/>
        <w:ind w:firstLine="709"/>
        <w:jc w:val="both"/>
      </w:pPr>
      <w:r>
        <w:rPr>
          <w:rFonts w:ascii="Times New Roman" w:hAnsi="Times New Roman" w:cs="Times New Roman" w:eastAsia="Times New Roman"/>
          <w:sz w:val="28"/>
        </w:rPr>
        <w:t xml:space="preserve">Ko‘rib chiqilgan standartlarning birortasi ham O‘zbekiston banklari moliyaviy barqarorligini ochiq ma’lumotlar asosida, mezoniy qiymatlar bilan va yagona integral baho shaklida baholash imkonini to‘liq bermaydi. Bu ularning afzalliklarini birlashtiruvchi integral baholash metodikasini ishlab chiqish zaruratini asoslaydi. Bunday metodika dissertatsiyaning 3.1-paragrafida taklif etiladi.</w:t>
      </w:r>
    </w:p>
    <w:bookmarkEnd w:id="93"/>
    <w:bookmarkEnd w:id="94"/>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45–46.</w:t>
      </w:r>
    </w:p>
  </w:footnote>
  <w:footnote w:id="21">
    <w:p>
      <w:pPr>
        <w:pStyle w:val="FootnoteText"/>
      </w:pPr>
      <w:r>
        <w:rPr>
          <w:rStyle w:val="FootnoteReference"/>
        </w:rPr>
        <w:footnoteRef/>
      </w:r>
      <w:r>
        <w:t xml:space="preserve"> </w:t>
      </w:r>
      <w:r>
        <w:t xml:space="preserve">O‘sha joyda. – P. 55–59.</w:t>
      </w:r>
    </w:p>
  </w:footnote>
  <w:footnote w:id="22">
    <w:p>
      <w:pPr>
        <w:pStyle w:val="FootnoteText"/>
      </w:pPr>
      <w:r>
        <w:rPr>
          <w:rStyle w:val="FootnoteReference"/>
        </w:rPr>
        <w:footnoteRef/>
      </w:r>
      <w:r>
        <w:t xml:space="preserve"> </w:t>
      </w:r>
      <w:r>
        <w:t xml:space="preserve">O‘sha joyda. – P. 61–64.</w:t>
      </w:r>
    </w:p>
  </w:footnote>
  <w:footnote w:id="23">
    <w:p>
      <w:pPr>
        <w:pStyle w:val="FootnoteText"/>
      </w:pPr>
      <w:r>
        <w:rPr>
          <w:rStyle w:val="FootnoteReference"/>
        </w:rPr>
        <w:footnoteRef/>
      </w:r>
      <w:r>
        <w:t xml:space="preserve"> </w:t>
      </w:r>
      <w:r>
        <w:t xml:space="preserve">O‘sha joyda. – P. 65–67.</w:t>
      </w:r>
    </w:p>
  </w:footnote>
  <w:footnote w:id="24">
    <w:p>
      <w:pPr>
        <w:pStyle w:val="FootnoteText"/>
      </w:pPr>
      <w:r>
        <w:rPr>
          <w:rStyle w:val="FootnoteReference"/>
        </w:rPr>
        <w:footnoteRef/>
      </w:r>
      <w:r>
        <w:t xml:space="preserve"> </w:t>
      </w:r>
      <w:r>
        <w:t xml:space="preserve">Muallif tomonidan quyidagi manbalar asosida tuzilgan: Tarullo D.K. Banking on Basel… – P. 45–67; Карминский А.М. Кредитные рейтинги и их моделирование. – М.: Изд. дом НИУ ВШЭ, 2015. – С. 20–24.</w:t>
      </w:r>
    </w:p>
  </w:footnote>
  <w:footnote w:id="25">
    <w:p>
      <w:pPr>
        <w:pStyle w:val="FootnoteText"/>
      </w:pPr>
      <w:r>
        <w:rPr>
          <w:rStyle w:val="FootnoteReference"/>
        </w:rPr>
        <w:footnoteRef/>
      </w:r>
      <w:r>
        <w:t xml:space="preserve"> </w:t>
      </w:r>
      <w:r>
        <w:t xml:space="preserve">Tarullo D.K. Banking on Basel… – P. 77–83.</w:t>
      </w:r>
    </w:p>
  </w:footnote>
  <w:footnote w:id="26">
    <w:p>
      <w:pPr>
        <w:pStyle w:val="FootnoteText"/>
      </w:pPr>
      <w:r>
        <w:rPr>
          <w:rStyle w:val="FootnoteReference"/>
        </w:rPr>
        <w:footnoteRef/>
      </w:r>
      <w:r>
        <w:t xml:space="preserve"> </w:t>
      </w:r>
      <w:r>
        <w:t xml:space="preserve">O‘sha joyda. – P. 69–72.</w:t>
      </w:r>
    </w:p>
  </w:footnote>
  <w:footnote w:id="27">
    <w:p>
      <w:pPr>
        <w:pStyle w:val="FootnoteText"/>
      </w:pPr>
      <w:r>
        <w:rPr>
          <w:rStyle w:val="FootnoteReference"/>
        </w:rPr>
        <w:footnoteRef/>
      </w:r>
      <w:r>
        <w:t xml:space="preserve"> </w:t>
      </w:r>
      <w:r>
        <w:t xml:space="preserve">Карминский А.М. Кредитные рейтинги и их моделирование. – С. 21–22.</w:t>
      </w:r>
    </w:p>
  </w:footnote>
  <w:footnote w:id="28">
    <w:p>
      <w:pPr>
        <w:pStyle w:val="FootnoteText"/>
      </w:pPr>
      <w:r>
        <w:rPr>
          <w:rStyle w:val="FootnoteReference"/>
        </w:rPr>
        <w:footnoteRef/>
      </w:r>
      <w:r>
        <w:t xml:space="preserve"> </w:t>
      </w:r>
      <w:r>
        <w:t xml:space="preserve">Tarullo D.K. Banking on Basel… – P. 162–165.</w:t>
      </w:r>
    </w:p>
  </w:footnote>
  <w:footnote w:id="29">
    <w:p>
      <w:pPr>
        <w:pStyle w:val="FootnoteText"/>
      </w:pPr>
      <w:r>
        <w:rPr>
          <w:rStyle w:val="FootnoteReference"/>
        </w:rPr>
        <w:footnoteRef/>
      </w:r>
      <w:r>
        <w:t xml:space="preserve"> </w:t>
      </w:r>
      <w:r>
        <w:t xml:space="preserve">O‘sha joyda. – P. 189.</w:t>
      </w:r>
    </w:p>
  </w:footnote>
  <w:footnote w:id="30">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3.</w:t>
      </w:r>
    </w:p>
  </w:footnote>
  <w:footnote w:id="31">
    <w:p>
      <w:pPr>
        <w:pStyle w:val="FootnoteText"/>
      </w:pPr>
      <w:r>
        <w:rPr>
          <w:rStyle w:val="FootnoteReference"/>
        </w:rPr>
        <w:footnoteRef/>
      </w:r>
      <w:r>
        <w:t xml:space="preserve"> </w:t>
      </w:r>
      <w:r>
        <w:t xml:space="preserve">Modina M. Credit Rating and Bank–Firm Relationships: New Models to Better Evaluate SMEs. – Basingstoke: Palgrave Macmillan, 2015. – P. 45.</w:t>
      </w:r>
    </w:p>
  </w:footnote>
  <w:footnote w:id="32">
    <w:p>
      <w:pPr>
        <w:pStyle w:val="FootnoteText"/>
      </w:pPr>
      <w:r>
        <w:rPr>
          <w:rStyle w:val="FootnoteReference"/>
        </w:rPr>
        <w:footnoteRef/>
      </w:r>
      <w:r>
        <w:t xml:space="preserve"> </w:t>
      </w:r>
      <w:r>
        <w:t xml:space="preserve">Tian W. Regulatory Capital Requirement in Basel III. – P. 6–7, 15.</w:t>
      </w:r>
    </w:p>
  </w:footnote>
  <w:footnote w:id="33">
    <w:p>
      <w:pPr>
        <w:pStyle w:val="FootnoteText"/>
      </w:pPr>
      <w:r>
        <w:rPr>
          <w:rStyle w:val="FootnoteReference"/>
        </w:rPr>
        <w:footnoteRef/>
      </w:r>
      <w:r>
        <w:t xml:space="preserve"> </w:t>
      </w:r>
      <w:r>
        <w:t xml:space="preserve">Muallif tomonidan quyidagi manba asosida tuzilgan: Modina M. Credit Rating and Bank–Firm Relationships… – P. 46–47.</w:t>
      </w:r>
    </w:p>
  </w:footnote>
  <w:footnote w:id="34">
    <w:p>
      <w:pPr>
        <w:pStyle w:val="FootnoteText"/>
      </w:pPr>
      <w:r>
        <w:rPr>
          <w:rStyle w:val="FootnoteReference"/>
        </w:rPr>
        <w:footnoteRef/>
      </w:r>
      <w:r>
        <w:t xml:space="preserve"> </w:t>
      </w:r>
      <w:r>
        <w:t xml:space="preserve">Tian W. Regulatory Capital Requirement in Basel III. – P. 9–10.</w:t>
      </w:r>
    </w:p>
  </w:footnote>
  <w:footnote w:id="35">
    <w:p>
      <w:pPr>
        <w:pStyle w:val="FootnoteText"/>
      </w:pPr>
      <w:r>
        <w:rPr>
          <w:rStyle w:val="FootnoteReference"/>
        </w:rPr>
        <w:footnoteRef/>
      </w:r>
      <w:r>
        <w:t xml:space="preserve"> </w:t>
      </w:r>
      <w:r>
        <w:t xml:space="preserve">O‘sha joyda. – P. 20–22; Устойчивость банковской системы и развитие банковской политики: монография / под ред. О.И. Лаврушина. – М.: КНОРУС, 2014. – С. 184.</w:t>
      </w:r>
    </w:p>
  </w:footnote>
  <w:footnote w:id="36">
    <w:p>
      <w:pPr>
        <w:pStyle w:val="FootnoteText"/>
      </w:pPr>
      <w:r>
        <w:rPr>
          <w:rStyle w:val="FootnoteReference"/>
        </w:rPr>
        <w:footnoteRef/>
      </w:r>
      <w:r>
        <w:t xml:space="preserve"> </w:t>
      </w:r>
      <w:r>
        <w:t xml:space="preserve">Muallif tomonidan quyidagi manba asosida tuzilgan: Tian W. Regulatory Capital Requirement in Basel III. – P. 20–22.</w:t>
      </w:r>
    </w:p>
  </w:footnote>
  <w:footnote w:id="37">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70.</w:t>
      </w:r>
    </w:p>
  </w:footnote>
  <w:footnote w:id="38">
    <w:p>
      <w:pPr>
        <w:pStyle w:val="FootnoteText"/>
      </w:pPr>
      <w:r>
        <w:rPr>
          <w:rStyle w:val="FootnoteReference"/>
        </w:rPr>
        <w:footnoteRef/>
      </w:r>
      <w:r>
        <w:t xml:space="preserve"> </w:t>
      </w:r>
      <w:r>
        <w:t xml:space="preserve">Muallif tomonidan quyidagi manbalar asosida tuzilgan: Basel Committee on Banking Supervision. Guidance for national authorities operating the countercyclical capital buffer. – Basel: BIS, 2010; Регулирование банковской сферы / под ред. О.Н. Афанасьевой, С.Е. Дубовой. – С. 68–70.</w:t>
      </w:r>
    </w:p>
  </w:footnote>
  <w:footnote w:id="39">
    <w:p>
      <w:pPr>
        <w:pStyle w:val="FootnoteText"/>
      </w:pPr>
      <w:r>
        <w:rPr>
          <w:rStyle w:val="FootnoteReference"/>
        </w:rPr>
        <w:footnoteRef/>
      </w:r>
      <w:r>
        <w:t xml:space="preserve"> </w:t>
      </w:r>
      <w:r>
        <w:t xml:space="preserve">Устойчивость банковской системы и развитие банковской политики. – С. 184.</w:t>
      </w:r>
    </w:p>
  </w:footnote>
  <w:footnote w:id="40">
    <w:p>
      <w:pPr>
        <w:pStyle w:val="FootnoteText"/>
      </w:pPr>
      <w:r>
        <w:rPr>
          <w:rStyle w:val="FootnoteReference"/>
        </w:rPr>
        <w:footnoteRef/>
      </w:r>
      <w:r>
        <w:t xml:space="preserve"> </w:t>
      </w:r>
      <w:r>
        <w:t xml:space="preserve">Tian W. Regulatory Capital Requirement in Basel III. – P. 15.</w:t>
      </w:r>
    </w:p>
  </w:footnote>
  <w:footnote w:id="41">
    <w:p>
      <w:pPr>
        <w:pStyle w:val="FootnoteText"/>
      </w:pPr>
      <w:r>
        <w:rPr>
          <w:rStyle w:val="FootnoteReference"/>
        </w:rPr>
        <w:footnoteRef/>
      </w:r>
      <w:r>
        <w:t xml:space="preserve"> </w:t>
      </w:r>
      <w:r>
        <w:t xml:space="preserve">Tarullo D.K. Banking on Basel… – P. 229.</w:t>
      </w:r>
    </w:p>
  </w:footnote>
  <w:footnote w:id="42">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w:t>
      </w:r>
    </w:p>
  </w:footnote>
  <w:footnote w:id="43">
    <w:p>
      <w:pPr>
        <w:pStyle w:val="FootnoteText"/>
      </w:pPr>
      <w:r>
        <w:rPr>
          <w:rStyle w:val="FootnoteReference"/>
        </w:rPr>
        <w:footnoteRef/>
      </w:r>
      <w:r>
        <w:t xml:space="preserve"> </w:t>
      </w:r>
      <w:r>
        <w:t xml:space="preserve">O‘sha joyda. – С. 93–94.</w:t>
      </w:r>
    </w:p>
  </w:footnote>
  <w:footnote w:id="44">
    <w:p>
      <w:pPr>
        <w:pStyle w:val="FootnoteText"/>
      </w:pPr>
      <w:r>
        <w:rPr>
          <w:rStyle w:val="FootnoteReference"/>
        </w:rPr>
        <w:footnoteRef/>
      </w:r>
      <w:r>
        <w:t xml:space="preserve"> </w:t>
      </w:r>
      <w:r>
        <w:t xml:space="preserve">Tian W. Regulatory Capital Requirement in Basel III. – P. 24–28.</w:t>
      </w:r>
    </w:p>
  </w:footnote>
  <w:footnote w:id="45">
    <w:p>
      <w:pPr>
        <w:pStyle w:val="FootnoteText"/>
      </w:pPr>
      <w:r>
        <w:rPr>
          <w:rStyle w:val="FootnoteReference"/>
        </w:rPr>
        <w:footnoteRef/>
      </w:r>
      <w:r>
        <w:t xml:space="preserve"> </w:t>
      </w:r>
      <w:r>
        <w:t xml:space="preserve">Karaliyev T.M., Sayfiddinov I.F. Tijorat banklari faoliyatini tartibga solish va nazorati: darslik. – T.: Iqtisod-Moliya, 2019. – B. 3–4.</w:t>
      </w:r>
    </w:p>
  </w:footnote>
  <w:footnote w:id="46">
    <w:p>
      <w:pPr>
        <w:pStyle w:val="FootnoteText"/>
      </w:pPr>
      <w:r>
        <w:rPr>
          <w:rStyle w:val="FootnoteReference"/>
        </w:rPr>
        <w:footnoteRef/>
      </w:r>
      <w:r>
        <w:t xml:space="preserve"> </w:t>
      </w:r>
      <w:r>
        <w:t xml:space="preserve">O‘sha joyda. – B. 185–186.</w:t>
      </w:r>
    </w:p>
  </w:footnote>
  <w:footnote w:id="47">
    <w:p>
      <w:pPr>
        <w:pStyle w:val="FootnoteText"/>
      </w:pPr>
      <w:r>
        <w:rPr>
          <w:rStyle w:val="FootnoteReference"/>
        </w:rPr>
        <w:footnoteRef/>
      </w:r>
      <w:r>
        <w:t xml:space="preserve"> </w:t>
      </w:r>
      <w:r>
        <w:t xml:space="preserve">O‘sha joyda. – B. 178.</w:t>
      </w:r>
    </w:p>
  </w:footnote>
  <w:footnote w:id="48">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 – Б. 25.</w:t>
      </w:r>
    </w:p>
  </w:footnote>
  <w:footnote w:id="49">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(Базель III)… – С. 59–60.</w:t>
      </w:r>
    </w:p>
  </w:footnote>
  <w:footnote w:id="51">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52">
    <w:p>
      <w:pPr>
        <w:pStyle w:val="FootnoteText"/>
      </w:pPr>
      <w:r>
        <w:rPr>
          <w:rStyle w:val="FootnoteReference"/>
        </w:rPr>
        <w:footnoteRef/>
      </w:r>
      <w:r>
        <w:t xml:space="preserve"> </w:t>
      </w:r>
      <w:r>
        <w:t xml:space="preserve">O‘sha joyda. – С. 104.</w:t>
      </w:r>
    </w:p>
  </w:footnote>
  <w:footnote w:id="53">
    <w:p>
      <w:pPr>
        <w:pStyle w:val="FootnoteText"/>
      </w:pPr>
      <w:r>
        <w:rPr>
          <w:rStyle w:val="FootnoteReference"/>
        </w:rPr>
        <w:footnoteRef/>
      </w:r>
      <w:r>
        <w:t xml:space="preserve"> </w:t>
      </w:r>
      <w:r>
        <w:t xml:space="preserve">Muallif tomonidan quyidagi manbalar asosida tuzilgan: IFRS 9 Financial Instruments. – London: IASB, 2014; Соколинская Н.Э. Ko‘rsatilgan asar. – С. 94–95, 104.</w:t>
      </w:r>
    </w:p>
  </w:footnote>
  <w:footnote w:id="54">
    <w:p>
      <w:pPr>
        <w:pStyle w:val="FootnoteText"/>
      </w:pPr>
      <w:r>
        <w:rPr>
          <w:rStyle w:val="FootnoteReference"/>
        </w:rPr>
        <w:footnoteRef/>
      </w:r>
      <w:r>
        <w:t xml:space="preserve"> </w:t>
      </w:r>
      <w:r>
        <w:t xml:space="preserve">Соколинская Н.Э. Ko‘rsatilgan asar. – С. 108.</w:t>
      </w:r>
    </w:p>
  </w:footnote>
  <w:footnote w:id="55">
    <w:p>
      <w:pPr>
        <w:pStyle w:val="FootnoteText"/>
      </w:pPr>
      <w:r>
        <w:rPr>
          <w:rStyle w:val="FootnoteReference"/>
        </w:rPr>
        <w:footnoteRef/>
      </w:r>
      <w:r>
        <w:t xml:space="preserve"> </w:t>
      </w:r>
      <w:r>
        <w:t xml:space="preserve">O‘sha joyda. – С. 85–87.</w:t>
      </w:r>
    </w:p>
  </w:footnote>
  <w:footnote w:id="56">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(Базель III)… – С. 54–55.</w:t>
      </w:r>
    </w:p>
  </w:footnote>
  <w:footnote w:id="58">
    <w:p>
      <w:pPr>
        <w:pStyle w:val="FootnoteText"/>
      </w:pPr>
      <w:r>
        <w:rPr>
          <w:rStyle w:val="FootnoteReference"/>
        </w:rPr>
        <w:footnoteRef/>
      </w:r>
      <w:r>
        <w:t xml:space="preserve"> </w:t>
      </w:r>
      <w:r>
        <w:t xml:space="preserve">Tarullo D.K. Banking on Basel… – P. 29–31.</w:t>
      </w:r>
    </w:p>
  </w:footnote>
  <w:footnote w:id="59">
    <w:p>
      <w:pPr>
        <w:pStyle w:val="FootnoteText"/>
      </w:pPr>
      <w:r>
        <w:rPr>
          <w:rStyle w:val="FootnoteReference"/>
        </w:rPr>
        <w:footnoteRef/>
      </w:r>
      <w:r>
        <w:t xml:space="preserve"> </w:t>
      </w:r>
      <w:r>
        <w:t xml:space="preserve">Karaliyev T.M., Sayfiddinov I.F. Ko‘rsatilgan asar. – B. 195–196.</w:t>
      </w:r>
    </w:p>
  </w:footnote>
  <w:footnote w:id="60">
    <w:p>
      <w:pPr>
        <w:pStyle w:val="FootnoteText"/>
      </w:pPr>
      <w:r>
        <w:rPr>
          <w:rStyle w:val="FootnoteReference"/>
        </w:rPr>
        <w:footnoteRef/>
      </w:r>
      <w:r>
        <w:t xml:space="preserve"> </w:t>
      </w:r>
      <w:r>
        <w:t xml:space="preserve">Muallif tomonidan quyidagi manba asosida tuzilgan: Оценка финансовой устойчивости кредитной организации: учебник / под ред. О.И. Лаврушина, И.Д. Мамоновой. – М.: КНОРУС, 2011. – С. 80–92.</w:t>
      </w:r>
    </w:p>
  </w:footnote>
  <w:footnote w:id="61">
    <w:p>
      <w:pPr>
        <w:pStyle w:val="FootnoteText"/>
      </w:pPr>
      <w:r>
        <w:rPr>
          <w:rStyle w:val="FootnoteReference"/>
        </w:rPr>
        <w:footnoteRef/>
      </w:r>
      <w:r>
        <w:t xml:space="preserve"> </w:t>
      </w:r>
      <w:r>
        <w:t xml:space="preserve">O‘sha joyda. – С. 81–82.</w:t>
      </w:r>
    </w:p>
  </w:footnote>
  <w:footnote w:id="62">
    <w:p>
      <w:pPr>
        <w:pStyle w:val="FootnoteText"/>
      </w:pPr>
      <w:r>
        <w:rPr>
          <w:rStyle w:val="FootnoteReference"/>
        </w:rPr>
        <w:footnoteRef/>
      </w:r>
      <w:r>
        <w:t xml:space="preserve"> </w:t>
      </w:r>
      <w:r>
        <w:t xml:space="preserve">O‘sha joyda. – С. 85–90.</w:t>
      </w:r>
    </w:p>
  </w:footnote>
  <w:footnote w:id="63">
    <w:p>
      <w:pPr>
        <w:pStyle w:val="FootnoteText"/>
      </w:pPr>
      <w:r>
        <w:rPr>
          <w:rStyle w:val="FootnoteReference"/>
        </w:rPr>
        <w:footnoteRef/>
      </w:r>
      <w:r>
        <w:t xml:space="preserve"> </w:t>
      </w:r>
      <w:r>
        <w:t xml:space="preserve">Cargill T.F. The Financial System, Financial Regulation and Central Bank Policy. – Cambridge: Cambridge University Press, 2017. – P. 194–195.</w:t>
      </w:r>
    </w:p>
  </w:footnote>
  <w:footnote w:id="64">
    <w:p>
      <w:pPr>
        <w:pStyle w:val="FootnoteText"/>
      </w:pPr>
      <w:r>
        <w:rPr>
          <w:rStyle w:val="FootnoteReference"/>
        </w:rPr>
        <w:footnoteRef/>
      </w:r>
      <w:r>
        <w:t xml:space="preserve"> </w:t>
      </w:r>
      <w:r>
        <w:t xml:space="preserve">Karaliyev T.M., Sayfiddinov I.F. Ko‘rsatilgan asar. – B. 208.</w:t>
      </w:r>
    </w:p>
  </w:footnote>
  <w:footnote w:id="65">
    <w:p>
      <w:pPr>
        <w:pStyle w:val="FootnoteText"/>
      </w:pPr>
      <w:r>
        <w:rPr>
          <w:rStyle w:val="FootnoteReference"/>
        </w:rPr>
        <w:footnoteRef/>
      </w:r>
      <w:r>
        <w:t xml:space="preserve"> </w:t>
      </w:r>
      <w:r>
        <w:t xml:space="preserve">O‘sha joyda. – B. 211.</w:t>
      </w:r>
    </w:p>
  </w:footnote>
  <w:footnote w:id="66">
    <w:p>
      <w:pPr>
        <w:pStyle w:val="FootnoteText"/>
      </w:pPr>
      <w:r>
        <w:rPr>
          <w:rStyle w:val="FootnoteReference"/>
        </w:rPr>
        <w:footnoteRef/>
      </w:r>
      <w:r>
        <w:t xml:space="preserve"> </w:t>
      </w:r>
      <w:r>
        <w:t xml:space="preserve">O‘sha joyda. – B. 213.</w:t>
      </w:r>
    </w:p>
  </w:footnote>
  <w:footnote w:id="68">
    <w:p>
      <w:pPr>
        <w:pStyle w:val="FootnoteText"/>
      </w:pPr>
      <w:r>
        <w:rPr>
          <w:rStyle w:val="FootnoteReference"/>
        </w:rPr>
        <w:footnoteRef/>
      </w:r>
      <w:r>
        <w:t xml:space="preserve"> </w:t>
      </w:r>
      <w:r>
        <w:t xml:space="preserve">Устойчивость банковской системы и развитие банковской политики. – С. 45.</w:t>
      </w:r>
    </w:p>
  </w:footnote>
  <w:footnote w:id="69">
    <w:p>
      <w:pPr>
        <w:pStyle w:val="FootnoteText"/>
      </w:pPr>
      <w:r>
        <w:rPr>
          <w:rStyle w:val="FootnoteReference"/>
        </w:rPr>
        <w:footnoteRef/>
      </w:r>
      <w:r>
        <w:t xml:space="preserve"> </w:t>
      </w:r>
      <w:r>
        <w:t xml:space="preserve">Muallif tomonidan quyidagi manba asosida tuzilgan: Устойчивость банковской системы и развитие банковской политики. – С. 45 (2.1-jadval).</w:t>
      </w:r>
    </w:p>
  </w:footnote>
  <w:footnote w:id="70">
    <w:p>
      <w:pPr>
        <w:pStyle w:val="FootnoteText"/>
      </w:pPr>
      <w:r>
        <w:rPr>
          <w:rStyle w:val="FootnoteReference"/>
        </w:rPr>
        <w:footnoteRef/>
      </w:r>
      <w:r>
        <w:t xml:space="preserve"> </w:t>
      </w:r>
      <w:r>
        <w:t xml:space="preserve">Бердияров Б.Т. Ko‘rsatilgan asar. – Б. 18–19, 27.</w:t>
      </w:r>
    </w:p>
  </w:footnote>
  <w:footnote w:id="71">
    <w:p>
      <w:pPr>
        <w:pStyle w:val="FootnoteText"/>
      </w:pPr>
      <w:r>
        <w:rPr>
          <w:rStyle w:val="FootnoteReference"/>
        </w:rPr>
        <w:footnoteRef/>
      </w:r>
      <w:r>
        <w:t xml:space="preserve"> </w:t>
      </w:r>
      <w:r>
        <w:t xml:space="preserve">Регулирование банковской сферы / под ред. О.Н. Афанасьевой, С.Е. Дубовой. – С. 46–48.</w:t>
      </w:r>
    </w:p>
  </w:footnote>
  <w:footnote w:id="72">
    <w:p>
      <w:pPr>
        <w:pStyle w:val="FootnoteText"/>
      </w:pPr>
      <w:r>
        <w:rPr>
          <w:rStyle w:val="FootnoteReference"/>
        </w:rPr>
        <w:footnoteRef/>
      </w:r>
      <w:r>
        <w:t xml:space="preserve"> </w:t>
      </w:r>
      <w:r>
        <w:t xml:space="preserve">Cocozza R. Back to the Future: Prospective Bank Risk Management in a Financial Analysis Perspective // Bank Risk, Governance and Regulation / ed. by E. Beccalli, F. Poli. – Basingstoke: Palgrave Macmillan, 2015. – P. 111.</w:t>
      </w:r>
    </w:p>
  </w:footnote>
  <w:footnote w:id="73">
    <w:p>
      <w:pPr>
        <w:pStyle w:val="FootnoteText"/>
      </w:pPr>
      <w:r>
        <w:rPr>
          <w:rStyle w:val="FootnoteReference"/>
        </w:rPr>
        <w:footnoteRef/>
      </w:r>
      <w:r>
        <w:t xml:space="preserve"> </w:t>
      </w:r>
      <w:r>
        <w:t xml:space="preserve">O‘sha joyda. – P. 112–113.</w:t>
      </w:r>
    </w:p>
  </w:footnote>
  <w:footnote w:id="74">
    <w:p>
      <w:pPr>
        <w:pStyle w:val="FootnoteText"/>
      </w:pPr>
      <w:r>
        <w:rPr>
          <w:rStyle w:val="FootnoteReference"/>
        </w:rPr>
        <w:footnoteRef/>
      </w:r>
      <w:r>
        <w:t xml:space="preserve"> </w:t>
      </w:r>
      <w:r>
        <w:t xml:space="preserve">O‘sha joyda. – P. 114, 125.</w:t>
      </w:r>
    </w:p>
  </w:footnote>
  <w:footnote w:id="76">
    <w:p>
      <w:pPr>
        <w:pStyle w:val="FootnoteText"/>
      </w:pPr>
      <w:r>
        <w:rPr>
          <w:rStyle w:val="FootnoteReference"/>
        </w:rPr>
        <w:footnoteRef/>
      </w:r>
      <w:r>
        <w:t xml:space="preserve"> </w:t>
      </w:r>
      <w:r>
        <w:t xml:space="preserve">Оценка финансовой устойчивости кредитной организации / под ред. О.И. Лаврушина, И.Д. Мамоновой. – С. 92–106.</w:t>
      </w:r>
    </w:p>
  </w:footnote>
  <w:footnote w:id="77">
    <w:p>
      <w:pPr>
        <w:pStyle w:val="FootnoteText"/>
      </w:pPr>
      <w:r>
        <w:rPr>
          <w:rStyle w:val="FootnoteReference"/>
        </w:rPr>
        <w:footnoteRef/>
      </w:r>
      <w:r>
        <w:t xml:space="preserve"> </w:t>
      </w:r>
      <w:r>
        <w:t xml:space="preserve">Устойчивость банковской системы и развитие банковской политики. – С. 59.</w:t>
      </w:r>
    </w:p>
  </w:footnote>
  <w:footnote w:id="78">
    <w:p>
      <w:pPr>
        <w:pStyle w:val="FootnoteText"/>
      </w:pPr>
      <w:r>
        <w:rPr>
          <w:rStyle w:val="FootnoteReference"/>
        </w:rPr>
        <w:footnoteRef/>
      </w:r>
      <w:r>
        <w:t xml:space="preserve"> </w:t>
      </w:r>
      <w:r>
        <w:t xml:space="preserve">Keyinchalik 2017-yilda 4336-U-son ko‘rsatma bilan almashtirilgan.</w:t>
      </w:r>
    </w:p>
  </w:footnote>
  <w:footnote w:id="79">
    <w:p>
      <w:pPr>
        <w:pStyle w:val="FootnoteText"/>
      </w:pPr>
      <w:r>
        <w:rPr>
          <w:rStyle w:val="FootnoteReference"/>
        </w:rPr>
        <w:footnoteRef/>
      </w:r>
      <w:r>
        <w:t xml:space="preserve"> </w:t>
      </w:r>
      <w:r>
        <w:t xml:space="preserve">Оценка финансовой устойчивости кредитной организации / под ред. О.И. Лаврушина, И.Д. Мамоновой. – С. 68, 135.</w:t>
      </w:r>
    </w:p>
  </w:footnote>
  <w:footnote w:id="80">
    <w:p>
      <w:pPr>
        <w:pStyle w:val="FootnoteText"/>
      </w:pPr>
      <w:r>
        <w:rPr>
          <w:rStyle w:val="FootnoteReference"/>
        </w:rPr>
        <w:footnoteRef/>
      </w:r>
      <w:r>
        <w:t xml:space="preserve"> </w:t>
      </w:r>
      <w:r>
        <w:t xml:space="preserve">Устойчивость банковской системы и развитие банковской политики. – С. 48–49.</w:t>
      </w:r>
    </w:p>
  </w:footnote>
  <w:footnote w:id="81">
    <w:p>
      <w:pPr>
        <w:pStyle w:val="FootnoteText"/>
      </w:pPr>
      <w:r>
        <w:rPr>
          <w:rStyle w:val="FootnoteReference"/>
        </w:rPr>
        <w:footnoteRef/>
      </w:r>
      <w:r>
        <w:t xml:space="preserve"> </w:t>
      </w:r>
      <w:r>
        <w:t xml:space="preserve">Cargill T.F. Ko‘rsatilgan asar. – P. 193.</w:t>
      </w:r>
    </w:p>
  </w:footnote>
  <w:footnote w:id="82">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 – P. 293–294.</w:t>
      </w:r>
    </w:p>
  </w:footnote>
  <w:footnote w:id="83">
    <w:p>
      <w:pPr>
        <w:pStyle w:val="FootnoteText"/>
      </w:pPr>
      <w:r>
        <w:rPr>
          <w:rStyle w:val="FootnoteReference"/>
        </w:rPr>
        <w:footnoteRef/>
      </w:r>
      <w:r>
        <w:t xml:space="preserve"> </w:t>
      </w:r>
      <w:r>
        <w:t xml:space="preserve">Шаталова Е.П. Банковские рейтинги в системе риск-менеджмента: процедуры мониторинга кредитных рейтингов: учебное пособие. – 2020. – С. 43–46.</w:t>
      </w:r>
    </w:p>
  </w:footnote>
  <w:footnote w:id="84">
    <w:p>
      <w:pPr>
        <w:pStyle w:val="FootnoteText"/>
      </w:pPr>
      <w:r>
        <w:rPr>
          <w:rStyle w:val="FootnoteReference"/>
        </w:rPr>
        <w:footnoteRef/>
      </w:r>
      <w:r>
        <w:t xml:space="preserve"> </w:t>
      </w:r>
      <w:r>
        <w:t xml:space="preserve">Muallif tomonidan quyidagi manba asosida tuzilgan: S&amp;P Global Ratings. Default, Transition, and Recovery: 2024 Annual Global Corporate Default And Rating Transition Study. – March 27, 2025. – P. 55–56 (Table 24).</w:t>
      </w:r>
    </w:p>
  </w:footnote>
  <w:footnote w:id="85">
    <w:p>
      <w:pPr>
        <w:pStyle w:val="FootnoteText"/>
      </w:pPr>
      <w:r>
        <w:rPr>
          <w:rStyle w:val="FootnoteReference"/>
        </w:rPr>
        <w:footnoteRef/>
      </w:r>
      <w:r>
        <w:t xml:space="preserve"> </w:t>
      </w:r>
      <w:r>
        <w:t xml:space="preserve">Langohr H., Langohr P. Ko‘rsatilgan asar. – P. 341.</w:t>
      </w:r>
    </w:p>
  </w:footnote>
  <w:footnote w:id="86">
    <w:p>
      <w:pPr>
        <w:pStyle w:val="FootnoteText"/>
      </w:pPr>
      <w:r>
        <w:rPr>
          <w:rStyle w:val="FootnoteReference"/>
        </w:rPr>
        <w:footnoteRef/>
      </w:r>
      <w:r>
        <w:t xml:space="preserve"> </w:t>
      </w:r>
      <w:r>
        <w:t xml:space="preserve">Cargill T.F. Ko‘rsatilgan asar. – P. 200–202.</w:t>
      </w:r>
    </w:p>
  </w:footnote>
  <w:footnote w:id="87">
    <w:p>
      <w:pPr>
        <w:pStyle w:val="FootnoteText"/>
      </w:pPr>
      <w:r>
        <w:rPr>
          <w:rStyle w:val="FootnoteReference"/>
        </w:rPr>
        <w:footnoteRef/>
      </w:r>
      <w:r>
        <w:t xml:space="preserve"> </w:t>
      </w:r>
      <w:r>
        <w:t xml:space="preserve">Карминский А.М. Ko‘rsatilgan asar. – С. 108.</w:t>
      </w:r>
    </w:p>
  </w:footnote>
  <w:footnote w:id="89">
    <w:p>
      <w:pPr>
        <w:pStyle w:val="FootnoteText"/>
      </w:pPr>
      <w:r>
        <w:rPr>
          <w:rStyle w:val="FootnoteReference"/>
        </w:rPr>
        <w:footnoteRef/>
      </w:r>
      <w:r>
        <w:t xml:space="preserve"> </w:t>
      </w:r>
      <w:r>
        <w:t xml:space="preserve">Muallif ishlanmasi.</w:t>
      </w:r>
    </w:p>
  </w:footnote>
  <w:footnote w:id="90">
    <w:p>
      <w:pPr>
        <w:pStyle w:val="FootnoteText"/>
      </w:pPr>
      <w:r>
        <w:rPr>
          <w:rStyle w:val="FootnoteReference"/>
        </w:rPr>
        <w:footnoteRef/>
      </w:r>
      <w:r>
        <w:t xml:space="preserve"> </w:t>
      </w:r>
      <w:r>
        <w:t xml:space="preserve">Muallif ishlanmasi.</w:t>
      </w:r>
    </w:p>
  </w:footnote>
  <w:footnote w:id="91">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85.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Sheet1!$E$2:$E$3</c:f>
              <c:numCache>
                <c:formatCode>General</c:formatCode>
                <c:ptCount val="2"/>
                <c:pt idx="1">
                  <c:v>2.5</c:v>
                </c:pt>
              </c:numCache>
            </c:numRef>
          </c:val>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Sheet1!$F$2:$F$3</c:f>
              <c:numCache>
                <c:formatCode>General</c:formatCode>
                <c:ptCount val="2"/>
                <c:pt idx="1">
                  <c:v>2.5</c:v>
                </c:pt>
              </c:numCache>
            </c:numRef>
          </c:val>
        </c:ser>
        <c:gapWidth val="90"/>
        <c:overlap val="100"/>
        <c:axId val="111"/>
        <c:axId val="222"/>
      </c:barChart>
      <c:catAx>
        <c:axId val="111"/>
        <c:scaling>
          <c:orientation val="minMax"/>
        </c:scaling>
        <c:delete val="0"/>
        <c:axPos val="b"/>
        <c:numFmt formatCode="General" sourceLinked="0"/>
        <c:majorTickMark val="none"/>
        <c:minorTickMark val="none"/>
        <c:tickLblPos val="nextTo"/>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7.0</c:v>
                </c:pt>
                <c:pt idx="8">
                  <c:v>7.0</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7.0</c:v>
                </c:pt>
              </c:numCache>
            </c:numRef>
          </c:xVal>
          <c:yVal>
            <c:numRef>
              <c:f>Sheet1!$D$2:$D$6</c:f>
              <c:numCache>
                <c:formatCode>General</c:formatCode>
                <c:ptCount val="5"/>
                <c:pt idx="0">
                  <c:v>100</c:v>
                </c:pt>
                <c:pt idx="1">
                  <c:v>80</c:v>
                </c:pt>
                <c:pt idx="2">
                  <c:v>60</c:v>
                </c:pt>
                <c:pt idx="3">
                  <c:v>40</c:v>
                </c:pt>
                <c:pt idx="4">
                  <c:v>0</c:v>
                </c:pt>
              </c:numCache>
            </c:numRef>
          </c:yVal>
          <c:smooth val="0"/>
        </c:ser>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Kontrsiklik bufer</c:v>
                </c:pt>
              </c:strCache>
            </c:strRef>
          </c:tx>
          <c:spPr>
            <a:ln w="34925">
              <a:solidFill>
                <a:srgbClr val="EB6834"/>
              </a:solidFill>
            </a:ln>
          </c:spPr>
          <c:marker>
            <c:symbol val="none"/>
          </c:marker>
          <c:xVal>
            <c:numRef>
              <c:f>Sheet1!$A$2:$A$5</c:f>
              <c:numCache>
                <c:formatCode>General</c:formatCode>
                <c:ptCount val="4"/>
                <c:pt idx="0">
                  <c:v>-4</c:v>
                </c:pt>
                <c:pt idx="1">
                  <c:v>2</c:v>
                </c:pt>
                <c:pt idx="2">
                  <c:v>10</c:v>
                </c:pt>
                <c:pt idx="3">
                  <c:v>14</c:v>
                </c:pt>
              </c:numCache>
            </c:numRef>
          </c:xVal>
          <c:yVal>
            <c:numRef>
              <c:f>Sheet1!$B$2:$B$5</c:f>
              <c:numCache>
                <c:formatCode>General</c:formatCode>
                <c:ptCount val="4"/>
                <c:pt idx="0">
                  <c:v>0</c:v>
                </c:pt>
                <c:pt idx="1">
                  <c:v>0</c:v>
                </c:pt>
                <c:pt idx="2">
                  <c:v>2.5</c:v>
                </c:pt>
                <c:pt idx="3">
                  <c:v>2.5</c:v>
                </c:pt>
              </c:numCache>
            </c:numRef>
          </c:yVal>
          <c:smooth val="0"/>
        </c:ser>
        <c:ser>
          <c:idx val="1"/>
          <c:order val="1"/>
          <c:tx>
            <c:strRef>
              <c:f>Sheet1!$D$1</c:f>
              <c:strCache>
                <c:ptCount val="1"/>
                <c:pt idx="0">
                  <c:v>Chegaraviy nuqtalar (L = 2; H = 10)</c:v>
                </c:pt>
              </c:strCache>
            </c:strRef>
          </c:tx>
          <c:spPr>
            <a:ln>
              <a:noFill/>
            </a:ln>
          </c:spPr>
          <c:marker>
            <c:symbol val="circle"/>
            <c:size val="7"/>
            <c:spPr>
              <a:solidFill>
                <a:srgbClr val="2A78D6"/>
              </a:solidFill>
              <a:ln>
                <a:noFill/>
              </a:ln>
            </c:spPr>
          </c:marker>
          <c:xVal>
            <c:numRef>
              <c:f>Sheet1!$C$2:$C$3</c:f>
              <c:numCache>
                <c:formatCode>General</c:formatCode>
                <c:ptCount val="2"/>
                <c:pt idx="0">
                  <c:v>2</c:v>
                </c:pt>
                <c:pt idx="1">
                  <c:v>10</c:v>
                </c:pt>
              </c:numCache>
            </c:numRef>
          </c:xVal>
          <c:yVal>
            <c:numRef>
              <c:f>Sheet1!$D$2:$D$3</c:f>
              <c:numCache>
                <c:formatCode>General</c:formatCode>
                <c:ptCount val="2"/>
                <c:pt idx="0">
                  <c:v>0</c:v>
                </c:pt>
                <c:pt idx="1">
                  <c:v>2.5</c:v>
                </c:pt>
              </c:numCache>
            </c:numRef>
          </c:yVal>
          <c:smooth val="0"/>
        </c:ser>
        <c:axId val="333"/>
        <c:axId val="444"/>
      </c:scatterChart>
      <c:valAx>
        <c:axId val="333"/>
        <c:scaling>
          <c:orientation val="minMax"/>
          <c:max val="14"/>
          <c:min val="-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Kredit gepi (kredit/YaIM nisbatining trenddan og‘ishi), foiz punkti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444"/>
        <c:crosses val="autoZero"/>
        <c:crossBetween val="midCat"/>
        <c:majorUnit val="2"/>
      </c:valAx>
      <c:valAx>
        <c:axId val="444"/>
        <c:scaling>
          <c:orientation val="minMax"/>
          <c:max val="3"/>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Kontrsiklik bufer, RWA ga nisbatan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5 yillik kumulyativ defolt darajasi, %</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trendline>
            <c:name>Eksponensial trend</c:name>
            <c:spPr>
              <a:ln w="22225">
                <a:solidFill>
                  <a:srgbClr val="EB6834"/>
                </a:solidFill>
                <a:prstDash val="dash"/>
              </a:ln>
            </c:spPr>
            <c:trendlineType val="exp"/>
            <c:dispRSqr val="0"/>
            <c:dispEq val="0"/>
          </c:trendline>
          <c:cat>
            <c:strRef>
              <c:f>Sheet1!$A$2:$A$8</c:f>
              <c:strCache>
                <c:ptCount val="7"/>
                <c:pt idx="0">
                  <c:v>AAA</c:v>
                </c:pt>
                <c:pt idx="1">
                  <c:v>AA</c:v>
                </c:pt>
                <c:pt idx="2">
                  <c:v>A</c:v>
                </c:pt>
                <c:pt idx="3">
                  <c:v>BBB</c:v>
                </c:pt>
                <c:pt idx="4">
                  <c:v>BB</c:v>
                </c:pt>
                <c:pt idx="5">
                  <c:v>B</c:v>
                </c:pt>
                <c:pt idx="6">
                  <c:v>CCC/C</c:v>
                </c:pt>
              </c:strCache>
            </c:strRef>
          </c:cat>
          <c:val>
            <c:numRef>
              <c:f>Sheet1!$B$2:$B$8</c:f>
              <c:numCache>
                <c:formatCode>General</c:formatCode>
                <c:ptCount val="7"/>
                <c:pt idx="0">
                  <c:v>0.34</c:v>
                </c:pt>
                <c:pt idx="1">
                  <c:v>0.28</c:v>
                </c:pt>
                <c:pt idx="2">
                  <c:v>0.39</c:v>
                </c:pt>
                <c:pt idx="3">
                  <c:v>1.36</c:v>
                </c:pt>
                <c:pt idx="4">
                  <c:v>5.75</c:v>
                </c:pt>
                <c:pt idx="5">
                  <c:v>15.6</c:v>
                </c:pt>
                <c:pt idx="6">
                  <c:v>46.53</c:v>
                </c:pt>
              </c:numCache>
            </c:numRef>
          </c:val>
        </c:ser>
        <c:gapWidth val="60"/>
        <c:axId val="111"/>
        <c:axId val="222"/>
      </c:barChart>
      <c:catAx>
        <c:axId val="111"/>
        <c:scaling>
          <c:orientation val="minMax"/>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S&amp;P reyting toifasi</a:t>
                </a:r>
              </a:p>
            </c:rich>
          </c:tx>
          <c:overlay val="0"/>
        </c:title>
        <c:numFmt formatCode="General" sourceLinked="0"/>
        <c:majorTickMark val="none"/>
        <c:minorTickMark val="none"/>
        <c:tickLblPos val="nextTo"/>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5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Defolt darajasi,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midCat"/>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2026-10-09T19:11:21Z</dcterms:created>
  <dcterms:modified xsi:type="dcterms:W3CDTF">2026-10-09T19:11:21Z</dcterms:modified>
</cp:coreProperties>
</file>

<file path=docProps/custom.xml><?xml version="1.0" encoding="utf-8"?>
<Properties xmlns="http://schemas.openxmlformats.org/officeDocument/2006/custom-properties" xmlns:vt="http://schemas.openxmlformats.org/officeDocument/2006/docPropsVTypes"/>
</file>