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edf75e61584998612e27357f6db1c0de4e5c383"/>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3.2-§. Tijorat banklari moliyaviy barqarorligini integral indeks asosida reyting baholash</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paragrafda taklif etilgan moliyaviy barqarorlikning integral indeksi (MBII) metodikasining amaliy ahamiyati uni bir nechta bankka bir xil qoidalar bo‘yicha qo‘llab, natijalarni solishtirish orqali namoyon bo‘ladi. Reyting baholash bank faoliyatini tahlil qilishning keng tarqalgan shakli bo‘lib, A.M. Karminskiy ta’kidlaganidek, uning asosiy vazifasi turli banklarning moliyaviy holatini yagona shkalada taqqoslash va ularni risk darajasi bo‘yicha guruhlarga ajratishdan iborat</w:t>
      </w:r>
      <w:r>
        <w:rPr>
          <w:rStyle w:val="FootnoteReference"/>
        </w:rPr>
        <w:footnoteReference w:id="20"/>
      </w:r>
      <w:r>
        <w:rPr>
          <w:rFonts w:ascii="Times New Roman" w:hAnsi="Times New Roman" w:cs="Times New Roman" w:eastAsia="Times New Roman"/>
          <w:sz w:val="28"/>
        </w:rPr>
        <w:t xml:space="preserve">. Biroq O‘zbekistonda banklar reytingini e’lon qiluvchi tashkilotlar asosan banklarning hajm ko‘rsatkichlari va milliy hisobot ma’lumotlariga tayanadi, xalqaro reyting agentliklari esa davlat banklarini davlatning qo‘llab-quvvatlash ehtimolini hisobga olgan holda baholaydi, natijada bankning o‘z moliyaviy barqarorligi alohida ko‘rinmaydi</w:t>
      </w:r>
      <w:r>
        <w:rPr>
          <w:rStyle w:val="FootnoteReference"/>
        </w:rPr>
        <w:footnoteReference w:id="21"/>
      </w:r>
      <w:r>
        <w:rPr>
          <w:rStyle w:val="FootnoteReference"/>
        </w:rPr>
        <w:footnoteReference w:id="22"/>
      </w:r>
      <w:r>
        <w:rPr>
          <w:rFonts w:ascii="Times New Roman" w:hAnsi="Times New Roman" w:cs="Times New Roman" w:eastAsia="Times New Roman"/>
          <w:sz w:val="28"/>
        </w:rPr>
        <w:t xml:space="preserve">. Shu sababli ushbu paragrafda integral indeks ochiq ma’lumotlar, ya’ni banklarning auditdan o‘tgan MHXS bo‘yicha moliyaviy hisobotlari asosida hisoblanib, banklar reytingi tuziladi, milliy va MHXS hisobotlari bo‘yicha indekslar o‘rtasidagi farq hamda davlat ko‘magining baholashga ta’siri aniqlanadi.</w:t>
      </w:r>
    </w:p>
    <w:p>
      <w:pPr>
        <w:pStyle w:val="BodyText"/>
        <w:spacing w:line="360" w:lineRule="auto" w:before="0" w:after="0"/>
        <w:ind w:firstLine="709"/>
        <w:jc w:val="both"/>
      </w:pPr>
      <w:r>
        <w:rPr>
          <w:rFonts w:ascii="Times New Roman" w:hAnsi="Times New Roman" w:cs="Times New Roman" w:eastAsia="Times New Roman"/>
          <w:sz w:val="28"/>
        </w:rPr>
        <w:t xml:space="preserve">Tahlil uchun bank tizimining katta qismini tashkil etuvchi va ochiq e’lon qilingan MHXS hisobotlarida barcha zarur ma’lumotlar mavjud bo‘lgan beshta bank tanlandi: «O‘zsanoatqurilishbank» ATB, «Mikrokreditbank» ATB, «Biznesni rivojlantirish banki» ATB, «Xalq banki» ATB va «Ipoteka-bank» ATB. Ularning 2025-yil yakunidagi jami aktivlari 272,1 trln so‘mni, ya’ni bank tizimi aktivlarining 29,4 foizini tashkil etadi</w:t>
      </w:r>
      <w:r>
        <w:rPr>
          <w:rStyle w:val="FootnoteReference"/>
        </w:rPr>
        <w:footnoteReference w:id="23"/>
      </w:r>
      <w:r>
        <w:rPr>
          <w:rFonts w:ascii="Times New Roman" w:hAnsi="Times New Roman" w:cs="Times New Roman" w:eastAsia="Times New Roman"/>
          <w:sz w:val="28"/>
        </w:rPr>
        <w:t xml:space="preserve">. Har bir yil ko‘rsatkichlari keyingi yil hisobotidagi qayta hisoblangan qiyosiy ma’lumotlardan olindi: 2024 va 2025-yillar uchun 2025-yil hisobotidan, 2023-yil uchun 2024-yil hisobotidan va hokazo</w:t>
      </w:r>
      <w:r>
        <w:rPr>
          <w:rStyle w:val="FootnoteReference"/>
        </w:rPr>
        <w:footnoteReference w:id="24"/>
      </w:r>
      <w:r>
        <w:rPr>
          <w:rStyle w:val="FootnoteReference"/>
        </w:rPr>
        <w:footnoteReference w:id="25"/>
      </w:r>
      <w:r>
        <w:rPr>
          <w:rStyle w:val="FootnoteReference"/>
        </w:rPr>
        <w:footnoteReference w:id="26"/>
      </w:r>
      <w:r>
        <w:rPr>
          <w:rStyle w:val="FootnoteReference"/>
        </w:rPr>
        <w:footnoteReference w:id="27"/>
      </w:r>
      <w:r>
        <w:rPr>
          <w:rStyle w:val="FootnoteReference"/>
        </w:rPr>
        <w:footnoteReference w:id="28"/>
      </w:r>
      <w:r>
        <w:rPr>
          <w:rFonts w:ascii="Times New Roman" w:hAnsi="Times New Roman" w:cs="Times New Roman" w:eastAsia="Times New Roman"/>
          <w:sz w:val="28"/>
        </w:rPr>
        <w:t xml:space="preserve">. Bu yondashuv hisob siyosati o‘zgarishi va xatolarni tuzatish natijasidagi qayta hisoblashlarni hisobga olish imkonini beradi: masalan, «Xalq banki» ATB ning 2021-yil uchun xususiy kapitali keyingi yil hisobotida 4 565,1 mlrd so‘mdan 3 231,4 mlrd so‘mga, «Ipoteka-bank» ATB ning 2022-yil uchun sof foydasi esa 1 334,3 mlrd so‘mdan 947,1 mlrd so‘mga qayta hisoblangan</w:t>
      </w:r>
      <w:r>
        <w:rPr>
          <w:rStyle w:val="FootnoteReference"/>
        </w:rPr>
        <w:footnoteReference w:id="29"/>
      </w:r>
      <w:r>
        <w:rPr>
          <w:rStyle w:val="FootnoteReference"/>
        </w:rPr>
        <w:footnoteReference w:id="30"/>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Banklarning MHXS hisobotlarida 3.1-paragrafdagi 14 ta ko‘rsatkichning ayrimlari oshkor qilinmaydi. Xususan, likvidlikni qoplash koeffitsiyenti va sof barqaror moliyalashtirish me’yori tahlil qilingan hisobotlarning birortasida e’lon qilinmagan. Shu sababli ochiq ma’lumotlar asosidagi reyting uchun metodika quyidagicha moslashtirildi (3.2.1-jadval).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3.2.1-jadval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Integral indeksni ochiq ma’lumotlar asosida hisoblashda ko‘rsatkichlarning moslashtirilishi</w:t>
      </w:r>
      <w:r>
        <w:rPr>
          <w:rStyle w:val="FootnoteReference"/>
        </w:rPr>
        <w:footnoteReference w:id="31"/>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27"/>
        <w:gridCol w:w="3061"/>
        <w:gridCol w:w="2041"/>
        <w:gridCol w:w="2268"/>
      </w:tblGrid>
      <w:tr>
        <w:trPr>
          <w:tblHeader w:val="true"/>
          <w:cantSplit/>
          <w:tblHeader/>
        </w:trPr>
        <w:tc>
          <w:tcPr>
            <w:tcW w:type="dxa" w:w="192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 (3.1-§)</w:t>
            </w:r>
          </w:p>
        </w:tc>
        <w:tc>
          <w:tcPr>
            <w:tcW w:type="dxa" w:w="30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Ochiq ma’lumotlar varianti</w:t>
            </w:r>
          </w:p>
        </w:tc>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Manba</w:t>
            </w:r>
          </w:p>
        </w:tc>
        <w:tc>
          <w:tcPr>
            <w:tcW w:type="dxa" w:w="226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Asoslash</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K1. CET1 monandligi</w:t>
            </w:r>
          </w:p>
        </w:tc>
        <w:tc>
          <w:tcPr>
            <w:tcW w:type="dxa" w:w="3061"/>
          </w:tcPr>
          <w:p>
            <w:pPr>
              <w:pStyle w:val="Compact"/>
              <w:spacing w:line="240" w:lineRule="auto"/>
              <w:ind w:firstLine="0"/>
              <w:jc w:val="left"/>
            </w:pPr>
            <w:r>
              <w:rPr>
                <w:rFonts w:ascii="Times New Roman" w:hAnsi="Times New Roman" w:cs="Times New Roman" w:eastAsia="Times New Roman"/>
                <w:sz w:val="22"/>
              </w:rPr>
              <w:t xml:space="preserve">(MHXS bo‘yicha kapital − ozchilik ulushi − joriy yil foydasi) / risk bo‘yicha tortilgan aktivlar</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MHXS hisoboti: balans, kapitalni boshqarish izohi</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Joriy foyda milliy qoidada asosiy kapitalga kirmaydi</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K2. Regulyativ kapital monandligi</w:t>
            </w:r>
          </w:p>
        </w:tc>
        <w:tc>
          <w:tcPr>
            <w:tcW w:type="dxa" w:w="3061"/>
          </w:tcPr>
          <w:p>
            <w:pPr>
              <w:pStyle w:val="Compact"/>
              <w:spacing w:line="240" w:lineRule="auto"/>
              <w:ind w:firstLine="0"/>
              <w:jc w:val="left"/>
            </w:pPr>
            <w:r>
              <w:rPr>
                <w:rFonts w:ascii="Times New Roman" w:hAnsi="Times New Roman" w:cs="Times New Roman" w:eastAsia="Times New Roman"/>
                <w:sz w:val="22"/>
              </w:rPr>
              <w:t xml:space="preserve">Hisobotda oshkor qilingan qiymat (Markaziy bank metodikasi)</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Kapitalni boshqarish izohi</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MHXS asosidagi qiymat e’lon qilinmaydi</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K3. Leverage</w:t>
            </w:r>
          </w:p>
        </w:tc>
        <w:tc>
          <w:tcPr>
            <w:tcW w:type="dxa" w:w="3061"/>
          </w:tcPr>
          <w:p>
            <w:pPr>
              <w:pStyle w:val="Compact"/>
              <w:spacing w:line="240" w:lineRule="auto"/>
              <w:ind w:firstLine="0"/>
              <w:jc w:val="left"/>
            </w:pPr>
            <w:r>
              <w:rPr>
                <w:rFonts w:ascii="Times New Roman" w:hAnsi="Times New Roman" w:cs="Times New Roman" w:eastAsia="Times New Roman"/>
                <w:sz w:val="22"/>
              </w:rPr>
              <w:t xml:space="preserve">Xususiy kapital / jami aktivlar (MHXS)</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Balans</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Yaqinlashtirilgan ko‘rsatkich</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L1. LCR, L2. NSFR</w:t>
            </w:r>
          </w:p>
        </w:tc>
        <w:tc>
          <w:tcPr>
            <w:tcW w:type="dxa" w:w="3061"/>
          </w:tcPr>
          <w:p>
            <w:pPr>
              <w:pStyle w:val="Compact"/>
              <w:spacing w:line="240" w:lineRule="auto"/>
              <w:ind w:firstLine="0"/>
              <w:jc w:val="left"/>
            </w:pPr>
            <w:r>
              <w:rPr>
                <w:rFonts w:ascii="Times New Roman" w:hAnsi="Times New Roman" w:cs="Times New Roman" w:eastAsia="Times New Roman"/>
                <w:sz w:val="22"/>
              </w:rPr>
              <w:t xml:space="preserve">Yuqori likvid aktivlarning jami aktivlardagi ulushi (chegaralar: 5; 10; 15; 20%)</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Banklar ko‘rsatkichlari bazasi</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Markaziy bank talabi – kamida 10%, XVJ asosiy ko‘rsatkichi</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Qolgan 10 ta ko‘rsatkich</w:t>
            </w:r>
          </w:p>
        </w:tc>
        <w:tc>
          <w:tcPr>
            <w:tcW w:type="dxa" w:w="3061"/>
          </w:tcPr>
          <w:p>
            <w:pPr>
              <w:pStyle w:val="Compact"/>
              <w:spacing w:line="240" w:lineRule="auto"/>
              <w:ind w:firstLine="0"/>
              <w:jc w:val="left"/>
            </w:pPr>
            <w:r>
              <w:rPr>
                <w:rFonts w:ascii="Times New Roman" w:hAnsi="Times New Roman" w:cs="Times New Roman" w:eastAsia="Times New Roman"/>
                <w:sz w:val="22"/>
              </w:rPr>
              <w:t xml:space="preserve">O‘zgarishsiz, MHXS ma’lumotlari bo‘yicha</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Bosqichlar, zaxiralar, valyuta riski izohlari</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moslashtirish asosan kapital va likvidlik bloklariga tegishli bo‘lib, ular ochiq ma’lumotlarda mavjud bo‘lgan eng yaqin ko‘rsatkichlar bilan almashtirildi. Yuqori likvid aktivlarning jami aktivlardagi ulushi Xalqaro valyuta jamg‘armasining asosiy ko‘rsatkichlaridan biri bo‘lib</w:t>
      </w:r>
      <w:r>
        <w:rPr>
          <w:rStyle w:val="FootnoteReference"/>
        </w:rPr>
        <w:footnoteReference w:id="32"/>
      </w:r>
      <w:r>
        <w:rPr>
          <w:rFonts w:ascii="Times New Roman" w:hAnsi="Times New Roman" w:cs="Times New Roman" w:eastAsia="Times New Roman"/>
          <w:sz w:val="28"/>
        </w:rPr>
        <w:t xml:space="preserve">, Markaziy bank ham uning minimal darajasini 10 foiz qilib belgilagan</w:t>
      </w:r>
      <w:r>
        <w:rPr>
          <w:rStyle w:val="FootnoteReference"/>
        </w:rPr>
        <w:footnoteReference w:id="33"/>
      </w:r>
      <w:r>
        <w:rPr>
          <w:rFonts w:ascii="Times New Roman" w:hAnsi="Times New Roman" w:cs="Times New Roman" w:eastAsia="Times New Roman"/>
          <w:sz w:val="28"/>
        </w:rPr>
        <w:t xml:space="preserve">. Shuni ta’kidlash lozimki, bu moslashtirish natijasida «O‘zsanoatqurilishbank» ATB uchun 2025-yildagi indeks 3.1-paragrafdagi 2,94 o‘rniga 2,83 ni tashkil etadi, ya’ni farq 0,11 ballni tashkil etib, barqarorlik sinfini o‘zgartirmaydi. Yuqori likvid aktivlar ulushi esa «SNS» reyting agentligi tomonidan shakllantirilgan banklar ko‘rsatkichlari bazasidan olindi</w:t>
      </w:r>
      <w:r>
        <w:rPr>
          <w:rStyle w:val="FootnoteReference"/>
        </w:rPr>
        <w:footnoteReference w:id="34"/>
      </w:r>
      <w:r>
        <w:rPr>
          <w:rFonts w:ascii="Times New Roman" w:hAnsi="Times New Roman" w:cs="Times New Roman" w:eastAsia="Times New Roman"/>
          <w:sz w:val="28"/>
        </w:rPr>
        <w:t xml:space="preserve">. Ushbu baza Markaziy bank byulleteni bilan solishtirilganda 2023–2025-yillar uchun bank tizimi jami ko‘rsatkichlari bo‘yicha farq 1 foizdan oshmasligi aniqlandi, ayrim banklarning ayrim davrlardagi xato qiymatlari esa tahlildan chiqarildi.</w:t>
      </w:r>
    </w:p>
    <w:p>
      <w:pPr>
        <w:pStyle w:val="BodyText"/>
        <w:spacing w:line="360" w:lineRule="auto" w:before="0" w:after="0"/>
        <w:ind w:firstLine="709"/>
        <w:jc w:val="both"/>
      </w:pPr>
      <w:r>
        <w:rPr>
          <w:rFonts w:ascii="Times New Roman" w:hAnsi="Times New Roman" w:cs="Times New Roman" w:eastAsia="Times New Roman"/>
          <w:sz w:val="28"/>
        </w:rPr>
        <w:t xml:space="preserve">Hisob-kitob natijasida beshta bank bo‘yicha 2021–2025-yillar uchun integral indeks qiymatlari olindi (3.2.1-rasm).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1" name="3.2.1-rasm"/>
            <wp:cNvGraphicFramePr/>
            <a:graphic>
              <a:graphicData uri="http://schemas.openxmlformats.org/drawingml/2006/chart">
                <c:chart r:id="rId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3.2.1-rasm. Tanlangan banklarda moliyaviy barqarorlikning integral indeksi, MHXS hisobotlari asosida, 2021–2025-yillar</w:t>
      </w:r>
      <w:r>
        <w:rPr>
          <w:rStyle w:val="FootnoteReference"/>
        </w:rPr>
        <w:footnoteReference w:id="35"/>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besh yil davomida banklarning moliyaviy barqarorligi turlicha yo‘nalishda o‘zgargan. «Xalq banki» ATB ning indeksi 2021-yildagi 2,66 dan 2025-yilda 3,38 gacha izchil oshib, I sinfga, ya’ni barqaror banklar qatoriga chiqqan. Bunga aktivlar sifatining keskin yaxshilanishi sabab bo‘lgan: bankning MHXS 9 bo‘yicha 3-bosqich kreditlari ulushi 32,2 foizdan 5,2 foizgacha kamaygan, 2021-yildagi 1 918,2 mlrd so‘m zarar o‘rniga 2025-yilda 1 257,3 mlrd so‘m sof foyda olingan</w:t>
      </w:r>
      <w:r>
        <w:rPr>
          <w:rStyle w:val="FootnoteReference"/>
        </w:rPr>
        <w:footnoteReference w:id="36"/>
      </w:r>
      <w:r>
        <w:rPr>
          <w:rFonts w:ascii="Times New Roman" w:hAnsi="Times New Roman" w:cs="Times New Roman" w:eastAsia="Times New Roman"/>
          <w:sz w:val="28"/>
        </w:rPr>
        <w:t xml:space="preserve">. «Biznesni rivojlantirish banki» ATB ning indeksi esa 2023-yilda 2,03 gacha pasayib, tahlil qilingan banklar ichida eng past qiymatga tushgan, so‘ngra 2025-yilda 3,23 gacha tiklangan. 2023-yilda bankda 3-bosqich kreditlari ulushi 19,8 foizga yetgan, MHXS bo‘yicha xususiy kapitalning aktivlarga nisbati 5,5 foizgacha pasaygan, 2024-yilda esa bank 1 367,9 mlrd so‘m zarar ko‘rgan</w:t>
      </w:r>
      <w:r>
        <w:rPr>
          <w:rStyle w:val="FootnoteReference"/>
        </w:rPr>
        <w:footnoteReference w:id="37"/>
      </w:r>
      <w:r>
        <w:rPr>
          <w:rFonts w:ascii="Times New Roman" w:hAnsi="Times New Roman" w:cs="Times New Roman" w:eastAsia="Times New Roman"/>
          <w:sz w:val="28"/>
        </w:rPr>
        <w:t xml:space="preserve">. «Ipoteka-bank» ATB da indeks 2023-yilda 3,37 dan 2,69 gacha keskin pasaygan, bunga 1 615,6 mlrd so‘mlik zarar va 3-bosqich kreditlari ulushining 7,0 foizdan 18,7 foizgacha oshishi sabab bo‘lgan</w:t>
      </w:r>
      <w:r>
        <w:rPr>
          <w:rStyle w:val="FootnoteReference"/>
        </w:rPr>
        <w:footnoteReference w:id="38"/>
      </w:r>
      <w:r>
        <w:rPr>
          <w:rFonts w:ascii="Times New Roman" w:hAnsi="Times New Roman" w:cs="Times New Roman" w:eastAsia="Times New Roman"/>
          <w:sz w:val="28"/>
        </w:rPr>
        <w:t xml:space="preserve">. «O‘zsanoatqurilishbank» ATB ning indeksi butun davr mobaynida 2,75–2,93 oralig‘ida barqaror saqlangan, «Mikrokreditbank» ATB niki esa 2,20–2,47 oralig‘ida bo‘lib, besh yilning barchasida III sinfda, ya’ni zaif banklar qatorida qolgan.</w:t>
      </w:r>
    </w:p>
    <w:p>
      <w:pPr>
        <w:pStyle w:val="BodyText"/>
        <w:spacing w:line="360" w:lineRule="auto" w:before="0" w:after="0"/>
        <w:ind w:firstLine="709"/>
        <w:jc w:val="both"/>
      </w:pPr>
      <w:r>
        <w:rPr>
          <w:rFonts w:ascii="Times New Roman" w:hAnsi="Times New Roman" w:cs="Times New Roman" w:eastAsia="Times New Roman"/>
          <w:sz w:val="28"/>
        </w:rPr>
        <w:t xml:space="preserve">Indeks dinamikasidagi o‘zgarishlarning sabablarini aniqlash uchun 2025-yil yakunidagi ko‘rsatkichlar va ularning ballari solishtirildi (3.2.2-jadval).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3.2.2-jadval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Tanlangan banklarning integral indeks ko‘rsatkichlari va ballari, 2025-yil yakuni, MHXS</w:t>
      </w:r>
      <w:r>
        <w:rPr>
          <w:rStyle w:val="FootnoteReference"/>
        </w:rPr>
        <w:footnoteReference w:id="39"/>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494"/>
        <w:gridCol w:w="1360"/>
        <w:gridCol w:w="1360"/>
        <w:gridCol w:w="1360"/>
        <w:gridCol w:w="1360"/>
        <w:gridCol w:w="1360"/>
      </w:tblGrid>
      <w:tr>
        <w:trPr>
          <w:tblHeader w:val="true"/>
          <w:cantSplit/>
          <w:tblHeader/>
        </w:trPr>
        <w:tc>
          <w:tcPr>
            <w:tcW w:type="dxa" w:w="249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SQB</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MKB</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BRB</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Xalq banki</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Ipoteka-bank</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CET1 monandligi,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9,1 (3,45)</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18,3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9,5 (3,60)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16,3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15,0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Regulyativ kapital monandligi,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17,0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18,1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17,5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22,2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19,8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Kapital / aktivlar,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10,6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20,2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9,9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18,4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15,1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3-bosqich kreditlari,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7,5 (2,50)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12,3 (1,53)</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8,2 (2,37)</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5,2 (2,96)</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19,7 (1,00)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2-bosqich kreditlari,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35,7 (1,00)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25,3 (1,97)</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11,0 (3,80)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10,5 (3,89)</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8,4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Qoplanmagan muammoli kreditlar / kapital,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6,5 (3,35)</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29,1 (1,09)</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7,0 (3,30)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−5,8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17,2 (2,28)</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Yuqori likvid aktivlar ulushi,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18,3 (3,66)</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15,5 (3,09)</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18,0 (3,60)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10,0 (1,99)</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14,6 (2,91)</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Kreditlar / depozitlar,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221,0 (1,00)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324,5 (1,00)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242,2 (1,00)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417,2 (1,00)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228,9 (1,00)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1,7 (3,49)</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0,2 (1,22)</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1,5 (3,20)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2,6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3,9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ROE,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15,7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0,8 (1,16)</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16,3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14,7 (3,95)</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28,1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Xarajatlar / daromadlar,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41,5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87,6 (1,62)</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81,0 (1,95)</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43,7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47,5 (3,83)</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Xorijiy valyutadagi kreditlar,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61,2 (1,25)</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21,3 (3,91)</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12,1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16,4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Xorijiy valyutadagi majburiyatlar,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60,4 (1,64)</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22,4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24,4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15,3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24,8 (4,00)</w:t>
            </w:r>
          </w:p>
        </w:tc>
      </w:tr>
      <w:tr>
        <w:trPr>
          <w:cantSplit/>
        </w:trPr>
        <w:tc>
          <w:tcPr>
            <w:tcW w:type="dxa" w:w="2494"/>
          </w:tcPr>
          <w:p>
            <w:pPr>
              <w:pStyle w:val="Compact"/>
              <w:spacing w:line="240" w:lineRule="auto"/>
              <w:ind w:firstLine="0"/>
              <w:jc w:val="left"/>
            </w:pPr>
            <w:r>
              <w:rPr>
                <w:bCs/>
                <w:rFonts w:ascii="Times New Roman" w:hAnsi="Times New Roman" w:cs="Times New Roman" w:eastAsia="Times New Roman"/>
                <w:b/>
                <w:sz w:val="22"/>
              </w:rPr>
              <w:t xml:space="preserve">MBII</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2,83</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2,47</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3,23</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3,38</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3,11</w:t>
            </w:r>
          </w:p>
        </w:tc>
      </w:tr>
      <w:tr>
        <w:trPr>
          <w:cantSplit/>
        </w:trPr>
        <w:tc>
          <w:tcPr>
            <w:tcW w:type="dxa" w:w="2494"/>
          </w:tcPr>
          <w:p>
            <w:pPr>
              <w:pStyle w:val="Compact"/>
              <w:spacing w:line="240" w:lineRule="auto"/>
              <w:ind w:firstLine="0"/>
              <w:jc w:val="left"/>
            </w:pPr>
            <w:r>
              <w:rPr>
                <w:bCs/>
                <w:rFonts w:ascii="Times New Roman" w:hAnsi="Times New Roman" w:cs="Times New Roman" w:eastAsia="Times New Roman"/>
                <w:b/>
                <w:sz w:val="22"/>
              </w:rPr>
              <w:t xml:space="preserve">Sinf</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II</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III</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II</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I</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II</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qavs ichida – ball; «Mikrokreditbank» ATB hisobotida xorijiy valyutadagi kreditlar ulushi oshkor qilinmagan, shu sababli valyuta bloki bitta ko‘rsatkich bo‘yicha baholandi.</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beshta bankning barchasi kapital bloki bo‘yicha yuqori ball olgan, ya’ni rasmiy kapital ko‘rsatkichlari bo‘yicha ular deyarli farqlanmaydi. Banklar o‘rtasidagi asosiy farq aktivlar sifati, daromadlilik va valyuta riskiga sezgirlik bloklarida namoyon bo‘ladi. «Ipoteka-bank» ATB eng yuqori daromadlilikka ega bo‘lishiga qaramay, 3-bosqich kreditlari ulushi 19,7 foiz bilan aktivlar sifati bo‘yicha eng zaif bank hisoblanadi. «O‘zsanoatqurilishbank» ATB esa kredit riski sezilarli oshgan 2-bosqich kreditlari ulushi bo‘yicha (35,7 foiz) va valyuta riski bo‘yicha eng past ballni olgan. «Mikrokreditbank» ATB esa aktivlar sifati va daromadlilik bloklarida eng past ballga ega. Barcha banklar uchun umumiy zaiflik – kreditlarning depozitlarga nisbatining yuqoriligi: beshta bankning barchasida bu ko‘rsatkich 200 foizdan oshadi, «Xalq banki» ATB da esa 417,2 foizni tashkil etadi, chunki bank pensiya jamg‘armasi mablag‘lari va boshqa davlat resurslarini jalb qiladi. Bloklar ballari bo‘yicha banklarning risk profili 3.2.2-rasmda keltirilgan.</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2" name="3.2.2-rasm"/>
            <wp:cNvGraphicFramePr/>
            <a:graphic>
              <a:graphicData uri="http://schemas.openxmlformats.org/drawingml/2006/chart">
                <c:chart r:id="rId1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3.2.2-rasm. Tanlangan banklarda integral indeks bloklari ballari, 2025-yil</w:t>
      </w:r>
      <w:r>
        <w:rPr>
          <w:rStyle w:val="FootnoteReference"/>
        </w:rPr>
        <w:footnoteReference w:id="40"/>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integral indeksning bir xil qiymati turli risk profillari ortida yashirinishi mumkin. Masalan, «Biznesni rivojlantirish banki» ATB va «Ipoteka-bank» ATB ning indekslari bir-biriga yaqin (3,23 va 3,11), biroq birinchisida asosiy zaiflik likvidlik va xarajatlar samaradorligida, ikkinchisida esa aktivlar sifatida. Shu sababli muallif fikricha, integral indeks bilan bir qatorda bloklar ballarini ham e’lon qilish va eng past blok balli 1,75 dan past bo‘lgan bank uchun indeks qanchalik yuqori bo‘lmasin, alohida monitoring belgilash maqsadga muvofiq. 2025-yilda bu qoida «Mikrokreditbank» ATB ga (aktivlar sifati va daromadlilik bloklari), «O‘zsanoatqurilishbank» ATB ga (valyuta riskiga sezgirlik) va «Xalq banki» ATB ga (likvidlik) taalluqli bo‘ladi, ya’ni hatto I sinfdagi bank ham alohida yo‘nalish bo‘yicha monitoringni talab qiladi.</w:t>
      </w:r>
    </w:p>
    <w:p>
      <w:pPr>
        <w:pStyle w:val="BodyText"/>
        <w:spacing w:line="360" w:lineRule="auto" w:before="0" w:after="0"/>
        <w:ind w:firstLine="709"/>
        <w:jc w:val="both"/>
      </w:pPr>
      <w:r>
        <w:rPr>
          <w:rFonts w:ascii="Times New Roman" w:hAnsi="Times New Roman" w:cs="Times New Roman" w:eastAsia="Times New Roman"/>
          <w:sz w:val="28"/>
        </w:rPr>
        <w:t xml:space="preserve">Besh yil bo‘yicha indeks qiymatlari asosida banklar reytingi tuzildi (3.2.3-jadval).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3.2.3-jadval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Tanlangan banklarning moliyaviy barqarorlik reytingi, MHXS asosida, 2021–2025-yillar</w:t>
      </w:r>
      <w:r>
        <w:rPr>
          <w:rStyle w:val="FootnoteReference"/>
        </w:rPr>
        <w:footnoteReference w:id="41"/>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211"/>
        <w:gridCol w:w="1417"/>
        <w:gridCol w:w="1417"/>
        <w:gridCol w:w="1417"/>
        <w:gridCol w:w="1417"/>
        <w:gridCol w:w="1417"/>
      </w:tblGrid>
      <w:tr>
        <w:trPr>
          <w:tblHeader w:val="true"/>
          <w:cantSplit/>
          <w:tblHeader/>
        </w:trPr>
        <w:tc>
          <w:tcPr>
            <w:tcW w:type="dxa" w:w="221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Bank</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2021</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2022</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2023</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2024</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2025</w:t>
            </w:r>
          </w:p>
        </w:tc>
      </w:tr>
      <w:tr>
        <w:trPr>
          <w:cantSplit/>
        </w:trPr>
        <w:tc>
          <w:tcPr>
            <w:tcW w:type="dxa" w:w="2211"/>
          </w:tcPr>
          <w:p>
            <w:pPr>
              <w:pStyle w:val="Compact"/>
              <w:spacing w:line="240" w:lineRule="auto"/>
              <w:ind w:firstLine="0"/>
              <w:jc w:val="left"/>
            </w:pPr>
            <w:r>
              <w:rPr>
                <w:rFonts w:ascii="Times New Roman" w:hAnsi="Times New Roman" w:cs="Times New Roman" w:eastAsia="Times New Roman"/>
                <w:sz w:val="22"/>
              </w:rPr>
              <w:t xml:space="preserve">Xalq banki</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2,66 (II) – 3</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2,71 (II) – 3</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2,96 (II) – 1</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3,20 (II) – 1</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3,38 (I) – 1</w:t>
            </w:r>
          </w:p>
        </w:tc>
      </w:tr>
      <w:tr>
        <w:trPr>
          <w:cantSplit/>
        </w:trPr>
        <w:tc>
          <w:tcPr>
            <w:tcW w:type="dxa" w:w="2211"/>
          </w:tcPr>
          <w:p>
            <w:pPr>
              <w:pStyle w:val="Compact"/>
              <w:spacing w:line="240" w:lineRule="auto"/>
              <w:ind w:firstLine="0"/>
              <w:jc w:val="left"/>
            </w:pPr>
            <w:r>
              <w:rPr>
                <w:rFonts w:ascii="Times New Roman" w:hAnsi="Times New Roman" w:cs="Times New Roman" w:eastAsia="Times New Roman"/>
                <w:sz w:val="22"/>
              </w:rPr>
              <w:t xml:space="preserve">Biznesni rivojlantirish banki</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2,51 (II) – 4</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2,25 (III) – 5</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2,03 (III) – 5</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2,58 (II) – 4</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3,23 (II) – 2</w:t>
            </w:r>
          </w:p>
        </w:tc>
      </w:tr>
      <w:tr>
        <w:trPr>
          <w:cantSplit/>
        </w:trPr>
        <w:tc>
          <w:tcPr>
            <w:tcW w:type="dxa" w:w="2211"/>
          </w:tcPr>
          <w:p>
            <w:pPr>
              <w:pStyle w:val="Compact"/>
              <w:spacing w:line="240" w:lineRule="auto"/>
              <w:ind w:firstLine="0"/>
              <w:jc w:val="left"/>
            </w:pPr>
            <w:r>
              <w:rPr>
                <w:rFonts w:ascii="Times New Roman" w:hAnsi="Times New Roman" w:cs="Times New Roman" w:eastAsia="Times New Roman"/>
                <w:sz w:val="22"/>
              </w:rPr>
              <w:t xml:space="preserve">Ipoteka-bank</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3,32 (I) – 1</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3,37 (I) – 1</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2,69 (II) – 3</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3,13 (II) – 2</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3,11 (II) – 3</w:t>
            </w:r>
          </w:p>
        </w:tc>
      </w:tr>
      <w:tr>
        <w:trPr>
          <w:cantSplit/>
        </w:trPr>
        <w:tc>
          <w:tcPr>
            <w:tcW w:type="dxa" w:w="2211"/>
          </w:tcPr>
          <w:p>
            <w:pPr>
              <w:pStyle w:val="Compact"/>
              <w:spacing w:line="240" w:lineRule="auto"/>
              <w:ind w:firstLine="0"/>
              <w:jc w:val="left"/>
            </w:pPr>
            <w:r>
              <w:rPr>
                <w:rFonts w:ascii="Times New Roman" w:hAnsi="Times New Roman" w:cs="Times New Roman" w:eastAsia="Times New Roman"/>
                <w:sz w:val="22"/>
              </w:rPr>
              <w:t xml:space="preserve">O‘zsanoatqurilishbank</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2,93 (II) – 2</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2,82 (II) – 2</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2,91 (II) – 2</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2,75 (II) – 3</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2,83 (II) – 4</w:t>
            </w:r>
          </w:p>
        </w:tc>
      </w:tr>
      <w:tr>
        <w:trPr>
          <w:cantSplit/>
        </w:trPr>
        <w:tc>
          <w:tcPr>
            <w:tcW w:type="dxa" w:w="2211"/>
          </w:tcPr>
          <w:p>
            <w:pPr>
              <w:pStyle w:val="Compact"/>
              <w:spacing w:line="240" w:lineRule="auto"/>
              <w:ind w:firstLine="0"/>
              <w:jc w:val="left"/>
            </w:pPr>
            <w:r>
              <w:rPr>
                <w:rFonts w:ascii="Times New Roman" w:hAnsi="Times New Roman" w:cs="Times New Roman" w:eastAsia="Times New Roman"/>
                <w:sz w:val="22"/>
              </w:rPr>
              <w:t xml:space="preserve">Mikrokreditbank</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2,20 (III) – 5</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2,31 (III) – 4</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2,22 (III) – 4</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2,24 (III) – 5</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2,47 (III) – 5</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qavs ichida – barqarorlik sinfi, tire belgisidan keyin – reytingdagi o‘rni.</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reytingning yillar bo‘yicha sezilarli o‘zgarishini ko‘rsatadi: 2021–2022-yillarda birinchi o‘rinda bo‘lgan «Ipoteka-bank» ATB 2025-yilda uchinchi o‘ringa, «Xalq banki» ATB esa uchinchi o‘rindan birinchi o‘ringa ko‘tarilgan. Faqat «Mikrokreditbank» ATB butun davr mobaynida reytingning quyi qismida qolgan. Bu natija integral indeksning bank moliyaviy holatidagi o‘zgarishlarga sezgirligini tasdiqlaydi.</w:t>
      </w:r>
    </w:p>
    <w:p>
      <w:pPr>
        <w:pStyle w:val="BodyText"/>
        <w:spacing w:line="360" w:lineRule="auto" w:before="0" w:after="0"/>
        <w:ind w:firstLine="709"/>
        <w:jc w:val="both"/>
      </w:pPr>
      <w:r>
        <w:rPr>
          <w:rFonts w:ascii="Times New Roman" w:hAnsi="Times New Roman" w:cs="Times New Roman" w:eastAsia="Times New Roman"/>
          <w:sz w:val="28"/>
        </w:rPr>
        <w:t xml:space="preserve">Shu bilan birga, reyting natijalarini talqin qilishda muhim jihatni hisobga olish lozim: tahlil qilingan banklarning to‘rttasida xususiy kapitalning o‘sishi sof foydadan sezilarli darajada oshgan. Xususiy kapitalning yillik o‘zgarishidan sof foydani ayirish orqali kapitalga kiritilgan qo‘shimcha mablag‘lar taxminiy baholandi: 2022–2025-yillarda ular «Mikrokreditbank» ATB da 5 359,2 mlrd so‘mni, «Xalq banki» ATB da 4 160,4 mlrd so‘mni, «Biznesni rivojlantirish banki» ATB da 3 187,6 mlrd so‘mni, «Ipoteka-bank» ATB da 928,9 mlrd so‘mni tashkil etgan, «O‘zsanoatqurilishbank» ATB da esa deyarli kuzatilmagan</w:t>
      </w:r>
      <w:r>
        <w:rPr>
          <w:rStyle w:val="FootnoteReference"/>
        </w:rPr>
        <w:footnoteReference w:id="42"/>
      </w:r>
      <w:r>
        <w:rPr>
          <w:rFonts w:ascii="Times New Roman" w:hAnsi="Times New Roman" w:cs="Times New Roman" w:eastAsia="Times New Roman"/>
          <w:sz w:val="28"/>
        </w:rPr>
        <w:t xml:space="preserve">. 1.3-paragrafda keltirilganidek, xalqaro reyting agentliklari bankning mustaqil, ya’ni tashqi qo‘llab-quvvatlashsiz moliyaviy barqarorligini alohida baholaydi</w:t>
      </w:r>
      <w:r>
        <w:rPr>
          <w:rStyle w:val="FootnoteReference"/>
        </w:rPr>
        <w:footnoteReference w:id="43"/>
      </w:r>
      <w:r>
        <w:rPr>
          <w:rStyle w:val="FootnoteReference"/>
        </w:rPr>
        <w:footnoteReference w:id="44"/>
      </w:r>
      <w:r>
        <w:rPr>
          <w:rFonts w:ascii="Times New Roman" w:hAnsi="Times New Roman" w:cs="Times New Roman" w:eastAsia="Times New Roman"/>
          <w:sz w:val="28"/>
        </w:rPr>
        <w:t xml:space="preserve">. Shu mantiqqa asoslanib, 2025-yil uchun integral indeks kapitalga kiritilgan mablag‘larsiz qayta hisoblandi (3.2.3-rasm).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3" name="3.2.3-rasm"/>
            <wp:cNvGraphicFramePr/>
            <a:graphic>
              <a:graphicData uri="http://schemas.openxmlformats.org/drawingml/2006/chart">
                <c:chart r:id="rId1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3.2.3-rasm. Moliyaviy barqarorlikning integral indeksi: amaldagi va davlat ko‘magisiz, 2025-yil</w:t>
      </w:r>
      <w:r>
        <w:rPr>
          <w:rStyle w:val="FootnoteReference"/>
        </w:rPr>
        <w:footnoteReference w:id="45"/>
      </w:r>
    </w:p>
    <w:p>
      <w:pPr>
        <w:pStyle w:val="BodyText"/>
        <w:spacing w:line="360" w:lineRule="auto" w:before="0" w:after="0"/>
        <w:ind w:firstLine="709"/>
        <w:jc w:val="both"/>
      </w:pPr>
      <w:r>
        <w:rPr>
          <w:rFonts w:ascii="Times New Roman" w:hAnsi="Times New Roman" w:cs="Times New Roman" w:eastAsia="Times New Roman"/>
          <w:sz w:val="28"/>
        </w:rPr>
        <w:t xml:space="preserve">Rasm ma’lumotlari davlat ko‘magining baholashga ta’siri juda katta ekanini ko‘rsatadi. «Mikrokreditbank» ATB ning indeksi davlat ko‘magisiz 2,47 dan 1,72 gacha pasayib, IV sinfga, ya’ni nobarqaror banklar qatoriga tushadi: kapitalga kiritilgan mablag‘larsiz uning birinchi darajali asosiy kapitali monandligi 2,5 foizni, kapitalning aktivlarga nisbati esa 2,9 foizni tashkil etgan bo‘lar edi. «Biznesni rivojlantirish banki» ATB ning indeksi 3,23 dan 2,51 gacha pasayadi, bunda bankning MHXS bo‘yicha kapitali deyarli to‘liq kapitalga kiritilgan mablag‘lardan iborat ekani ma’lum bo‘ladi. «Xalq banki» ATB da indeks 3,38 dan 3,23 gacha pasayib, I sinfdan II sinfga o‘tadi. «O‘zsanoatqurilishbank» ATB va «Ipoteka-bank» ATB ning indekslari esa deyarli o‘zgarmaydi. Shunday qilib, davlat banklari kapital yetarliligining yuqori ko‘rsatkichlari ko‘p hollarda o‘z faoliyati natijasi emas, balki davlatning qayta kapitallashtirishi natijasidir. Bu xulosa 2.2-paragrafda «Mikrokreditbank» ATB misolida olingan natijani bank tizimining boshqa davlat banklari misolida ham tasdiqlaydi.</w:t>
      </w:r>
    </w:p>
    <w:p>
      <w:pPr>
        <w:pStyle w:val="BodyText"/>
        <w:spacing w:line="360" w:lineRule="auto" w:before="0" w:after="0"/>
        <w:ind w:firstLine="709"/>
        <w:jc w:val="both"/>
      </w:pPr>
      <w:r>
        <w:rPr>
          <w:rFonts w:ascii="Times New Roman" w:hAnsi="Times New Roman" w:cs="Times New Roman" w:eastAsia="Times New Roman"/>
          <w:sz w:val="28"/>
        </w:rPr>
        <w:t xml:space="preserve">Integral indeksning milliy va MHXS hisobotlari bo‘yicha farqi, ya’ni ΔMBII ikki bank uchun 3.1-paragrafdagi to‘liq metodika bo‘yicha 2021–2025-yillarda hisoblandi, chunki faqat ular uchun Markaziy bankka taqdim etilgan prudensial hisobot shakllari mavjud</w:t>
      </w:r>
      <w:r>
        <w:rPr>
          <w:rStyle w:val="FootnoteReference"/>
        </w:rPr>
        <w:footnoteReference w:id="46"/>
      </w:r>
      <w:r>
        <w:rPr>
          <w:rStyle w:val="FootnoteReference"/>
        </w:rPr>
        <w:footnoteReference w:id="47"/>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(3.2.4-rasm).</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4" name="3.2.4-rasm"/>
            <wp:cNvGraphicFramePr/>
            <a:graphic>
              <a:graphicData uri="http://schemas.openxmlformats.org/drawingml/2006/chart">
                <c:chart r:id="rId12"/>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3.2.4-rasm. «O‘zsanoatqurilishbank» ATB va «Mikrokreditbank» ATB da integral indeks: milliy hisobot va MHXS, 2021–2025-yillar</w:t>
      </w:r>
      <w:r>
        <w:rPr>
          <w:rStyle w:val="FootnoteReference"/>
        </w:rPr>
        <w:footnoteReference w:id="48"/>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ΔMBII barcha yillarda manfiy bo‘lib, «O‘zsanoatqurilishbank» ATB da −0,23 dan −0,46 gacha, «Mikrokreditbank» ATB da esa −0,40 dan −0,66 gacha o‘zgargan. «O‘zsanoatqurilishbank» ATB milliy hisobot bo‘yicha besh yilning barchasida I sinfda, MHXS bo‘yicha esa II sinfda bo‘lgan. Eng muhim natija «Mikrokreditbank» ATB misolida olindi: MHXS asosidagi indeks 2023-yildayoq 2,41 gacha pasayib, III sinfga tushgan, milliy hisobot asosidagi indeks esa shu yili 2,81 ni tashkil etib, bank II sinfda qolgan. Bankning 1 703,8 mlrd so‘mlik zarari milliy hisobotda faqat 2024-yilda tan olingan. Demak, MHXS asosidagi indeks bankdagi muammoni bir yil oldin aniqlagan. Bu esa dissertatsiyaning to‘rtinchi bobida ishlab chiqiladigan erta ogohlantirish tizimida aynan MHXS asosidagi indeksdan foydalanish zarurligini asoslaydi.</w:t>
      </w:r>
    </w:p>
    <w:p>
      <w:pPr>
        <w:pStyle w:val="BodyText"/>
        <w:spacing w:line="360" w:lineRule="auto" w:before="0" w:after="0"/>
        <w:ind w:firstLine="709"/>
        <w:jc w:val="both"/>
      </w:pPr>
      <w:r>
        <w:rPr>
          <w:rFonts w:ascii="Times New Roman" w:hAnsi="Times New Roman" w:cs="Times New Roman" w:eastAsia="Times New Roman"/>
          <w:sz w:val="28"/>
        </w:rPr>
        <w:t xml:space="preserve">Tanlangan beshta bank natijalarini bank tizimi bilan solishtirish uchun «SNS» reyting agentligi bazasi asosida davlat ulushi mavjud to‘qqizta bank va boshqa banklar guruhlari bo‘yicha ochiq ma’lumotlarda mavjud ko‘rsatkichlar hisoblandi (3.2.4-jadval).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3.2.4-jadval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Davlat ulushi mavjud banklar va boshqa banklarning asosiy ko‘rsatkichlari, milliy hisobot, 2023–2025-yillar</w:t>
      </w:r>
      <w:r>
        <w:rPr>
          <w:rStyle w:val="FootnoteReference"/>
        </w:rPr>
        <w:footnoteReference w:id="49"/>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27"/>
        <w:gridCol w:w="1247"/>
        <w:gridCol w:w="1247"/>
        <w:gridCol w:w="1247"/>
        <w:gridCol w:w="1247"/>
        <w:gridCol w:w="1247"/>
        <w:gridCol w:w="1247"/>
      </w:tblGrid>
      <w:tr>
        <w:trPr>
          <w:tblHeader w:val="true"/>
          <w:cantSplit/>
          <w:tblHeader/>
        </w:trPr>
        <w:tc>
          <w:tcPr>
            <w:tcW w:type="dxa" w:w="192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Davlat banklari 2023</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Boshqa banklar 2023</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Davlat banklari 2024</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Boshqa banklar 2024</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Davlat banklari 2025</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Boshqa banklar 2025</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Banklar soni</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9</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23</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9</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25</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9</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24</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1,2</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4,1</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−0,1</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3,1</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1,1</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3,2</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ROE, %</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8,1</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27,7</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−0,5</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19,2</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7,6</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20,3</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Kreditlar / depozitlar, %</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240,3</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117,7</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238,0</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108,1</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190,2</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97,7</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Kapital / aktivlar, %</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14,3</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15,8</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13,9</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16,3</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13,9</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15,8</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Yuqori likvid aktivlar ulushi, %</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13,6</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22,0</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13,4</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22,2</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14,4</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18,9</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davlat ulushi mavjud banklar – O‘zmilliybank, O‘zsanoatqurilishbank, Agrobank, Asakabank, Xalq banki, Biznesni rivojlantirish banki, Mikrokreditbank, Aloqabank, Turonbank; ko‘rsatkichlar guruh bo‘yicha jami qiymatlar asosida hisoblandi.</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tanlangan banklar misolida olingan natijalarni bank tizimi darajasida tasdiqlaydi. Davlat ulushi mavjud banklarning daromadliligi boshqa banklarnikidan uch-to‘rt barobar past, kreditlarning depozitlarga nisbati esa ikki barobar yuqori, ya’ni ular kreditlarni asosan tashqi qarzlar va davlat resurslari hisobiga moliyalashtiradi. Yuqori likvid aktivlar ulushi ham davlat banklarida sezilarli darajada past. Kapitalning aktivlarga nisbati bo‘yicha esa guruhlar o‘rtasidagi farq unchalik katta emas, biroq yuqorida ko‘rsatilganidek, davlat banklarida bu ko‘rsatkich ko‘p hollarda qayta kapitallashtirish hisobiga ta’minlangan. Davlat va boshqa banklarning kapital rentabelligi dinamikasi 3.2.5-rasmda keltirilgan.</w:t>
      </w:r>
    </w:p>
    <w:p>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05" name="3.2.5-rasm"/>
            <wp:cNvGraphicFramePr/>
            <a:graphic>
              <a:graphicData uri="http://schemas.openxmlformats.org/drawingml/2006/chart">
                <c:chart r:id="rId13"/>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3.2.5-rasm. Davlat ulushi mavjud banklar va boshqa banklarda kapital rentabelligi (ROE), %</w:t>
      </w:r>
      <w:r>
        <w:rPr>
          <w:rStyle w:val="FootnoteReference"/>
        </w:rPr>
        <w:footnoteReference w:id="50"/>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2022–2025-yillarda boshqa banklarning kapital rentabelligi 19–28 foiz oralig‘ida bo‘lgan bo‘lsa, davlat banklarida bu ko‘rsatkich 2024-yilda manfiy qiymatga tushgan. Bu davlat banklarida yashirin kredit riskining tan olinishi va ularni transformatsiya qilish jarayoni bilan bog‘liq. Shu bilan birga, kreditlarning depozitlarga nisbati davlat banklarida 2022-yildagi 252,9 foizdan 2025-yilda 190,2 foizgacha kamaygan, ya’ni ularning moliyalashtirish tuzilmasi asta-sekin yaxshilanmoqda.</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barqarorligini integral indeks asosida reyting baholash natijasida xulosa qilish mumkinki, taklif etilgan metodika banklarning auditdan o‘tgan MHXS hisobotlari asosida, ya’ni ochiq ma’lumotlar bilan qo‘llanishi mumkin, bunda likvidlik me’yorlari oshkor qilinmagani sababli ularni yuqori likvid aktivlar ulushi bilan almashtirish natijaga sezilarli ta’sir ko‘rsatmaydi. Beshta bank bo‘yicha 2021–2025-yillar uchun tuzilgan reyting «Xalq banki» ATB ning barqarorligi izchil oshganini, «Biznesni rivojlantirish banki» ATB 2023-yilda, «Ipoteka-bank» ATB esa shu yili jiddiy qiyinchiliklarga duch kelganini, «Mikrokreditbank» ATB esa butun davr mobaynida zaif banklar qatorida qolganini ko‘rsatdi. Davlat ko‘magisiz hisoblangan indeks kapitalga kiritilgan mablag‘lar hisobga olinmaganda «Mikrokreditbank» ATB nobarqaror, «Biznesni rivojlantirish banki» ATB esa sezilarli zaiflashgan bo‘lishini aniqladi. Milliy va MHXS hisobotlari bo‘yicha indekslar farqi esa MHXS asosidagi indeks muammoni bir yil oldin aniqlash imkonini berishini tasdiqladi. Bu o‘z navbatida, moliyaviy barqarorlikka ta’sir etuvchi omillarni ekonometrik usullar bilan aniqlash va ularni erta ogohlantirish tizimiga kiritish zaruratini yuzaga keltiradi, bu esa keyingi paragrafda amalga oshiriladi.</w:t>
      </w:r>
    </w:p>
    <w:bookmarkEnd w:id="51"/>
    <w:sectPr>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89–91.</w:t>
      </w:r>
    </w:p>
  </w:footnote>
  <w:footnote w:id="21">
    <w:p>
      <w:pPr>
        <w:pStyle w:val="FootnoteText"/>
      </w:pPr>
      <w:r>
        <w:rPr>
          <w:rStyle w:val="FootnoteReference"/>
        </w:rPr>
        <w:footnoteRef/>
      </w:r>
      <w:r>
        <w:t xml:space="preserve"> </w:t>
      </w:r>
      <w:r>
        <w:t xml:space="preserve">Langohr H., Langohr P. The Rating Agencies and Their Credit Ratings: What They Are, How They Work and Why They Are Relevant. – Chichester: John Wiley &amp; Sons, 2008.</w:t>
      </w:r>
    </w:p>
  </w:footnote>
  <w:footnote w:id="22">
    <w:p>
      <w:pPr>
        <w:pStyle w:val="FootnoteText"/>
      </w:pPr>
      <w:r>
        <w:rPr>
          <w:rStyle w:val="FootnoteReference"/>
        </w:rPr>
        <w:footnoteRef/>
      </w:r>
      <w:r>
        <w:t xml:space="preserve"> </w:t>
      </w:r>
      <w:r>
        <w:t xml:space="preserve">Izzi L., Oricchio G., Vitale L. Basel III Credit Rating Systems: An Applied Guide to Quantitative and Qualitative Models. – Basingstoke: Palgrave Macmillan, 2012.</w:t>
      </w:r>
    </w:p>
  </w:footnote>
  <w:footnote w:id="23">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24">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2–3.</w:t>
      </w:r>
    </w:p>
  </w:footnote>
  <w:footnote w:id="25">
    <w:p>
      <w:pPr>
        <w:pStyle w:val="FootnoteText"/>
      </w:pPr>
      <w:r>
        <w:rPr>
          <w:rStyle w:val="FootnoteReference"/>
        </w:rPr>
        <w:footnoteRef/>
      </w:r>
      <w:r>
        <w:t xml:space="preserve"> </w:t>
      </w:r>
      <w:r>
        <w:t xml:space="preserve">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26">
    <w:p>
      <w:pPr>
        <w:pStyle w:val="FootnoteText"/>
      </w:pPr>
      <w:r>
        <w:rPr>
          <w:rStyle w:val="FootnoteReference"/>
        </w:rPr>
        <w:footnoteRef/>
      </w:r>
      <w:r>
        <w:t xml:space="preserve"> </w:t>
      </w:r>
      <w:r>
        <w:t xml:space="preserve">Joint-Stock Commercial Bank</w:t>
      </w:r>
      <w:r>
        <w:t xml:space="preserve"> </w:t>
      </w:r>
      <w:r>
        <w:t xml:space="preserve">“</w:t>
      </w:r>
      <w:r>
        <w:t xml:space="preserve">Business Development Bank</w:t>
      </w:r>
      <w:r>
        <w:t xml:space="preserve">”</w:t>
      </w:r>
      <w:r>
        <w:t xml:space="preserve">. Consolidated Financial Statements for the year ended 31 December 2025 and Independent Auditors’ Report. – Tashkent: KPMG Audit, 2026. – https://brb.uz/bank-haqida/moliyaviy-korsatkichlar – P. 8–9, 33, 69.</w:t>
      </w:r>
    </w:p>
  </w:footnote>
  <w:footnote w:id="27">
    <w:p>
      <w:pPr>
        <w:pStyle w:val="FootnoteText"/>
      </w:pPr>
      <w:r>
        <w:rPr>
          <w:rStyle w:val="FootnoteReference"/>
        </w:rPr>
        <w:footnoteRef/>
      </w:r>
      <w:r>
        <w:t xml:space="preserve"> </w:t>
      </w:r>
      <w:r>
        <w:t xml:space="preserve">Joint-stock commercial</w:t>
      </w:r>
      <w:r>
        <w:t xml:space="preserve"> </w:t>
      </w:r>
      <w:r>
        <w:t xml:space="preserve">“</w:t>
      </w:r>
      <w:r>
        <w:t xml:space="preserve">Xalq Bank</w:t>
      </w:r>
      <w:r>
        <w:t xml:space="preserve">”</w:t>
      </w:r>
      <w:r>
        <w:t xml:space="preserve"> </w:t>
      </w:r>
      <w:r>
        <w:t xml:space="preserve">of the Republic of Uzbekistan. Consolidated financial statements and independent auditor’s report for the year ended 31 December 2025. – Tashkent: Ernst &amp; Young, 2026. – https://xb.uz/page/auditorlik-xulosalari-2 – P. 1–2, 12, 56.</w:t>
      </w:r>
    </w:p>
  </w:footnote>
  <w:footnote w:id="28">
    <w:p>
      <w:pPr>
        <w:pStyle w:val="FootnoteText"/>
      </w:pPr>
      <w:r>
        <w:rPr>
          <w:rStyle w:val="FootnoteReference"/>
        </w:rPr>
        <w:footnoteRef/>
      </w:r>
      <w:r>
        <w:t xml:space="preserve"> </w:t>
      </w:r>
      <w:r>
        <w:t xml:space="preserve">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2025. – Tashkent: Ernst &amp; Young, 2026. – https://www.ipotekabank.uz/en/about/investors/ – P. 1–2.</w:t>
      </w:r>
    </w:p>
  </w:footnote>
  <w:footnote w:id="29">
    <w:p>
      <w:pPr>
        <w:pStyle w:val="FootnoteText"/>
      </w:pPr>
      <w:r>
        <w:rPr>
          <w:rStyle w:val="FootnoteReference"/>
        </w:rPr>
        <w:footnoteRef/>
      </w:r>
      <w:r>
        <w:t xml:space="preserve"> </w:t>
      </w:r>
      <w:r>
        <w:t xml:space="preserve">Joint-Stock Commercial</w:t>
      </w:r>
      <w:r>
        <w:t xml:space="preserve"> </w:t>
      </w:r>
      <w:r>
        <w:t xml:space="preserve">“</w:t>
      </w:r>
      <w:r>
        <w:t xml:space="preserve">Xalq Bank</w:t>
      </w:r>
      <w:r>
        <w:t xml:space="preserve">”</w:t>
      </w:r>
      <w:r>
        <w:t xml:space="preserve">. Consolidated financial statements and independent auditor’s report for the year ended 31 December 2022. – Tashkent: Ernst &amp; Young, 2023. – P. 8–10.</w:t>
      </w:r>
    </w:p>
  </w:footnote>
  <w:footnote w:id="30">
    <w:p>
      <w:pPr>
        <w:pStyle w:val="FootnoteText"/>
      </w:pPr>
      <w:r>
        <w:rPr>
          <w:rStyle w:val="FootnoteReference"/>
        </w:rPr>
        <w:footnoteRef/>
      </w:r>
      <w:r>
        <w:t xml:space="preserve"> </w:t>
      </w:r>
      <w:r>
        <w:t xml:space="preserve">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2023. – Tashkent: Ernst &amp; Young, 2024.</w:t>
      </w:r>
    </w:p>
  </w:footnote>
  <w:footnote w:id="31">
    <w:p>
      <w:pPr>
        <w:pStyle w:val="FootnoteText"/>
      </w:pPr>
      <w:r>
        <w:rPr>
          <w:rStyle w:val="FootnoteReference"/>
        </w:rPr>
        <w:footnoteRef/>
      </w:r>
      <w:r>
        <w:t xml:space="preserve"> </w:t>
      </w:r>
      <w:r>
        <w:t xml:space="preserve">Tadqiqot natijasida muallif tomonidan quyidagi manbalar asosida ishlab chiqildi: International Monetary Fund. 2019 Financial Soundness Indicators Compilation Guide. – Washington, DC: IMF, 2019;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«SNS» reyting agentligi. O‘zbekiston tijorat banklarining asosiy ko‘rsatkichlari bazasi (Banks_2025_IV, Banks_2026_II): 36 bank, 2021-yil IV chorak – 2026-yil II chorak.</w:t>
      </w:r>
    </w:p>
  </w:footnote>
  <w:footnote w:id="32">
    <w:p>
      <w:pPr>
        <w:pStyle w:val="FootnoteText"/>
      </w:pPr>
      <w:r>
        <w:rPr>
          <w:rStyle w:val="FootnoteReference"/>
        </w:rPr>
        <w:footnoteRef/>
      </w:r>
      <w:r>
        <w:t xml:space="preserve"> </w:t>
      </w:r>
      <w:r>
        <w:t xml:space="preserve">International Monetary Fund. 2019 Financial Soundness Indicators Compilation Guide. – Washington, DC: IMF, 2019.</w:t>
      </w:r>
    </w:p>
  </w:footnote>
  <w:footnote w:id="33">
    <w:p>
      <w:pPr>
        <w:pStyle w:val="FootnoteText"/>
      </w:pPr>
      <w:r>
        <w:rPr>
          <w:rStyle w:val="FootnoteReference"/>
        </w:rPr>
        <w:footnoteRef/>
      </w:r>
      <w:r>
        <w:t xml:space="preserve"> </w:t>
      </w:r>
      <w:r>
        <w:t xml:space="preserve">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4">
    <w:p>
      <w:pPr>
        <w:pStyle w:val="FootnoteText"/>
      </w:pPr>
      <w:r>
        <w:rPr>
          <w:rStyle w:val="FootnoteReference"/>
        </w:rPr>
        <w:footnoteRef/>
      </w:r>
      <w:r>
        <w:t xml:space="preserve"> </w:t>
      </w:r>
      <w:r>
        <w:t xml:space="preserve">«SNS» reyting agentligi. O‘zbekiston tijorat banklarining asosiy ko‘rsatkichlari bazasi (Banks_2025_IV, Banks_2026_II): 36 bank, 2021-yil IV chorak – 2026-yil II chorak.</w:t>
      </w:r>
    </w:p>
  </w:footnote>
  <w:footnote w:id="35">
    <w:p>
      <w:pPr>
        <w:pStyle w:val="FootnoteText"/>
      </w:pPr>
      <w:r>
        <w:rPr>
          <w:rStyle w:val="FootnoteReference"/>
        </w:rPr>
        <w:footnoteRef/>
      </w:r>
      <w:r>
        <w:t xml:space="preserve"> </w:t>
      </w:r>
      <w:r>
        <w:t xml:space="preserve">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w:t>
      </w:r>
      <w:r>
        <w:t xml:space="preserve"> </w:t>
      </w:r>
      <w:r>
        <w:t xml:space="preserve">“</w:t>
      </w:r>
      <w:r>
        <w:t xml:space="preserve">Business Development Bank</w:t>
      </w:r>
      <w:r>
        <w:t xml:space="preserve">”</w:t>
      </w:r>
      <w:r>
        <w:t xml:space="preserve">. Consolidated Financial Statements for the year ended 31 December 2025 and Independent Auditors’ Report. – Tashkent: KPMG Audit, 2026. – https://brb.uz/bank-haqida/moliyaviy-korsatkichlar – P. 8–9, 33, 69; Joint-stock commercial</w:t>
      </w:r>
      <w:r>
        <w:t xml:space="preserve"> </w:t>
      </w:r>
      <w:r>
        <w:t xml:space="preserve">“</w:t>
      </w:r>
      <w:r>
        <w:t xml:space="preserve">Xalq Bank</w:t>
      </w:r>
      <w:r>
        <w:t xml:space="preserve">”</w:t>
      </w:r>
      <w:r>
        <w:t xml:space="preserve"> </w:t>
      </w:r>
      <w:r>
        <w:t xml:space="preserve">of the Republic of Uzbekistan. Consolidated financial statements and independent auditor’s report for the year ended 31 December 2025. – Tashkent: Ernst &amp; Young, 2026. – https://xb.uz/page/auditorlik-xulosalari-2 – P. 1–2, 12, 56; 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w:t>
      </w:r>
    </w:p>
  </w:footnote>
  <w:footnote w:id="36">
    <w:p>
      <w:pPr>
        <w:pStyle w:val="FootnoteText"/>
      </w:pPr>
      <w:r>
        <w:rPr>
          <w:rStyle w:val="FootnoteReference"/>
        </w:rPr>
        <w:footnoteRef/>
      </w:r>
      <w:r>
        <w:t xml:space="preserve"> </w:t>
      </w:r>
      <w:r>
        <w:t xml:space="preserve">Joint-stock commercial</w:t>
      </w:r>
      <w:r>
        <w:t xml:space="preserve"> </w:t>
      </w:r>
      <w:r>
        <w:t xml:space="preserve">“</w:t>
      </w:r>
      <w:r>
        <w:t xml:space="preserve">Xalq Bank</w:t>
      </w:r>
      <w:r>
        <w:t xml:space="preserve">”</w:t>
      </w:r>
      <w:r>
        <w:t xml:space="preserve"> </w:t>
      </w:r>
      <w:r>
        <w:t xml:space="preserve">of the Republic of Uzbekistan. Consolidated financial statements and independent auditor’s report for the year ended 31 December 2025. – Tashkent: Ernst &amp; Young, 2026. – https://xb.uz/page/auditorlik-xulosalari-2 – P. 1–2, 12, 56.</w:t>
      </w:r>
    </w:p>
  </w:footnote>
  <w:footnote w:id="37">
    <w:p>
      <w:pPr>
        <w:pStyle w:val="FootnoteText"/>
      </w:pPr>
      <w:r>
        <w:rPr>
          <w:rStyle w:val="FootnoteReference"/>
        </w:rPr>
        <w:footnoteRef/>
      </w:r>
      <w:r>
        <w:t xml:space="preserve"> </w:t>
      </w:r>
      <w:r>
        <w:t xml:space="preserve">Joint-Stock Commercial Bank</w:t>
      </w:r>
      <w:r>
        <w:t xml:space="preserve"> </w:t>
      </w:r>
      <w:r>
        <w:t xml:space="preserve">“</w:t>
      </w:r>
      <w:r>
        <w:t xml:space="preserve">Business Development Bank</w:t>
      </w:r>
      <w:r>
        <w:t xml:space="preserve">”</w:t>
      </w:r>
      <w:r>
        <w:t xml:space="preserve">. Consolidated Financial Statements for the year ended 31 December 2025 and Independent Auditors’ Report. – Tashkent: KPMG Audit, 2026. – https://brb.uz/bank-haqida/moliyaviy-korsatkichlar – P. 8–9, 33, 69.</w:t>
      </w:r>
    </w:p>
  </w:footnote>
  <w:footnote w:id="38">
    <w:p>
      <w:pPr>
        <w:pStyle w:val="FootnoteText"/>
      </w:pPr>
      <w:r>
        <w:rPr>
          <w:rStyle w:val="FootnoteReference"/>
        </w:rPr>
        <w:footnoteRef/>
      </w:r>
      <w:r>
        <w:t xml:space="preserve"> </w:t>
      </w:r>
      <w:r>
        <w:t xml:space="preserve">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2025. – Tashkent: Ernst &amp; Young, 2026. – https://www.ipotekabank.uz/en/about/investors/ – P. 1–2.</w:t>
      </w:r>
    </w:p>
  </w:footnote>
  <w:footnote w:id="39">
    <w:p>
      <w:pPr>
        <w:pStyle w:val="FootnoteText"/>
      </w:pPr>
      <w:r>
        <w:rPr>
          <w:rStyle w:val="FootnoteReference"/>
        </w:rPr>
        <w:footnoteRef/>
      </w:r>
      <w:r>
        <w:t xml:space="preserve"> </w:t>
      </w:r>
      <w:r>
        <w:t xml:space="preserve">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w:t>
      </w:r>
      <w:r>
        <w:t xml:space="preserve"> </w:t>
      </w:r>
      <w:r>
        <w:t xml:space="preserve">“</w:t>
      </w:r>
      <w:r>
        <w:t xml:space="preserve">Business Development Bank</w:t>
      </w:r>
      <w:r>
        <w:t xml:space="preserve">”</w:t>
      </w:r>
      <w:r>
        <w:t xml:space="preserve">. Consolidated Financial Statements for the year ended 31 December 2025 and Independent Auditors’ Report. – Tashkent: KPMG Audit, 2026. – https://brb.uz/bank-haqida/moliyaviy-korsatkichlar – P. 8–9, 33, 69; Joint-stock commercial</w:t>
      </w:r>
      <w:r>
        <w:t xml:space="preserve"> </w:t>
      </w:r>
      <w:r>
        <w:t xml:space="preserve">“</w:t>
      </w:r>
      <w:r>
        <w:t xml:space="preserve">Xalq Bank</w:t>
      </w:r>
      <w:r>
        <w:t xml:space="preserve">”</w:t>
      </w:r>
      <w:r>
        <w:t xml:space="preserve"> </w:t>
      </w:r>
      <w:r>
        <w:t xml:space="preserve">of the Republic of Uzbekistan. Consolidated financial statements and independent auditor’s report for the year ended 31 December 2025. – Tashkent: Ernst &amp; Young, 2026. – https://xb.uz/page/auditorlik-xulosalari-2 – P. 1–2, 12, 56; 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w:t>
      </w:r>
    </w:p>
  </w:footnote>
  <w:footnote w:id="40">
    <w:p>
      <w:pPr>
        <w:pStyle w:val="FootnoteText"/>
      </w:pPr>
      <w:r>
        <w:rPr>
          <w:rStyle w:val="FootnoteReference"/>
        </w:rPr>
        <w:footnoteRef/>
      </w:r>
      <w:r>
        <w:t xml:space="preserve"> </w:t>
      </w:r>
      <w:r>
        <w:t xml:space="preserve">Tadqiqot natijasida muallif tomonidan 3.2.2-jadval ma’lumotlari asosida ishlab chiqildi.</w:t>
      </w:r>
    </w:p>
  </w:footnote>
  <w:footnote w:id="41">
    <w:p>
      <w:pPr>
        <w:pStyle w:val="FootnoteText"/>
      </w:pPr>
      <w:r>
        <w:rPr>
          <w:rStyle w:val="FootnoteReference"/>
        </w:rPr>
        <w:footnoteRef/>
      </w:r>
      <w:r>
        <w:t xml:space="preserve"> </w:t>
      </w:r>
      <w:r>
        <w:t xml:space="preserve">Tadqiqot natijasida muallif tomonidan 3.2.1-rasm ma’lumotlari asosida ishlab chiqildi.</w:t>
      </w:r>
    </w:p>
  </w:footnote>
  <w:footnote w:id="42">
    <w:p>
      <w:pPr>
        <w:pStyle w:val="FootnoteText"/>
      </w:pPr>
      <w:r>
        <w:rPr>
          <w:rStyle w:val="FootnoteReference"/>
        </w:rPr>
        <w:footnoteRef/>
      </w:r>
      <w:r>
        <w:t xml:space="preserve"> </w:t>
      </w:r>
      <w:r>
        <w:t xml:space="preserve">Tadqiqot natijasida muallif tomonidan hisoblandi: kapitalga kiritilgan mablag‘lar = xususiy kapitalning yillik o‘zgarishi − yil sof foydasi (boshqa umumlashgan daromad va dividendlar ham shu farqqa kiradi, shu sababli baho taxminiy). Manbalar: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w:t>
      </w:r>
      <w:r>
        <w:t xml:space="preserve"> </w:t>
      </w:r>
      <w:r>
        <w:t xml:space="preserve">“</w:t>
      </w:r>
      <w:r>
        <w:t xml:space="preserve">Business Development Bank</w:t>
      </w:r>
      <w:r>
        <w:t xml:space="preserve">”</w:t>
      </w:r>
      <w:r>
        <w:t xml:space="preserve">. Consolidated Financial Statements for the year ended 31 December 2025 and Independent Auditors’ Report. – Tashkent: KPMG Audit, 2026. – https://brb.uz/bank-haqida/moliyaviy-korsatkichlar – P. 8–9, 33, 69; Joint-stock commercial</w:t>
      </w:r>
      <w:r>
        <w:t xml:space="preserve"> </w:t>
      </w:r>
      <w:r>
        <w:t xml:space="preserve">“</w:t>
      </w:r>
      <w:r>
        <w:t xml:space="preserve">Xalq Bank</w:t>
      </w:r>
      <w:r>
        <w:t xml:space="preserve">”</w:t>
      </w:r>
      <w:r>
        <w:t xml:space="preserve"> </w:t>
      </w:r>
      <w:r>
        <w:t xml:space="preserve">of the Republic of Uzbekistan. Consolidated financial statements and independent auditor’s report for the year ended 31 December 2025. – Tashkent: Ernst &amp; Young, 2026. – https://xb.uz/page/auditorlik-xulosalari-2 – P. 1–2, 12, 56; 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2025. – Tashkent: Ernst &amp; Young, 2026. – https://www.ipotekabank.uz/en/about/investors/ – P. 1–2.</w:t>
      </w:r>
    </w:p>
  </w:footnote>
  <w:footnote w:id="43">
    <w:p>
      <w:pPr>
        <w:pStyle w:val="FootnoteText"/>
      </w:pPr>
      <w:r>
        <w:rPr>
          <w:rStyle w:val="FootnoteReference"/>
        </w:rPr>
        <w:footnoteRef/>
      </w:r>
      <w:r>
        <w:t xml:space="preserve"> </w:t>
      </w:r>
      <w:r>
        <w:t xml:space="preserve">Langohr H., Langohr P. The Rating Agencies and Their Credit Ratings: What They Are, How They Work and Why They Are Relevant. – Chichester: John Wiley &amp; Sons, 2008.</w:t>
      </w:r>
    </w:p>
  </w:footnote>
  <w:footnote w:id="44">
    <w:p>
      <w:pPr>
        <w:pStyle w:val="FootnoteText"/>
      </w:pPr>
      <w:r>
        <w:rPr>
          <w:rStyle w:val="FootnoteReference"/>
        </w:rPr>
        <w:footnoteRef/>
      </w:r>
      <w:r>
        <w:t xml:space="preserve"> </w:t>
      </w:r>
      <w:r>
        <w:t xml:space="preserve">Izzi L., Oricchio G., Vitale L. Basel III Credit Rating Systems: An Applied Guide to Quantitative and Qualitative Models. – Basingstoke: Palgrave Macmillan, 2012.</w:t>
      </w:r>
    </w:p>
  </w:footnote>
  <w:footnote w:id="45">
    <w:p>
      <w:pPr>
        <w:pStyle w:val="FootnoteText"/>
      </w:pPr>
      <w:r>
        <w:rPr>
          <w:rStyle w:val="FootnoteReference"/>
        </w:rPr>
        <w:footnoteRef/>
      </w:r>
      <w:r>
        <w:t xml:space="preserve"> </w:t>
      </w:r>
      <w:r>
        <w:t xml:space="preserve">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w:t>
      </w:r>
      <w:r>
        <w:t xml:space="preserve"> </w:t>
      </w:r>
      <w:r>
        <w:t xml:space="preserve">“</w:t>
      </w:r>
      <w:r>
        <w:t xml:space="preserve">Business Development Bank</w:t>
      </w:r>
      <w:r>
        <w:t xml:space="preserve">”</w:t>
      </w:r>
      <w:r>
        <w:t xml:space="preserve">. Consolidated Financial Statements for the year ended 31 December 2025 and Independent Auditors’ Report. – Tashkent: KPMG Audit, 2026. – https://brb.uz/bank-haqida/moliyaviy-korsatkichlar – P. 8–9, 33, 69; Joint-stock commercial</w:t>
      </w:r>
      <w:r>
        <w:t xml:space="preserve"> </w:t>
      </w:r>
      <w:r>
        <w:t xml:space="preserve">“</w:t>
      </w:r>
      <w:r>
        <w:t xml:space="preserve">Xalq Bank</w:t>
      </w:r>
      <w:r>
        <w:t xml:space="preserve">”</w:t>
      </w:r>
      <w:r>
        <w:t xml:space="preserve"> </w:t>
      </w:r>
      <w:r>
        <w:t xml:space="preserve">of the Republic of Uzbekistan. Consolidated financial statements and independent auditor’s report for the year ended 31 December 2025. – Tashkent: Ernst &amp; Young, 2026. – https://xb.uz/page/auditorlik-xulosalari-2 – P. 1–2, 12, 56; 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2025. – Tashkent: Ernst &amp; Young, 2026. – https://www.ipotekabank.uz/en/about/investors/ – P. 1–2.</w:t>
      </w:r>
    </w:p>
  </w:footnote>
  <w:footnote w:id="46">
    <w:p>
      <w:pPr>
        <w:pStyle w:val="FootnoteText"/>
      </w:pPr>
      <w:r>
        <w:rPr>
          <w:rStyle w:val="FootnoteReference"/>
        </w:rPr>
        <w:footnoteRef/>
      </w:r>
      <w:r>
        <w:t xml:space="preserve"> </w:t>
      </w:r>
      <w:r>
        <w:t xml:space="preserve">«O‘zsanoatqurilishbank»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47">
    <w:p>
      <w:pPr>
        <w:pStyle w:val="FootnoteText"/>
      </w:pPr>
      <w:r>
        <w:rPr>
          <w:rStyle w:val="FootnoteReference"/>
        </w:rPr>
        <w:footnoteRef/>
      </w:r>
      <w:r>
        <w:t xml:space="preserve"> </w:t>
      </w:r>
      <w:r>
        <w:t xml:space="preserve">«Mikrokreditbank»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48">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49">
    <w:p>
      <w:pPr>
        <w:pStyle w:val="FootnoteText"/>
      </w:pPr>
      <w:r>
        <w:rPr>
          <w:rStyle w:val="FootnoteReference"/>
        </w:rPr>
        <w:footnoteRef/>
      </w:r>
      <w:r>
        <w:t xml:space="preserve"> </w:t>
      </w:r>
      <w:r>
        <w:t xml:space="preserve">Tadqiqot natijasida muallif tomonidan quyidagi manbalar ma’lumotlari asosida hisoblandi: «SNS» reyting agentligi. O‘zbekiston tijorat banklarining asosiy ko‘rsatkichlari bazasi (Banks_2025_IV, Banks_2026_II): 36 bank, 2021-yil IV chorak – 2026-yil II chorak.</w:t>
      </w:r>
    </w:p>
  </w:footnote>
  <w:footnote w:id="50">
    <w:p>
      <w:pPr>
        <w:pStyle w:val="FootnoteText"/>
      </w:pPr>
      <w:r>
        <w:rPr>
          <w:rStyle w:val="FootnoteReference"/>
        </w:rPr>
        <w:footnoteRef/>
      </w:r>
      <w:r>
        <w:t xml:space="preserve"> </w:t>
      </w:r>
      <w:r>
        <w:t xml:space="preserve">Tadqiqot natijasida muallif tomonidan quyidagi manbalar ma’lumotlari asosida hisoblandi: «SNS» reyting agentligi. O‘zbekiston tijorat banklarining asosiy ko‘rsatkichlari bazasi (Banks_2025_IV, Banks_2026_II): 36 bank, 2021-yil IV chorak – 2026-yil II chorak.</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rPr>
  </w:style>
  <w:style w:styleId="BodyText" w:type="paragraph">
    <w:name w:val="Body Text"/>
    <w:basedOn w:val="Normal"/>
    <w:link w:val="BodyTextChar"/>
    <w:pPr>
      <w:spacing w:after="180" w:before="180"/>
    </w:pPr>
    <w:qFormat/>
    <w:rPr>
      <w:rFonts w:ascii="Times New Roman" w:hAnsi="Times New Roman"/>
    </w:rPr>
  </w:style>
  <w:style w:customStyle="1" w:styleId="FirstParagraph" w:type="paragraph">
    <w:name w:val="First Paragraph"/>
    <w:basedOn w:val="BodyText"/>
    <w:next w:val="BodyText"/>
    <w:qFormat/>
    <w:rPr>
      <w:rFonts w:ascii="Times New Roman" w:hAnsi="Times New Roman"/>
    </w:rPr>
  </w:style>
  <w:style w:customStyle="1" w:styleId="Compact" w:type="paragraph">
    <w:name w:val="Compact"/>
    <w:basedOn w:val="BodyText"/>
    <w:qFormat/>
    <w:pPr>
      <w:spacing w:after="36" w:before="36"/>
    </w:pPr>
    <w:rPr>
      <w:rFonts w:ascii="Times New Roman" w:hAnsi="Times New Roman"/>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b/>
      <w:bCs/>
      <w:sz w:val="36"/>
      <w:szCs w:val="36"/>
    </w:rPr>
  </w:style>
  <w:style w:styleId="Subtitle" w:type="paragraph">
    <w:name w:val="Subtitle"/>
    <w:basedOn w:val="Title"/>
    <w:next w:val="BodyText"/>
    <w:qFormat/>
    <w:pPr>
      <w:keepNext/>
      <w:keepLines/>
      <w:spacing w:after="240" w:before="240"/>
      <w:jc w:val="center"/>
    </w:pPr>
    <w:rPr>
      <w:rFonts w:ascii="Times New Roman" w:hAnsi="Times New Roman"/>
      <w:sz w:val="30"/>
      <w:szCs w:val="30"/>
    </w:rPr>
  </w:style>
  <w:style w:customStyle="1" w:styleId="Author" w:type="paragraph">
    <w:name w:val="Author"/>
    <w:next w:val="BodyText"/>
    <w:qFormat/>
    <w:pPr>
      <w:keepNext/>
      <w:keepLines/>
      <w:jc w:val="center"/>
    </w:pPr>
    <w:rPr>
      <w:rFonts w:ascii="Times New Roman" w:hAnsi="Times New Roman"/>
    </w:rPr>
  </w:style>
  <w:style w:styleId="Date" w:type="paragraph">
    <w:name w:val="Date"/>
    <w:next w:val="BodyText"/>
    <w:qFormat/>
    <w:pPr>
      <w:keepNext/>
      <w:keepLines/>
      <w:jc w:val="center"/>
    </w:pPr>
    <w:rPr>
      <w:rFonts w:ascii="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hAnsi="Times New Roman"/>
      <w:b/>
    </w:rPr>
  </w:style>
  <w:style w:customStyle="1" w:styleId="Abstract" w:type="paragraph">
    <w:name w:val="Abstract"/>
    <w:basedOn w:val="Normal"/>
    <w:next w:val="BodyText"/>
    <w:qFormat/>
    <w:pPr>
      <w:keepNext/>
      <w:keepLines/>
      <w:spacing w:after="300" w:before="100"/>
    </w:pPr>
    <w:rPr>
      <w:rFonts w:ascii="Times New Roman" w:hAnsi="Times New Roman"/>
      <w:sz w:val="20"/>
      <w:szCs w:val="20"/>
    </w:rPr>
  </w:style>
  <w:style w:styleId="Bibliography" w:type="paragraph">
    <w:name w:val="Bibliography"/>
    <w:basedOn w:val="Normal"/>
    <w:next w:val="Bibliography"/>
    <w:qFormat/>
    <w:pPr/>
    <w:rPr>
      <w:rFonts w:ascii="Times New Roman" w:hAnsi="Times New Roman"/>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b/>
      <w:bCs/>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b/>
      <w:bCs/>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i/>
      <w:bCs/>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iCs/>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DefaultParagraphFont" w:type="character">
    <w:name w:val="Default Paragraph Font"/>
    <w:semiHidden/>
    <w:unhideWhenUsed/>
    <w:rPr>
      <w:rFonts w:ascii="Times New Roman" w:hAnsi="Times New Roman"/>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b/>
    </w:rPr>
  </w:style>
  <w:style w:customStyle="1" w:styleId="Definition" w:type="paragraph">
    <w:name w:val="Definition"/>
    <w:basedOn w:val="Normal"/>
    <w:rPr>
      <w:rFonts w:ascii="Times New Roman" w:hAnsi="Times New Roman"/>
    </w:rPr>
  </w:style>
  <w:style w:styleId="Caption" w:type="paragraph">
    <w:name w:val="Caption"/>
    <w:basedOn w:val="Normal"/>
    <w:link w:val="BodyTextChar"/>
    <w:pPr>
      <w:spacing w:after="120" w:before="0"/>
    </w:pPr>
    <w:rPr>
      <w:rFonts w:ascii="Times New Roman" w:hAnsi="Times New Roman"/>
      <w:i/>
    </w:rPr>
  </w:style>
  <w:style w:customStyle="1" w:styleId="TableCaption" w:type="paragraph">
    <w:name w:val="Table Caption"/>
    <w:basedOn w:val="Caption"/>
    <w:pPr>
      <w:keepNext/>
    </w:pPr>
    <w:rPr>
      <w:rFonts w:ascii="Times New Roman" w:hAnsi="Times New Roman"/>
    </w:rPr>
  </w:style>
  <w:style w:customStyle="1" w:styleId="ImageCaption" w:type="paragraph">
    <w:name w:val="Image Caption"/>
    <w:basedOn w:val="Caption"/>
    <w:rPr>
      <w:rFonts w:ascii="Times New Roman" w:hAnsi="Times New Roman"/>
    </w:rPr>
  </w:style>
  <w:style w:customStyle="1" w:styleId="Figure" w:type="paragraph">
    <w:name w:val="Figure"/>
    <w:basedOn w:val="Normal"/>
    <w:rPr>
      <w:rFonts w:ascii="Times New Roman" w:hAnsi="Times New Roman"/>
    </w:rPr>
  </w:style>
  <w:style w:customStyle="1" w:styleId="CaptionedFigure" w:type="paragraph">
    <w:name w:val="Captioned Figure"/>
    <w:basedOn w:val="Figure"/>
    <w:pPr>
      <w:keepNext/>
    </w:pPr>
    <w:rPr>
      <w:rFonts w:ascii="Times New Roman" w:hAnsi="Times New Roman"/>
    </w:rPr>
  </w:style>
  <w:style w:customStyle="1" w:styleId="BodyTextChar" w:type="character">
    <w:name w:val="Body Text Char"/>
    <w:basedOn w:val="DefaultParagraphFont"/>
    <w:link w:val="BodyText"/>
    <w:rPr>
      <w:rFonts w:ascii="Times New Roman" w:hAnsi="Times New Roman"/>
    </w:rPr>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Hyperlink" w:type="character">
    <w:name w:val="Hyperlink"/>
    <w:basedOn w:val="BodyTextChar"/>
    <w:rPr>
      <w:rFonts w:ascii="Times New Roman" w:hAnsi="Times New Roman"/>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b w:val="0"/>
      <w:bCs w:val="0"/>
    </w:rPr>
  </w:style>
  <w:style w:type="paragraph" w:customStyle="1" w:styleId="SourceCode">
    <w:name w:val="Source Code"/>
    <w:basedOn w:val="Normal"/>
    <w:link w:val="VerbatimChar"/>
    <w:pPr>
      <w:wordWrap w:val="off"/>
    </w:pPr>
    <w:rPr>
      <w:rFonts w:ascii="Times New Roman" w:hAnsi="Times New Roman"/>
    </w:rPr>
  </w:style>
  <w:style w:type="character" w:customStyle="1" w:styleId="KeywordTok">
    <w:name w:val="KeywordTok"/>
    <w:basedOn w:val="VerbatimChar"/>
    <w:rPr>
      <w:rFonts w:ascii="Times New Roman" w:hAnsi="Times New Roman"/>
      <w:b/>
    </w:rPr>
  </w:style>
  <w:style w:type="character" w:customStyle="1" w:styleId="DataTypeTok">
    <w:name w:val="DataTypeTok"/>
    <w:basedOn w:val="VerbatimChar"/>
    <w:rPr>
      <w:rFonts w:ascii="Times New Roman" w:hAnsi="Times New Roman"/>
    </w:rPr>
  </w:style>
  <w:style w:type="character" w:customStyle="1" w:styleId="DecValTok">
    <w:name w:val="DecValTok"/>
    <w:basedOn w:val="VerbatimChar"/>
    <w:rPr>
      <w:rFonts w:ascii="Times New Roman" w:hAnsi="Times New Roman"/>
    </w:rPr>
  </w:style>
  <w:style w:type="character" w:customStyle="1" w:styleId="BaseNTok">
    <w:name w:val="BaseNTok"/>
    <w:basedOn w:val="VerbatimChar"/>
    <w:rPr>
      <w:rFonts w:ascii="Times New Roman" w:hAnsi="Times New Roman"/>
    </w:rPr>
  </w:style>
  <w:style w:type="character" w:customStyle="1" w:styleId="FloatTok">
    <w:name w:val="FloatTok"/>
    <w:basedOn w:val="VerbatimChar"/>
    <w:rPr>
      <w:rFonts w:ascii="Times New Roman" w:hAnsi="Times New Roman"/>
    </w:rPr>
  </w:style>
  <w:style w:type="character" w:customStyle="1" w:styleId="ConstantTok">
    <w:name w:val="ConstantTok"/>
    <w:basedOn w:val="VerbatimChar"/>
    <w:rPr>
      <w:rFonts w:ascii="Times New Roman" w:hAnsi="Times New Roman"/>
    </w:rPr>
  </w:style>
  <w:style w:type="character" w:customStyle="1" w:styleId="CharTok">
    <w:name w:val="CharTok"/>
    <w:basedOn w:val="VerbatimChar"/>
    <w:rPr>
      <w:rFonts w:ascii="Times New Roman" w:hAnsi="Times New Roman"/>
    </w:rPr>
  </w:style>
  <w:style w:type="character" w:customStyle="1" w:styleId="SpecialCharTok">
    <w:name w:val="SpecialCharTok"/>
    <w:basedOn w:val="VerbatimChar"/>
    <w:rPr>
      <w:rFonts w:ascii="Times New Roman" w:hAnsi="Times New Roman"/>
    </w:rPr>
  </w:style>
  <w:style w:type="character" w:customStyle="1" w:styleId="StringTok">
    <w:name w:val="StringTok"/>
    <w:basedOn w:val="VerbatimChar"/>
    <w:rPr>
      <w:rFonts w:ascii="Times New Roman" w:hAnsi="Times New Roman"/>
    </w:rPr>
  </w:style>
  <w:style w:type="character" w:customStyle="1" w:styleId="VerbatimStringTok">
    <w:name w:val="VerbatimStringTok"/>
    <w:basedOn w:val="VerbatimChar"/>
    <w:rPr>
      <w:rFonts w:ascii="Times New Roman" w:hAnsi="Times New Roman"/>
    </w:rPr>
  </w:style>
  <w:style w:type="character" w:customStyle="1" w:styleId="SpecialStringTok">
    <w:name w:val="SpecialStringTok"/>
    <w:basedOn w:val="VerbatimChar"/>
    <w:rPr>
      <w:rFonts w:ascii="Times New Roman" w:hAnsi="Times New Roman"/>
    </w:rPr>
  </w:style>
  <w:style w:type="character" w:customStyle="1" w:styleId="ImportTok">
    <w:name w:val="ImportTok"/>
    <w:basedOn w:val="VerbatimChar"/>
    <w:rPr>
      <w:rFonts w:ascii="Times New Roman" w:hAnsi="Times New Roman"/>
      <w:b/>
    </w:rPr>
  </w:style>
  <w:style w:type="character" w:customStyle="1" w:styleId="CommentTok">
    <w:name w:val="CommentTok"/>
    <w:basedOn w:val="VerbatimChar"/>
    <w:rPr>
      <w:rFonts w:ascii="Times New Roman" w:hAnsi="Times New Roman"/>
      <w:i/>
    </w:rPr>
  </w:style>
  <w:style w:type="character" w:customStyle="1" w:styleId="DocumentationTok">
    <w:name w:val="DocumentationTok"/>
    <w:basedOn w:val="VerbatimChar"/>
    <w:rPr>
      <w:rFonts w:ascii="Times New Roman" w:hAnsi="Times New Roman"/>
      <w:i/>
    </w:rPr>
  </w:style>
  <w:style w:type="character" w:customStyle="1" w:styleId="AnnotationTok">
    <w:name w:val="AnnotationTok"/>
    <w:basedOn w:val="VerbatimChar"/>
    <w:rPr>
      <w:rFonts w:ascii="Times New Roman" w:hAnsi="Times New Roman"/>
      <w:b/>
      <w:i/>
    </w:rPr>
  </w:style>
  <w:style w:type="character" w:customStyle="1" w:styleId="CommentVarTok">
    <w:name w:val="CommentVarTok"/>
    <w:basedOn w:val="VerbatimChar"/>
    <w:rPr>
      <w:rFonts w:ascii="Times New Roman" w:hAnsi="Times New Roman"/>
      <w:b/>
      <w:i/>
    </w:rPr>
  </w:style>
  <w:style w:type="character" w:customStyle="1" w:styleId="OtherTok">
    <w:name w:val="OtherTok"/>
    <w:basedOn w:val="VerbatimChar"/>
    <w:rPr>
      <w:rFonts w:ascii="Times New Roman" w:hAnsi="Times New Roman"/>
    </w:rPr>
  </w:style>
  <w:style w:type="character" w:customStyle="1" w:styleId="FunctionTok">
    <w:name w:val="FunctionTok"/>
    <w:basedOn w:val="VerbatimChar"/>
    <w:rPr>
      <w:rFonts w:ascii="Times New Roman" w:hAnsi="Times New Roman"/>
    </w:rPr>
  </w:style>
  <w:style w:type="character" w:customStyle="1" w:styleId="VariableTok">
    <w:name w:val="VariableTok"/>
    <w:basedOn w:val="VerbatimChar"/>
    <w:rPr>
      <w:rFonts w:ascii="Times New Roman" w:hAnsi="Times New Roman"/>
    </w:rPr>
  </w:style>
  <w:style w:type="character" w:customStyle="1" w:styleId="ControlFlowTok">
    <w:name w:val="ControlFlowTok"/>
    <w:basedOn w:val="VerbatimChar"/>
    <w:rPr>
      <w:rFonts w:ascii="Times New Roman" w:hAnsi="Times New Roman"/>
      <w:b/>
    </w:rPr>
  </w:style>
  <w:style w:type="character" w:customStyle="1" w:styleId="OperatorTok">
    <w:name w:val="OperatorTok"/>
    <w:basedOn w:val="VerbatimChar"/>
    <w:rPr>
      <w:rFonts w:ascii="Times New Roman" w:hAnsi="Times New Roman"/>
    </w:rPr>
  </w:style>
  <w:style w:type="character" w:customStyle="1" w:styleId="BuiltInTok">
    <w:name w:val="BuiltInTok"/>
    <w:basedOn w:val="VerbatimChar"/>
    <w:rPr>
      <w:rFonts w:ascii="Times New Roman" w:hAnsi="Times New Roman"/>
    </w:rPr>
  </w:style>
  <w:style w:type="character" w:customStyle="1" w:styleId="ExtensionTok">
    <w:name w:val="ExtensionTok"/>
    <w:basedOn w:val="VerbatimChar"/>
    <w:rPr>
      <w:rFonts w:ascii="Times New Roman" w:hAnsi="Times New Roman"/>
    </w:rPr>
  </w:style>
  <w:style w:type="character" w:customStyle="1" w:styleId="PreprocessorTok">
    <w:name w:val="PreprocessorTok"/>
    <w:basedOn w:val="VerbatimChar"/>
    <w:rPr>
      <w:rFonts w:ascii="Times New Roman" w:hAnsi="Times New Roman"/>
    </w:rPr>
  </w:style>
  <w:style w:type="character" w:customStyle="1" w:styleId="AttributeTok">
    <w:name w:val="AttributeTok"/>
    <w:basedOn w:val="VerbatimChar"/>
    <w:rPr>
      <w:rFonts w:ascii="Times New Roman" w:hAnsi="Times New Roman"/>
    </w:rPr>
  </w:style>
  <w:style w:type="character" w:customStyle="1" w:styleId="RegionMarkerTok">
    <w:name w:val="RegionMarkerTok"/>
    <w:basedOn w:val="VerbatimChar"/>
    <w:rPr>
      <w:rFonts w:ascii="Times New Roman" w:hAnsi="Times New Roman"/>
    </w:rPr>
  </w:style>
  <w:style w:type="character" w:customStyle="1" w:styleId="InformationTok">
    <w:name w:val="InformationTok"/>
    <w:basedOn w:val="VerbatimChar"/>
    <w:rPr>
      <w:rFonts w:ascii="Times New Roman" w:hAnsi="Times New Roman"/>
      <w:b/>
      <w:i/>
    </w:rPr>
  </w:style>
  <w:style w:type="character" w:customStyle="1" w:styleId="WarningTok">
    <w:name w:val="WarningTok"/>
    <w:basedOn w:val="VerbatimChar"/>
    <w:rPr>
      <w:rFonts w:ascii="Times New Roman" w:hAnsi="Times New Roman"/>
      <w:b/>
      <w:i/>
    </w:rPr>
  </w:style>
  <w:style w:type="character" w:customStyle="1" w:styleId="AlertTok">
    <w:name w:val="AlertTok"/>
    <w:basedOn w:val="VerbatimChar"/>
    <w:rPr>
      <w:rFonts w:ascii="Times New Roman" w:hAnsi="Times New Roman"/>
      <w:b/>
    </w:rPr>
  </w:style>
  <w:style w:type="character" w:customStyle="1" w:styleId="ErrorTok">
    <w:name w:val="ErrorTok"/>
    <w:basedOn w:val="VerbatimChar"/>
    <w:rPr>
      <w:rFonts w:ascii="Times New Roman" w:hAnsi="Times New Roman"/>
      <w:b/>
    </w:rPr>
  </w:style>
  <w:style w:type="character" w:customStyle="1" w:styleId="NormalTok">
    <w:name w:val="NormalTok"/>
    <w:basedOn w:val="VerbatimChar"/>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 Id="rId12" Type="http://schemas.openxmlformats.org/officeDocument/2006/relationships/chart" Target="charts/chart4.xml"/><Relationship Id="rId13" Type="http://schemas.openxmlformats.org/officeDocument/2006/relationships/chart" Target="charts/chart5.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«Xalq banki»</c:v>
                </c:pt>
              </c:strCache>
            </c:strRef>
          </c:tx>
          <c:spPr>
            <a:ln w="28575">
              <a:solidFill>
                <a:srgbClr val="70AD47"/>
              </a:solidFill>
            </a:ln>
          </c:spPr>
          <c:marker>
            <c:symbol val="circle"/>
            <c:size val="7"/>
            <c:spPr>
              <a:solidFill>
                <a:srgbClr val="70AD47"/>
              </a:solidFill>
              <a:ln>
                <a:noFill/>
              </a:ln>
            </c:spPr>
          </c:marker>
          <c:dLbls>
            <c:dLbl>
              <c:idx val="0"/>
              <c:delete val="1"/>
            </c:dLbl>
            <c:dLbl>
              <c:idx val="1"/>
              <c:delete val="1"/>
            </c:dLbl>
            <c:dLbl>
              <c:idx val="2"/>
              <c:delete val="1"/>
            </c:dLbl>
            <c:dLbl>
              <c:idx val="3"/>
              <c:delete val="1"/>
            </c:dLbl>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2.66</c:v>
                </c:pt>
                <c:pt idx="1">
                  <c:v>2.71</c:v>
                </c:pt>
                <c:pt idx="2">
                  <c:v>2.96</c:v>
                </c:pt>
                <c:pt idx="3">
                  <c:v>3.2</c:v>
                </c:pt>
                <c:pt idx="4">
                  <c:v>3.38</c:v>
                </c:pt>
              </c:numCache>
            </c:numRef>
          </c:yVal>
          <c:smooth val="0"/>
        </c:ser>
        <c:ser>
          <c:idx val="1"/>
          <c:order val="1"/>
          <c:tx>
            <c:strRef>
              <c:f>Sheet1!$D$1</c:f>
              <c:strCache>
                <c:ptCount val="1"/>
                <c:pt idx="0">
                  <c:v>«Biznesni rivojlantirish banki»</c:v>
                </c:pt>
              </c:strCache>
            </c:strRef>
          </c:tx>
          <c:spPr>
            <a:ln w="28575">
              <a:solidFill>
                <a:srgbClr val="FFC000"/>
              </a:solidFill>
            </a:ln>
          </c:spPr>
          <c:marker>
            <c:symbol val="square"/>
            <c:size val="7"/>
            <c:spPr>
              <a:solidFill>
                <a:srgbClr val="FFC000"/>
              </a:solidFill>
              <a:ln>
                <a:noFill/>
              </a:ln>
            </c:spPr>
          </c:marker>
          <c:dLbls>
            <c:dLbl>
              <c:idx val="0"/>
              <c:delete val="1"/>
            </c:dLbl>
            <c:dLbl>
              <c:idx val="1"/>
              <c:delete val="1"/>
            </c:dLbl>
            <c:dLbl>
              <c:idx val="2"/>
              <c:delete val="1"/>
            </c:dLbl>
            <c:dLbl>
              <c:idx val="3"/>
              <c:delete val="1"/>
            </c:dLbl>
            <c:spPr>
              <a:noFill/>
              <a:ln>
                <a:noFill/>
              </a:ln>
            </c:spPr>
            <c:txPr>
              <a:bodyPr/>
              <a:lstStyle/>
              <a:p>
                <a:pPr>
                  <a:defRPr sz="1000" b="1">
                    <a:solidFill>
                      <a:srgbClr val="FFC000"/>
                    </a:solidFill>
                    <a:latin typeface="Times New Roman"/>
                    <a:cs typeface="Times New Roman"/>
                  </a:defRPr>
                </a:pPr>
                <a:endParaRPr lang="uz-Latn-UZ"/>
              </a:p>
            </c:txPr>
            <c:dLblPos val="t"/>
            <c:showLegendKey val="0"/>
            <c:showVal val="1"/>
            <c:showCatName val="0"/>
            <c:showSerName val="0"/>
            <c:showPercent val="0"/>
            <c:showBubbleSize val="0"/>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2.51</c:v>
                </c:pt>
                <c:pt idx="1">
                  <c:v>2.25</c:v>
                </c:pt>
                <c:pt idx="2">
                  <c:v>2.03</c:v>
                </c:pt>
                <c:pt idx="3">
                  <c:v>2.58</c:v>
                </c:pt>
                <c:pt idx="4">
                  <c:v>3.23</c:v>
                </c:pt>
              </c:numCache>
            </c:numRef>
          </c:yVal>
          <c:smooth val="0"/>
        </c:ser>
        <c:ser>
          <c:idx val="2"/>
          <c:order val="2"/>
          <c:tx>
            <c:strRef>
              <c:f>Sheet1!$F$1</c:f>
              <c:strCache>
                <c:ptCount val="1"/>
                <c:pt idx="0">
                  <c:v>«Ipoteka-bank»</c:v>
                </c:pt>
              </c:strCache>
            </c:strRef>
          </c:tx>
          <c:spPr>
            <a:ln w="28575">
              <a:solidFill>
                <a:srgbClr val="7030A0"/>
              </a:solidFill>
            </a:ln>
          </c:spPr>
          <c:marker>
            <c:symbol val="triangle"/>
            <c:size val="7"/>
            <c:spPr>
              <a:solidFill>
                <a:srgbClr val="7030A0"/>
              </a:solidFill>
              <a:ln>
                <a:noFill/>
              </a:ln>
            </c:spPr>
          </c:marker>
          <c:dLbls>
            <c:dLbl>
              <c:idx val="0"/>
              <c:delete val="1"/>
            </c:dLbl>
            <c:dLbl>
              <c:idx val="1"/>
              <c:delete val="1"/>
            </c:dLbl>
            <c:dLbl>
              <c:idx val="2"/>
              <c:delete val="1"/>
            </c:dLbl>
            <c:dLbl>
              <c:idx val="3"/>
              <c:delete val="1"/>
            </c:dLbl>
            <c:spPr>
              <a:noFill/>
              <a:ln>
                <a:noFill/>
              </a:ln>
            </c:spPr>
            <c:txPr>
              <a:bodyPr/>
              <a:lstStyle/>
              <a:p>
                <a:pPr>
                  <a:defRPr sz="1000" b="1">
                    <a:solidFill>
                      <a:srgbClr val="7030A0"/>
                    </a:solidFill>
                    <a:latin typeface="Times New Roman"/>
                    <a:cs typeface="Times New Roman"/>
                  </a:defRPr>
                </a:pPr>
                <a:endParaRPr lang="uz-Latn-UZ"/>
              </a:p>
            </c:txPr>
            <c:dLblPos val="t"/>
            <c:showLegendKey val="0"/>
            <c:showVal val="1"/>
            <c:showCatName val="0"/>
            <c:showSerName val="0"/>
            <c:showPercent val="0"/>
            <c:showBubbleSize val="0"/>
          </c:dLbls>
          <c:xVal>
            <c:numRef>
              <c:f>Sheet1!$E$2:$E$6</c:f>
              <c:numCache>
                <c:formatCode>General</c:formatCode>
                <c:ptCount val="5"/>
                <c:pt idx="0">
                  <c:v>2021</c:v>
                </c:pt>
                <c:pt idx="1">
                  <c:v>2022</c:v>
                </c:pt>
                <c:pt idx="2">
                  <c:v>2023</c:v>
                </c:pt>
                <c:pt idx="3">
                  <c:v>2024</c:v>
                </c:pt>
                <c:pt idx="4">
                  <c:v>2025</c:v>
                </c:pt>
              </c:numCache>
            </c:numRef>
          </c:xVal>
          <c:yVal>
            <c:numRef>
              <c:f>Sheet1!$F$2:$F$6</c:f>
              <c:numCache>
                <c:formatCode>General</c:formatCode>
                <c:ptCount val="5"/>
                <c:pt idx="0">
                  <c:v>3.32</c:v>
                </c:pt>
                <c:pt idx="1">
                  <c:v>3.37</c:v>
                </c:pt>
                <c:pt idx="2">
                  <c:v>2.69</c:v>
                </c:pt>
                <c:pt idx="3">
                  <c:v>3.13</c:v>
                </c:pt>
                <c:pt idx="4">
                  <c:v>3.11</c:v>
                </c:pt>
              </c:numCache>
            </c:numRef>
          </c:yVal>
          <c:smooth val="0"/>
        </c:ser>
        <c:ser>
          <c:idx val="3"/>
          <c:order val="3"/>
          <c:tx>
            <c:strRef>
              <c:f>Sheet1!$H$1</c:f>
              <c:strCache>
                <c:ptCount val="1"/>
                <c:pt idx="0">
                  <c:v>«O‘zsanoatqurilishbank»</c:v>
                </c:pt>
              </c:strCache>
            </c:strRef>
          </c:tx>
          <c:spPr>
            <a:ln w="28575">
              <a:solidFill>
                <a:srgbClr val="2A78D6"/>
              </a:solidFill>
            </a:ln>
          </c:spPr>
          <c:marker>
            <c:symbol val="diamond"/>
            <c:size val="7"/>
            <c:spPr>
              <a:solidFill>
                <a:srgbClr val="2A78D6"/>
              </a:solidFill>
              <a:ln>
                <a:noFill/>
              </a:ln>
            </c:spPr>
          </c:marker>
          <c:dLbls>
            <c:dLbl>
              <c:idx val="0"/>
              <c:delete val="1"/>
            </c:dLbl>
            <c:dLbl>
              <c:idx val="1"/>
              <c:delete val="1"/>
            </c:dLbl>
            <c:dLbl>
              <c:idx val="2"/>
              <c:delete val="1"/>
            </c:dLbl>
            <c:dLbl>
              <c:idx val="3"/>
              <c:delete val="1"/>
            </c:dLbl>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s>
          <c:xVal>
            <c:numRef>
              <c:f>Sheet1!$G$2:$G$6</c:f>
              <c:numCache>
                <c:formatCode>General</c:formatCode>
                <c:ptCount val="5"/>
                <c:pt idx="0">
                  <c:v>2021</c:v>
                </c:pt>
                <c:pt idx="1">
                  <c:v>2022</c:v>
                </c:pt>
                <c:pt idx="2">
                  <c:v>2023</c:v>
                </c:pt>
                <c:pt idx="3">
                  <c:v>2024</c:v>
                </c:pt>
                <c:pt idx="4">
                  <c:v>2025</c:v>
                </c:pt>
              </c:numCache>
            </c:numRef>
          </c:xVal>
          <c:yVal>
            <c:numRef>
              <c:f>Sheet1!$H$2:$H$6</c:f>
              <c:numCache>
                <c:formatCode>General</c:formatCode>
                <c:ptCount val="5"/>
                <c:pt idx="0">
                  <c:v>2.93</c:v>
                </c:pt>
                <c:pt idx="1">
                  <c:v>2.82</c:v>
                </c:pt>
                <c:pt idx="2">
                  <c:v>2.91</c:v>
                </c:pt>
                <c:pt idx="3">
                  <c:v>2.75</c:v>
                </c:pt>
                <c:pt idx="4">
                  <c:v>2.83</c:v>
                </c:pt>
              </c:numCache>
            </c:numRef>
          </c:yVal>
          <c:smooth val="0"/>
        </c:ser>
        <c:ser>
          <c:idx val="4"/>
          <c:order val="4"/>
          <c:tx>
            <c:strRef>
              <c:f>Sheet1!$J$1</c:f>
              <c:strCache>
                <c:ptCount val="1"/>
                <c:pt idx="0">
                  <c:v>«Mikrokreditbank»</c:v>
                </c:pt>
              </c:strCache>
            </c:strRef>
          </c:tx>
          <c:spPr>
            <a:ln w="28575">
              <a:solidFill>
                <a:srgbClr val="EB6834"/>
              </a:solidFill>
            </a:ln>
          </c:spPr>
          <c:marker>
            <c:symbol val="x"/>
            <c:size val="7"/>
            <c:spPr>
              <a:solidFill>
                <a:srgbClr val="EB6834"/>
              </a:solidFill>
              <a:ln>
                <a:noFill/>
              </a:ln>
            </c:spPr>
          </c:marker>
          <c:dLbls>
            <c:dLbl>
              <c:idx val="0"/>
              <c:delete val="1"/>
            </c:dLbl>
            <c:dLbl>
              <c:idx val="1"/>
              <c:delete val="1"/>
            </c:dLbl>
            <c:dLbl>
              <c:idx val="2"/>
              <c:delete val="1"/>
            </c:dLbl>
            <c:dLbl>
              <c:idx val="3"/>
              <c:delete val="1"/>
            </c:dLbl>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xVal>
            <c:numRef>
              <c:f>Sheet1!$I$2:$I$6</c:f>
              <c:numCache>
                <c:formatCode>General</c:formatCode>
                <c:ptCount val="5"/>
                <c:pt idx="0">
                  <c:v>2021</c:v>
                </c:pt>
                <c:pt idx="1">
                  <c:v>2022</c:v>
                </c:pt>
                <c:pt idx="2">
                  <c:v>2023</c:v>
                </c:pt>
                <c:pt idx="3">
                  <c:v>2024</c:v>
                </c:pt>
                <c:pt idx="4">
                  <c:v>2025</c:v>
                </c:pt>
              </c:numCache>
            </c:numRef>
          </c:xVal>
          <c:yVal>
            <c:numRef>
              <c:f>Sheet1!$J$2:$J$6</c:f>
              <c:numCache>
                <c:formatCode>General</c:formatCode>
                <c:ptCount val="5"/>
                <c:pt idx="0">
                  <c:v>2.2</c:v>
                </c:pt>
                <c:pt idx="1">
                  <c:v>2.31</c:v>
                </c:pt>
                <c:pt idx="2">
                  <c:v>2.22</c:v>
                </c:pt>
                <c:pt idx="3">
                  <c:v>2.24</c:v>
                </c:pt>
                <c:pt idx="4">
                  <c:v>2.47</c:v>
                </c:pt>
              </c:numCache>
            </c:numRef>
          </c:yVal>
          <c:smooth val="0"/>
        </c:ser>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3.5"/>
          <c:min val="1.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«Xalq banki»</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Sheet1!$B$2:$B$6</c:f>
              <c:numCache>
                <c:formatCode>General</c:formatCode>
                <c:ptCount val="5"/>
                <c:pt idx="0">
                  <c:v>4.0</c:v>
                </c:pt>
                <c:pt idx="1">
                  <c:v>3.62</c:v>
                </c:pt>
                <c:pt idx="2">
                  <c:v>1.5</c:v>
                </c:pt>
                <c:pt idx="3">
                  <c:v>3.98</c:v>
                </c:pt>
                <c:pt idx="4">
                  <c:v>4.0</c:v>
                </c:pt>
              </c:numCache>
            </c:numRef>
          </c:val>
        </c:ser>
        <c:ser>
          <c:idx val="1"/>
          <c:order val="1"/>
          <c:tx>
            <c:strRef>
              <c:f>Sheet1!$C$1</c:f>
              <c:strCache>
                <c:ptCount val="1"/>
                <c:pt idx="0">
                  <c:v>«Biznesni rivojlantirish banki»</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Sheet1!$C$2:$C$6</c:f>
              <c:numCache>
                <c:formatCode>General</c:formatCode>
                <c:ptCount val="5"/>
                <c:pt idx="0">
                  <c:v>3.87</c:v>
                </c:pt>
                <c:pt idx="1">
                  <c:v>3.15</c:v>
                </c:pt>
                <c:pt idx="2">
                  <c:v>2.3</c:v>
                </c:pt>
                <c:pt idx="3">
                  <c:v>3.05</c:v>
                </c:pt>
                <c:pt idx="4">
                  <c:v>3.96</c:v>
                </c:pt>
              </c:numCache>
            </c:numRef>
          </c:val>
        </c:ser>
        <c:ser>
          <c:idx val="2"/>
          <c:order val="2"/>
          <c:tx>
            <c:strRef>
              <c:f>Sheet1!$D$1</c:f>
              <c:strCache>
                <c:ptCount val="1"/>
                <c:pt idx="0">
                  <c:v>«Ipoteka-bank»</c:v>
                </c:pt>
              </c:strCache>
            </c:strRef>
          </c:tx>
          <c:spPr>
            <a:solidFill>
              <a:srgbClr val="7030A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Sheet1!$D$2:$D$6</c:f>
              <c:numCache>
                <c:formatCode>General</c:formatCode>
                <c:ptCount val="5"/>
                <c:pt idx="0">
                  <c:v>4.0</c:v>
                </c:pt>
                <c:pt idx="1">
                  <c:v>2.43</c:v>
                </c:pt>
                <c:pt idx="2">
                  <c:v>1.96</c:v>
                </c:pt>
                <c:pt idx="3">
                  <c:v>3.94</c:v>
                </c:pt>
                <c:pt idx="4">
                  <c:v>4.0</c:v>
                </c:pt>
              </c:numCache>
            </c:numRef>
          </c:val>
        </c:ser>
        <c:ser>
          <c:idx val="3"/>
          <c:order val="3"/>
          <c:tx>
            <c:strRef>
              <c:f>Sheet1!$E$1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Sheet1!$E$2:$E$6</c:f>
              <c:numCache>
                <c:formatCode>General</c:formatCode>
                <c:ptCount val="5"/>
                <c:pt idx="0">
                  <c:v>3.82</c:v>
                </c:pt>
                <c:pt idx="1">
                  <c:v>2.28</c:v>
                </c:pt>
                <c:pt idx="2">
                  <c:v>2.33</c:v>
                </c:pt>
                <c:pt idx="3">
                  <c:v>3.83</c:v>
                </c:pt>
                <c:pt idx="4">
                  <c:v>1.45</c:v>
                </c:pt>
              </c:numCache>
            </c:numRef>
          </c:val>
        </c:ser>
        <c:ser>
          <c:idx val="4"/>
          <c:order val="4"/>
          <c:tx>
            <c:strRef>
              <c:f>Sheet1!$F$1</c:f>
              <c:strCache>
                <c:ptCount val="1"/>
                <c:pt idx="0">
                  <c:v>«Mikrokreditbank»</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Sheet1!$F$2:$F$6</c:f>
              <c:numCache>
                <c:formatCode>General</c:formatCode>
                <c:ptCount val="5"/>
                <c:pt idx="0">
                  <c:v>4.0</c:v>
                </c:pt>
                <c:pt idx="1">
                  <c:v>1.53</c:v>
                </c:pt>
                <c:pt idx="2">
                  <c:v>2.05</c:v>
                </c:pt>
                <c:pt idx="3">
                  <c:v>1.33</c:v>
                </c:pt>
                <c:pt idx="4">
                  <c:v>4.0</c:v>
                </c:pt>
              </c:numCache>
            </c:numRef>
          </c:val>
        </c:ser>
        <c:gapWidth val="4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Amaldagi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Xalq banki</c:v>
                </c:pt>
                <c:pt idx="1">
                  <c:v>BRB</c:v>
                </c:pt>
                <c:pt idx="2">
                  <c:v>Ipoteka-bank</c:v>
                </c:pt>
                <c:pt idx="3">
                  <c:v>SQB</c:v>
                </c:pt>
                <c:pt idx="4">
                  <c:v>MKB</c:v>
                </c:pt>
              </c:strCache>
            </c:strRef>
          </c:cat>
          <c:val>
            <c:numRef>
              <c:f>Sheet1!$B$2:$B$6</c:f>
              <c:numCache>
                <c:formatCode>General</c:formatCode>
                <c:ptCount val="5"/>
                <c:pt idx="0">
                  <c:v>3.38</c:v>
                </c:pt>
                <c:pt idx="1">
                  <c:v>3.23</c:v>
                </c:pt>
                <c:pt idx="2">
                  <c:v>3.11</c:v>
                </c:pt>
                <c:pt idx="3">
                  <c:v>2.83</c:v>
                </c:pt>
                <c:pt idx="4">
                  <c:v>2.47</c:v>
                </c:pt>
              </c:numCache>
            </c:numRef>
          </c:val>
        </c:ser>
        <c:ser>
          <c:idx val="1"/>
          <c:order val="1"/>
          <c:tx>
            <c:strRef>
              <c:f>Sheet1!$C$1</c:f>
              <c:strCache>
                <c:ptCount val="1"/>
                <c:pt idx="0">
                  <c:v>Davlat ko‘magisiz</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Xalq banki</c:v>
                </c:pt>
                <c:pt idx="1">
                  <c:v>BRB</c:v>
                </c:pt>
                <c:pt idx="2">
                  <c:v>Ipoteka-bank</c:v>
                </c:pt>
                <c:pt idx="3">
                  <c:v>SQB</c:v>
                </c:pt>
                <c:pt idx="4">
                  <c:v>MKB</c:v>
                </c:pt>
              </c:strCache>
            </c:strRef>
          </c:cat>
          <c:val>
            <c:numRef>
              <c:f>Sheet1!$C$2:$C$6</c:f>
              <c:numCache>
                <c:formatCode>General</c:formatCode>
                <c:ptCount val="5"/>
                <c:pt idx="0">
                  <c:v>3.23</c:v>
                </c:pt>
                <c:pt idx="1">
                  <c:v>2.51</c:v>
                </c:pt>
                <c:pt idx="2">
                  <c:v>3.11</c:v>
                </c:pt>
                <c:pt idx="3">
                  <c:v>2.82</c:v>
                </c:pt>
                <c:pt idx="4">
                  <c:v>1.72</c:v>
                </c:pt>
              </c:numCache>
            </c:numRef>
          </c:val>
        </c:ser>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SQB: milliy</c:v>
                </c:pt>
              </c:strCache>
            </c:strRef>
          </c:tx>
          <c:spPr>
            <a:ln w="28575">
              <a:solidFill>
                <a:srgbClr val="9DC3E6"/>
              </a:solidFill>
              <a:prstDash val="dash"/>
            </a:ln>
          </c:spPr>
          <c:marker>
            <c:symbol val="circle"/>
            <c:size val="7"/>
            <c:spPr>
              <a:solidFill>
                <a:srgbClr val="9DC3E6"/>
              </a:solidFill>
              <a:ln>
                <a:noFill/>
              </a:ln>
            </c:spPr>
          </c:marker>
          <c:dLbls>
            <c:spPr>
              <a:noFill/>
              <a:ln>
                <a:noFill/>
              </a:ln>
            </c:spPr>
            <c:txPr>
              <a:bodyPr/>
              <a:lstStyle/>
              <a:p>
                <a:pPr>
                  <a:defRPr sz="1000" b="1">
                    <a:solidFill>
                      <a:srgbClr val="9DC3E6"/>
                    </a:solidFill>
                    <a:latin typeface="Times New Roman"/>
                    <a:cs typeface="Times New Roman"/>
                  </a:defRPr>
                </a:pPr>
                <a:endParaRPr lang="uz-Latn-UZ"/>
              </a:p>
            </c:txPr>
            <c:dLblPos val="t"/>
            <c:showLegendKey val="0"/>
            <c:showVal val="1"/>
            <c:showCatName val="0"/>
            <c:showSerName val="0"/>
            <c:showPercent val="0"/>
            <c:showBubbleSize val="0"/>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3.4</c:v>
                </c:pt>
                <c:pt idx="1">
                  <c:v>3.27</c:v>
                </c:pt>
                <c:pt idx="2">
                  <c:v>3.28</c:v>
                </c:pt>
                <c:pt idx="3">
                  <c:v>3.33</c:v>
                </c:pt>
                <c:pt idx="4">
                  <c:v>3.4</c:v>
                </c:pt>
              </c:numCache>
            </c:numRef>
          </c:yVal>
          <c:smooth val="0"/>
        </c:ser>
        <c:ser>
          <c:idx val="1"/>
          <c:order val="1"/>
          <c:tx>
            <c:strRef>
              <c:f>Sheet1!$D$1</c:f>
              <c:strCache>
                <c:ptCount val="1"/>
                <c:pt idx="0">
                  <c:v>SQB: MHXS</c:v>
                </c:pt>
              </c:strCache>
            </c:strRef>
          </c:tx>
          <c:spPr>
            <a:ln w="28575">
              <a:solidFill>
                <a:srgbClr val="1F4E79"/>
              </a:solidFill>
            </a:ln>
          </c:spPr>
          <c:marker>
            <c:symbol val="circle"/>
            <c:size val="7"/>
            <c:spPr>
              <a:solidFill>
                <a:srgbClr val="1F4E79"/>
              </a:solidFill>
              <a:ln>
                <a:noFill/>
              </a:ln>
            </c:spPr>
          </c:marker>
          <c:dLbls>
            <c:spPr>
              <a:noFill/>
              <a:ln>
                <a:noFill/>
              </a:ln>
            </c:spPr>
            <c:txPr>
              <a:bodyPr/>
              <a:lstStyle/>
              <a:p>
                <a:pPr>
                  <a:defRPr sz="1000" b="1">
                    <a:solidFill>
                      <a:srgbClr val="1F4E79"/>
                    </a:solidFill>
                    <a:latin typeface="Times New Roman"/>
                    <a:cs typeface="Times New Roman"/>
                  </a:defRPr>
                </a:pPr>
                <a:endParaRPr lang="uz-Latn-UZ"/>
              </a:p>
            </c:txPr>
            <c:dLblPos val="t"/>
            <c:showLegendKey val="0"/>
            <c:showVal val="1"/>
            <c:showCatName val="0"/>
            <c:showSerName val="0"/>
            <c:showPercent val="0"/>
            <c:showBubbleSize val="0"/>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3.02</c:v>
                </c:pt>
                <c:pt idx="1">
                  <c:v>2.94</c:v>
                </c:pt>
                <c:pt idx="2">
                  <c:v>3.05</c:v>
                </c:pt>
                <c:pt idx="3">
                  <c:v>2.95</c:v>
                </c:pt>
                <c:pt idx="4">
                  <c:v>2.94</c:v>
                </c:pt>
              </c:numCache>
            </c:numRef>
          </c:yVal>
          <c:smooth val="0"/>
        </c:ser>
        <c:ser>
          <c:idx val="2"/>
          <c:order val="2"/>
          <c:tx>
            <c:strRef>
              <c:f>Sheet1!$F$1</c:f>
              <c:strCache>
                <c:ptCount val="1"/>
                <c:pt idx="0">
                  <c:v>MKB: milliy</c:v>
                </c:pt>
              </c:strCache>
            </c:strRef>
          </c:tx>
          <c:spPr>
            <a:ln w="28575">
              <a:solidFill>
                <a:srgbClr val="F4B183"/>
              </a:solidFill>
              <a:prstDash val="dash"/>
            </a:ln>
          </c:spPr>
          <c:marker>
            <c:symbol val="square"/>
            <c:size val="7"/>
            <c:spPr>
              <a:solidFill>
                <a:srgbClr val="F4B183"/>
              </a:solidFill>
              <a:ln>
                <a:noFill/>
              </a:ln>
            </c:spPr>
          </c:marker>
          <c:dLbls>
            <c:spPr>
              <a:noFill/>
              <a:ln>
                <a:noFill/>
              </a:ln>
            </c:spPr>
            <c:txPr>
              <a:bodyPr/>
              <a:lstStyle/>
              <a:p>
                <a:pPr>
                  <a:defRPr sz="1000" b="1">
                    <a:solidFill>
                      <a:srgbClr val="F4B183"/>
                    </a:solidFill>
                    <a:latin typeface="Times New Roman"/>
                    <a:cs typeface="Times New Roman"/>
                  </a:defRPr>
                </a:pPr>
                <a:endParaRPr lang="uz-Latn-UZ"/>
              </a:p>
            </c:txPr>
            <c:dLblPos val="t"/>
            <c:showLegendKey val="0"/>
            <c:showVal val="1"/>
            <c:showCatName val="0"/>
            <c:showSerName val="0"/>
            <c:showPercent val="0"/>
            <c:showBubbleSize val="0"/>
          </c:dLbls>
          <c:xVal>
            <c:numRef>
              <c:f>Sheet1!$E$2:$E$6</c:f>
              <c:numCache>
                <c:formatCode>General</c:formatCode>
                <c:ptCount val="5"/>
                <c:pt idx="0">
                  <c:v>2021</c:v>
                </c:pt>
                <c:pt idx="1">
                  <c:v>2022</c:v>
                </c:pt>
                <c:pt idx="2">
                  <c:v>2023</c:v>
                </c:pt>
                <c:pt idx="3">
                  <c:v>2024</c:v>
                </c:pt>
                <c:pt idx="4">
                  <c:v>2025</c:v>
                </c:pt>
              </c:numCache>
            </c:numRef>
          </c:xVal>
          <c:yVal>
            <c:numRef>
              <c:f>Sheet1!$F$2:$F$6</c:f>
              <c:numCache>
                <c:formatCode>General</c:formatCode>
                <c:ptCount val="5"/>
                <c:pt idx="0">
                  <c:v>3.08</c:v>
                </c:pt>
                <c:pt idx="1">
                  <c:v>3.05</c:v>
                </c:pt>
                <c:pt idx="2">
                  <c:v>2.81</c:v>
                </c:pt>
                <c:pt idx="3">
                  <c:v>2.99</c:v>
                </c:pt>
                <c:pt idx="4">
                  <c:v>3.27</c:v>
                </c:pt>
              </c:numCache>
            </c:numRef>
          </c:yVal>
          <c:smooth val="0"/>
        </c:ser>
        <c:ser>
          <c:idx val="3"/>
          <c:order val="3"/>
          <c:tx>
            <c:strRef>
              <c:f>Sheet1!$H$1</c:f>
              <c:strCache>
                <c:ptCount val="1"/>
                <c:pt idx="0">
                  <c:v>MKB: MHXS</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xVal>
            <c:numRef>
              <c:f>Sheet1!$G$2:$G$6</c:f>
              <c:numCache>
                <c:formatCode>General</c:formatCode>
                <c:ptCount val="5"/>
                <c:pt idx="0">
                  <c:v>2021</c:v>
                </c:pt>
                <c:pt idx="1">
                  <c:v>2022</c:v>
                </c:pt>
                <c:pt idx="2">
                  <c:v>2023</c:v>
                </c:pt>
                <c:pt idx="3">
                  <c:v>2024</c:v>
                </c:pt>
                <c:pt idx="4">
                  <c:v>2025</c:v>
                </c:pt>
              </c:numCache>
            </c:numRef>
          </c:xVal>
          <c:yVal>
            <c:numRef>
              <c:f>Sheet1!$H$2:$H$6</c:f>
              <c:numCache>
                <c:formatCode>General</c:formatCode>
                <c:ptCount val="5"/>
                <c:pt idx="0">
                  <c:v>2.51</c:v>
                </c:pt>
                <c:pt idx="1">
                  <c:v>2.59</c:v>
                </c:pt>
                <c:pt idx="2">
                  <c:v>2.41</c:v>
                </c:pt>
                <c:pt idx="3">
                  <c:v>2.47</c:v>
                </c:pt>
                <c:pt idx="4">
                  <c:v>2.62</c:v>
                </c:pt>
              </c:numCache>
            </c:numRef>
          </c:yVal>
          <c:smooth val="0"/>
        </c:ser>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3.5"/>
          <c:min val="2.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Davlat ulushi mavjud banklar</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2022</c:v>
                </c:pt>
                <c:pt idx="1">
                  <c:v>2023</c:v>
                </c:pt>
                <c:pt idx="2">
                  <c:v>2024</c:v>
                </c:pt>
                <c:pt idx="3">
                  <c:v>2025</c:v>
                </c:pt>
              </c:strCache>
            </c:strRef>
          </c:cat>
          <c:val>
            <c:numRef>
              <c:f>Sheet1!$B$2:$B$5</c:f>
              <c:numCache>
                <c:formatCode>General</c:formatCode>
                <c:ptCount val="4"/>
                <c:pt idx="0">
                  <c:v>4.4</c:v>
                </c:pt>
                <c:pt idx="1">
                  <c:v>8.1</c:v>
                </c:pt>
                <c:pt idx="2">
                  <c:v>-0.5</c:v>
                </c:pt>
                <c:pt idx="3">
                  <c:v>7.6</c:v>
                </c:pt>
              </c:numCache>
            </c:numRef>
          </c:val>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2022</c:v>
                </c:pt>
                <c:pt idx="1">
                  <c:v>2023</c:v>
                </c:pt>
                <c:pt idx="2">
                  <c:v>2024</c:v>
                </c:pt>
                <c:pt idx="3">
                  <c:v>2025</c:v>
                </c:pt>
              </c:strCache>
            </c:strRef>
          </c:cat>
          <c:val>
            <c:numRef>
              <c:f>Sheet1!$C$2:$C$5</c:f>
              <c:numCache>
                <c:formatCode>General</c:formatCode>
                <c:ptCount val="4"/>
                <c:pt idx="0">
                  <c:v>27.3</c:v>
                </c:pt>
                <c:pt idx="1">
                  <c:v>27.7</c:v>
                </c:pt>
                <c:pt idx="2">
                  <c:v>19.2</c:v>
                </c:pt>
                <c:pt idx="3">
                  <c:v>20.3</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30"/>
          <c:min val="-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2026-10-11T13:48:15Z</dcterms:created>
  <dcterms:modified xsi:type="dcterms:W3CDTF">2026-10-11T13:48:15Z</dcterms:modified>
</cp:coreProperties>
</file>

<file path=docProps/custom.xml><?xml version="1.0" encoding="utf-8"?>
<Properties xmlns="http://schemas.openxmlformats.org/officeDocument/2006/custom-properties" xmlns:vt="http://schemas.openxmlformats.org/officeDocument/2006/docPropsVTypes"/>
</file>