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11.xml" ContentType="application/vnd.openxmlformats-officedocument.drawingml.chart+xml"/>
  <Override PartName="/word/charts/chart312.xml" ContentType="application/vnd.openxmlformats-officedocument.drawingml.chart+xml"/>
  <Override PartName="/word/charts/chart32.xml" ContentType="application/vnd.openxmlformats-officedocument.drawingml.chart+xml"/>
  <Override PartName="/word/charts/chart321.xml" ContentType="application/vnd.openxmlformats-officedocument.drawingml.chart+xml"/>
  <Override PartName="/word/charts/chart322.xml" ContentType="application/vnd.openxmlformats-officedocument.drawingml.chart+xml"/>
  <Override PartName="/word/charts/chart323.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jc w:val="both"/>
      </w:pPr>
      <w:r>
        <w:rPr>
          <w:b/>
          <w:sz w:val="26"/>
        </w:rPr>
        <w:t>KIRISH</w:t>
      </w:r>
      <w:r>
        <w:rPr>
          <w:b/>
          <w:sz w:val="26"/>
        </w:rPr>
        <w:tab/>
        <w:t>3</w:t>
      </w:r>
    </w:p>
    <w:p w:rsidR="005603EC" w:rsidRDefault="00AB61AC">
      <w:pPr>
        <w:tabs>
          <w:tab w:val="right" w:leader="dot" w:pos="9354"/>
        </w:tabs>
        <w:spacing w:after="80" w:line="240" w:lineRule="auto"/>
        <w:jc w:val="both"/>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jc w:val="both"/>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jc w:val="both"/>
      </w:pPr>
      <w:r>
        <w:rPr>
          <w:sz w:val="26"/>
        </w:rPr>
        <w:t>1.2-§. Banklar moliyaviy barqarorligini baholashning xalqaro standartlari va metodologik yondashuvlari</w:t>
      </w:r>
      <w:r>
        <w:rPr>
          <w:sz w:val="26"/>
        </w:rPr>
        <w:tab/>
        <w:t>38</w:t>
      </w:r>
    </w:p>
    <w:p w:rsidR="005603EC" w:rsidRDefault="00AB61AC">
      <w:pPr>
        <w:tabs>
          <w:tab w:val="right" w:leader="dot" w:pos="9354"/>
        </w:tabs>
        <w:spacing w:after="80" w:line="240" w:lineRule="auto"/>
        <w:ind w:left="454"/>
        <w:jc w:val="both"/>
      </w:pPr>
      <w:r>
        <w:rPr>
          <w:sz w:val="26"/>
        </w:rPr>
        <w:t>1.3-§. Xorijiy mamlakatlarda banklar moliyaviy barqarorligini tartibga solish va baholash tajribasi</w:t>
      </w:r>
      <w:r>
        <w:rPr>
          <w:sz w:val="26"/>
        </w:rPr>
        <w:tab/>
        <w:t>56</w:t>
      </w:r>
    </w:p>
    <w:p w:rsidR="005603EC" w:rsidRDefault="00AB61AC">
      <w:pPr>
        <w:tabs>
          <w:tab w:val="right" w:leader="dot" w:pos="9354"/>
        </w:tabs>
        <w:spacing w:after="80" w:line="240" w:lineRule="auto"/>
        <w:ind w:left="454"/>
        <w:jc w:val="both"/>
      </w:pPr>
      <w:r>
        <w:rPr>
          <w:sz w:val="26"/>
        </w:rPr>
        <w:t>I bob bo‘yicha xulosalar</w:t>
      </w:r>
      <w:r>
        <w:rPr>
          <w:sz w:val="26"/>
        </w:rPr>
        <w:tab/>
        <w:t>79</w:t>
      </w:r>
    </w:p>
    <w:p w:rsidR="005603EC" w:rsidRDefault="00AB61AC">
      <w:pPr>
        <w:tabs>
          <w:tab w:val="right" w:leader="dot" w:pos="9354"/>
        </w:tabs>
        <w:spacing w:after="80" w:line="240" w:lineRule="auto"/>
        <w:jc w:val="both"/>
      </w:pPr>
      <w:r>
        <w:rPr>
          <w:b/>
          <w:sz w:val="26"/>
        </w:rPr>
        <w:t>II BOB. O‘ZBEKISTON BANK TIZIMIDA MOLIYAVIY BARQARORLIKNI BAHOLASH AMALIYOTINING XALQARO STANDARTLARGA MUVOFIQLIGI TAHLILI</w:t>
      </w:r>
      <w:r>
        <w:rPr>
          <w:b/>
          <w:sz w:val="26"/>
        </w:rPr>
        <w:tab/>
        <w:t>82</w:t>
      </w:r>
    </w:p>
    <w:p w:rsidR="005603EC" w:rsidRDefault="00AB61AC">
      <w:pPr>
        <w:tabs>
          <w:tab w:val="right" w:leader="dot" w:pos="9354"/>
        </w:tabs>
        <w:spacing w:after="80" w:line="240" w:lineRule="auto"/>
        <w:ind w:left="454"/>
        <w:jc w:val="both"/>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82</w:t>
      </w:r>
    </w:p>
    <w:p w:rsidR="005603EC" w:rsidRDefault="00AB61AC">
      <w:pPr>
        <w:tabs>
          <w:tab w:val="right" w:leader="dot" w:pos="9354"/>
        </w:tabs>
        <w:spacing w:after="80" w:line="240" w:lineRule="auto"/>
        <w:ind w:left="454"/>
        <w:jc w:val="both"/>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94</w:t>
      </w:r>
    </w:p>
    <w:p w:rsidR="005603EC" w:rsidRDefault="00AB61AC">
      <w:pPr>
        <w:tabs>
          <w:tab w:val="right" w:leader="dot" w:pos="9354"/>
        </w:tabs>
        <w:spacing w:after="80" w:line="240" w:lineRule="auto"/>
        <w:ind w:left="454"/>
        <w:jc w:val="both"/>
      </w:pPr>
      <w:r>
        <w:rPr>
          <w:sz w:val="26"/>
        </w:rPr>
        <w:t>2.3-§. Tijorat banklari moliyaviy ko‘rsatkichlarining milliy va MHXS hisobotlari bo‘yicha qiyosiy tahlili</w:t>
      </w:r>
      <w:r>
        <w:rPr>
          <w:sz w:val="26"/>
        </w:rPr>
        <w:tab/>
        <w:t>111</w:t>
      </w:r>
    </w:p>
    <w:p w:rsidR="005603EC" w:rsidRDefault="00AB61AC">
      <w:pPr>
        <w:tabs>
          <w:tab w:val="right" w:leader="dot" w:pos="9354"/>
        </w:tabs>
        <w:spacing w:after="80" w:line="240" w:lineRule="auto"/>
        <w:ind w:left="454"/>
        <w:jc w:val="both"/>
      </w:pPr>
      <w:r>
        <w:rPr>
          <w:sz w:val="26"/>
        </w:rPr>
        <w:t>II bob bo‘yicha xulosalar</w:t>
      </w:r>
      <w:r>
        <w:rPr>
          <w:sz w:val="26"/>
        </w:rPr>
        <w:tab/>
        <w:t>134</w:t>
      </w:r>
    </w:p>
    <w:p w:rsidR="005603EC" w:rsidRDefault="00AB61AC">
      <w:pPr>
        <w:tabs>
          <w:tab w:val="right" w:leader="dot" w:pos="9354"/>
        </w:tabs>
        <w:spacing w:after="80" w:line="240" w:lineRule="auto"/>
        <w:jc w:val="both"/>
      </w:pPr>
      <w:r>
        <w:rPr>
          <w:b/>
          <w:sz w:val="26"/>
        </w:rPr>
        <w:t>III BOB. XALQARO STANDARTLARGA ASOSLANGAN INTEGRAL BAHOLASH METODIKASI VA UNING EKONOMETRIK ASOSLANISHI</w:t>
      </w:r>
      <w:r>
        <w:rPr>
          <w:b/>
          <w:sz w:val="26"/>
        </w:rPr>
        <w:tab/>
        <w:t>137</w:t>
      </w:r>
    </w:p>
    <w:p w:rsidR="005603EC" w:rsidRDefault="00AB61AC">
      <w:pPr>
        <w:tabs>
          <w:tab w:val="right" w:leader="dot" w:pos="9354"/>
        </w:tabs>
        <w:spacing w:after="80" w:line="240" w:lineRule="auto"/>
        <w:ind w:left="454"/>
        <w:jc w:val="both"/>
      </w:pPr>
      <w:r>
        <w:rPr>
          <w:sz w:val="26"/>
        </w:rPr>
        <w:t>3.1-§. Moliyaviy barqarorlikni integral indeks asosida baholashning takomillashtirilgan metodikasi</w:t>
      </w:r>
      <w:r>
        <w:rPr>
          <w:sz w:val="26"/>
        </w:rPr>
        <w:tab/>
        <w:t>137</w:t>
      </w:r>
    </w:p>
    <w:p w:rsidR="005603EC" w:rsidRDefault="00AB61AC">
      <w:pPr>
        <w:tabs>
          <w:tab w:val="right" w:leader="dot" w:pos="9354"/>
        </w:tabs>
        <w:spacing w:after="80" w:line="240" w:lineRule="auto"/>
        <w:ind w:left="454"/>
        <w:jc w:val="both"/>
      </w:pPr>
      <w:r>
        <w:rPr>
          <w:sz w:val="26"/>
        </w:rPr>
        <w:t>3.2-§. Moliyaviy barqarorlik integral indeksining vaznlari va chegaraviy qiymatlarini empirik asoslash</w:t>
      </w:r>
      <w:r>
        <w:rPr>
          <w:sz w:val="26"/>
        </w:rPr>
        <w:tab/>
        <w:t>157</w:t>
      </w:r>
    </w:p>
    <w:p w:rsidR="005603EC" w:rsidRDefault="00AB61AC">
      <w:pPr>
        <w:tabs>
          <w:tab w:val="right" w:leader="dot" w:pos="9354"/>
        </w:tabs>
        <w:spacing w:after="80" w:line="240" w:lineRule="auto"/>
        <w:ind w:left="454"/>
        <w:jc w:val="both"/>
      </w:pPr>
      <w:r>
        <w:rPr>
          <w:sz w:val="26"/>
        </w:rPr>
        <w:t>3.3-§. Tijorat banklari moliyaviy barqarorligiga ta’sir etuvchi omillarning ekonometrik tahlili</w:t>
      </w:r>
      <w:r>
        <w:rPr>
          <w:sz w:val="26"/>
        </w:rPr>
        <w:tab/>
        <w:t>170</w:t>
      </w:r>
    </w:p>
    <w:p w:rsidR="005603EC" w:rsidRDefault="00AB61AC">
      <w:pPr>
        <w:tabs>
          <w:tab w:val="right" w:leader="dot" w:pos="9354"/>
        </w:tabs>
        <w:spacing w:after="80" w:line="240" w:lineRule="auto"/>
        <w:ind w:left="454"/>
        <w:jc w:val="both"/>
      </w:pPr>
      <w:r>
        <w:rPr>
          <w:sz w:val="26"/>
        </w:rPr>
        <w:t>III bob bo‘yicha xulosalar</w:t>
      </w:r>
      <w:r>
        <w:rPr>
          <w:sz w:val="26"/>
        </w:rPr>
        <w:tab/>
        <w:t>189</w:t>
      </w:r>
    </w:p>
    <w:p w:rsidR="005603EC" w:rsidRDefault="00AB61AC">
      <w:pPr>
        <w:tabs>
          <w:tab w:val="right" w:leader="dot" w:pos="9354"/>
        </w:tabs>
        <w:spacing w:after="80" w:line="240" w:lineRule="auto"/>
        <w:jc w:val="both"/>
      </w:pPr>
      <w:r>
        <w:rPr>
          <w:b/>
          <w:sz w:val="26"/>
        </w:rPr>
        <w:t>IV BOB. TIJORAT BANKLARI MOLIYAVIY BARQARORLIGINI BAHOLASH METODOLOGIYASINI TAKOMILLASHTIRISH YO‘NALISHLARI</w:t>
      </w:r>
      <w:r>
        <w:rPr>
          <w:b/>
          <w:sz w:val="26"/>
        </w:rPr>
        <w:tab/>
        <w:t>192</w:t>
      </w:r>
    </w:p>
    <w:p w:rsidR="005603EC" w:rsidRDefault="00AB61AC">
      <w:pPr>
        <w:tabs>
          <w:tab w:val="right" w:leader="dot" w:pos="9354"/>
        </w:tabs>
        <w:spacing w:after="80" w:line="240" w:lineRule="auto"/>
        <w:ind w:left="454"/>
        <w:jc w:val="both"/>
      </w:pPr>
      <w:r>
        <w:rPr>
          <w:sz w:val="26"/>
        </w:rPr>
        <w:t>4.1-§. Banklar moliyaviy barqarorligini erta ogohlantirish tizimini shakllantirish</w:t>
      </w:r>
      <w:r>
        <w:rPr>
          <w:sz w:val="26"/>
        </w:rPr>
        <w:tab/>
        <w:t>192</w:t>
      </w:r>
    </w:p>
    <w:p w:rsidR="005603EC" w:rsidRDefault="00AB61AC">
      <w:pPr>
        <w:tabs>
          <w:tab w:val="right" w:leader="dot" w:pos="9354"/>
        </w:tabs>
        <w:spacing w:after="80" w:line="240" w:lineRule="auto"/>
        <w:ind w:left="454"/>
        <w:jc w:val="both"/>
      </w:pPr>
      <w:r>
        <w:rPr>
          <w:sz w:val="26"/>
        </w:rPr>
        <w:t>4.2-§. Tijorat banklari moliyaviy barqarorligining 2026–2028-yillarga prognozi</w:t>
      </w:r>
      <w:r>
        <w:rPr>
          <w:sz w:val="26"/>
        </w:rPr>
        <w:tab/>
        <w:t>208</w:t>
      </w:r>
    </w:p>
    <w:p w:rsidR="005603EC" w:rsidRDefault="00AB61AC">
      <w:pPr>
        <w:tabs>
          <w:tab w:val="right" w:leader="dot" w:pos="9354"/>
        </w:tabs>
        <w:spacing w:after="80" w:line="240" w:lineRule="auto"/>
        <w:ind w:left="454"/>
        <w:jc w:val="both"/>
      </w:pPr>
      <w:r>
        <w:rPr>
          <w:sz w:val="26"/>
        </w:rPr>
        <w:t>4.3-§. Tijorat banklari moliyaviy barqarorligini baholash tizimini xalqaro standartlarga muvofiqlashtirishning asosiy yo‘nalishlari</w:t>
      </w:r>
      <w:r>
        <w:rPr>
          <w:sz w:val="26"/>
        </w:rPr>
        <w:tab/>
        <w:t>225</w:t>
      </w:r>
    </w:p>
    <w:p w:rsidR="005603EC" w:rsidRDefault="00AB61AC">
      <w:pPr>
        <w:tabs>
          <w:tab w:val="right" w:leader="dot" w:pos="9354"/>
        </w:tabs>
        <w:spacing w:after="80" w:line="240" w:lineRule="auto"/>
        <w:ind w:left="454"/>
        <w:jc w:val="both"/>
      </w:pPr>
      <w:r>
        <w:rPr>
          <w:sz w:val="26"/>
        </w:rPr>
        <w:t>IV bob bo‘yicha xulosalar</w:t>
      </w:r>
      <w:r>
        <w:rPr>
          <w:sz w:val="26"/>
        </w:rPr>
        <w:tab/>
        <w:t>239</w:t>
      </w:r>
    </w:p>
    <w:p w:rsidR="005603EC" w:rsidRDefault="00AB61AC">
      <w:pPr>
        <w:tabs>
          <w:tab w:val="right" w:leader="dot" w:pos="9354"/>
        </w:tabs>
        <w:spacing w:after="80" w:line="240" w:lineRule="auto"/>
        <w:jc w:val="both"/>
      </w:pPr>
      <w:r>
        <w:rPr>
          <w:b/>
          <w:sz w:val="26"/>
        </w:rPr>
        <w:t>XULOSA</w:t>
      </w:r>
      <w:r>
        <w:rPr>
          <w:b/>
          <w:sz w:val="26"/>
        </w:rPr>
        <w:tab/>
        <w:t>242</w:t>
      </w:r>
    </w:p>
    <w:p w:rsidR="005603EC" w:rsidRDefault="00AB61AC">
      <w:pPr>
        <w:tabs>
          <w:tab w:val="right" w:leader="dot" w:pos="9354"/>
        </w:tabs>
        <w:spacing w:after="80" w:line="240" w:lineRule="auto"/>
        <w:jc w:val="both"/>
      </w:pPr>
      <w:r>
        <w:rPr>
          <w:b/>
          <w:sz w:val="26"/>
        </w:rPr>
        <w:t>FOYDALANILGAN ADABIYOTLAR RO‘YXATI</w:t>
      </w:r>
      <w:r>
        <w:rPr>
          <w:b/>
          <w:sz w:val="26"/>
        </w:rPr>
        <w:tab/>
        <w:t>248</w:t>
      </w:r>
    </w:p>
    <w:p w:rsidR="005603EC" w:rsidRDefault="00AB61AC">
      <w:pPr>
        <w:tabs>
          <w:tab w:val="right" w:leader="dot" w:pos="9354"/>
        </w:tabs>
        <w:spacing w:after="80" w:line="240" w:lineRule="auto"/>
        <w:jc w:val="both"/>
      </w:pPr>
      <w:r>
        <w:rPr>
          <w:b/>
          <w:sz w:val="26"/>
        </w:rPr>
        <w:t>ILOVALAR</w:t>
      </w:r>
      <w:r>
        <w:rPr>
          <w:b/>
          <w:sz w:val="26"/>
        </w:rPr>
        <w:tab/>
        <w:t>269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xml:space="preserve">. Bunday sharoitda bank nazorati amaliyotida moliyaviy barqarorlikni Bazel III kapital va likvidlik standartlari, Moliyaviy hisobotning xalqaro standartlari (MHXS) 9 ning </w:t>
      </w:r>
      <w:r>
        <w:rPr/>
        <w:t xml:space="preserve">kutilgan kredit zarar</w:t>
      </w:r>
      <w:r>
        <w:t xml:space="preserve">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w:t>
      </w:r>
      <w:r>
        <w:rPr/>
        <w:t xml:space="preserve">jadal o‘sdi. Xususan, 2026-yil</w:t>
      </w:r>
      <w:r>
        <w:t xml:space="preserve">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w:t>
      </w:r>
      <w:r>
        <w:rPr/>
        <w:t xml:space="preserve">ham buni tasdiqlaydi. Jumladan, 2025-yil yakunida</w:t>
      </w:r>
      <w:r>
        <w:t xml:space="preserve"> “O‘zsanoatqurilishbank” ATB da milliy hisobot bo‘yicha muammoli kreditlar ulushi 2,5 foiz bo‘lgan bo‘lsa, MHXS 9 bo‘yicha qadrsizlangan kreditlar ulushi 7,5 foizni, “Mikrokreditbank” ATB da esa mos ravishda 4,4 va 12,3 foizni </w:t>
      </w:r>
      <w:r>
        <w:lastRenderedPageBreak/>
      </w:r>
      <w:r>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r>
      <w:r>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xml:space="preserve">; yirik moliya </w:t>
      </w:r>
      <w:r>
        <w:rPr/>
        <w:t xml:space="preserve">institutlarining</w:t>
      </w:r>
      <w:r>
        <w:t xml:space="preserve">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r>
      <w:r>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w:t>
      </w:r>
      <w:r>
        <w:rPr/>
        <w:t xml:space="preserve">kutilgan kredit zarar</w:t>
      </w:r>
      <w:r>
        <w:t xml:space="preserve">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t xml:space="preserve">ning</w:t>
      </w:r>
      <w:r>
        <w:t xml:space="preserve"> MHXS hisobotlari asosida integral indeks bo‘yicha reyting</w:t>
      </w:r>
      <w:r>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 xml:space="preserve">25 ta tijorat banki bo‘yicha 2021–2025-yillardagi choraklik panel ma’lumotlari asosida </w:t>
      </w:r>
      <w:r>
        <w:rPr/>
        <w:t xml:space="preserve">davlat banklarining integral indeksi boshqa banklarnikidan o‘rtacha 0,69</w:t>
      </w:r>
      <w:r>
        <w:t xml:space="preserve">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r>
      <w:r>
        <w:t xml:space="preserve">2026–2028-yillarga shartli ssenariy prognozi asosida 2020-yildagi kabi keskin iqtisodiy shok takrorlangan taqdirda 2027-yilda </w:t>
      </w:r>
      <w:r>
        <w:rPr/>
        <w:t xml:space="preserve">tanlangan banklar</w:t>
      </w:r>
      <w:r>
        <w:t xml:space="preserve">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w:t>
      </w:r>
      <w:r>
        <w:rPr/>
        <w:t xml:space="preserve">taklifidan</w:t>
      </w:r>
      <w:r>
        <w:t xml:space="preserve">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 xml:space="preserve">likvidlikni qoplash me’yorini Bazel III ga muvofiqlashtirish maqsadida boshqa banklardagi muddatli depozitlarni yuqori likvidli aktivlar tarkibidan chiqarish va majburiyatlar bo‘yicha tabaqalashtirilgan chiqish koeffitsiyentlarini qo‘llash </w:t>
      </w:r>
      <w:r>
        <w:rPr/>
        <w:t xml:space="preserve">taklifidan</w:t>
      </w:r>
      <w:r>
        <w:t xml:space="preserve">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 xml:space="preserve">“yashirin kredit riski koeffitsiyenti” yordamida milliy hisobot asosidagi muammoli kreditlar ko‘rsatkichini MHXS 9 darajasiga keltirib, integral indeksning aktivlar sifati blokini tuzatish </w:t>
      </w:r>
      <w:r>
        <w:rPr/>
        <w:t xml:space="preserve">taklifidan</w:t>
      </w:r>
      <w:r>
        <w:t xml:space="preserve">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 xml:space="preserve">moliyaviy barqarorlik integral indeksi va uning chegaraviy qiymatlari </w:t>
      </w:r>
      <w:r>
        <w:rPr/>
        <w:t xml:space="preserve">taklifidan</w:t>
      </w:r>
      <w:r>
        <w:t xml:space="preserve">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r>
      <w:r>
        <w:t xml:space="preserve">integral indeksga asoslangan uch zonali erta ogohlantirish tizimi va uni stress-test natijalari bilan bog‘lash </w:t>
      </w:r>
      <w:r>
        <w:rPr/>
        <w:t xml:space="preserve">taklifidan</w:t>
      </w:r>
      <w:r>
        <w:t xml:space="preserve">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244 betni</w:t>
      </w:r>
      <w:r>
        <w:t xml:space="preserve"> tashkil etadi, unda 60 dan ortiq jadval va rasm keltirilgan, </w:t>
      </w:r>
      <w:r>
        <w:rPr/>
        <w:t xml:space="preserve">foydalanilgan adabiyotlar ro‘yxati </w:t>
      </w:r>
      <w:r>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 xml:space="preserve">Biroq “moliyaviy barqarorlik” tushunchasi iqtisodiy adabiyotda ham, me’yoriy hujjatlarda ham hali yagona talqinga ega emas. </w:t>
      </w:r>
      <w:r>
        <w:rPr/>
        <w:t xml:space="preserve">Ayrim</w:t>
      </w:r>
      <w:r>
        <w:t xml:space="preserve">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r>
      <w:r>
        <w:t xml:space="preserve">maqsadga muvofiq. Rus iqtisodiy maktabida bu masalaga alohida e’tibor berilgan. O.I. Lavrushin va I.D. Mamonova G.G. Fetisov yondashuviga tayanib, “barqarorlik” va “stabillik” tushunchalarini </w:t>
      </w:r>
      <w:r>
        <w:rPr/>
        <w:t xml:space="preserve">qat’iy ajratadi. Ularning fikricha, stabillik – statika</w:t>
      </w:r>
      <w:r>
        <w:t xml:space="preserve">,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r>
      <w:r>
        <w:t xml:space="preserve">kelgusidagi beqarorlik manbaiga aylanadi. </w:t>
      </w:r>
      <w:r>
        <w:rPr/>
        <w:t xml:space="preserve">Demak, moliyaviy barqarorlik bu tushunchalarning yig‘indisi emas, balki ularning o‘zaro uyg‘unligi natijasida yuzaga keladigan sifat holatidir. Rasmda, shuningdek, moliyaviy holat muayyan sanadagi statik baho sifatida, rivojlanish esa barqarorlikning dinamik mazmuni sifatida ko‘rsatilgan.</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Ta’rifning asosiy mazmuni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Urg‘u berilgan jihat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O.I. Lavrushin, I.D. Mamonova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Bankning o‘z moliyasini va boshqa </w:t>
            </w: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lar moliyasini kengaytirilgan asosda takror ishlab chiqarishi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Resurslarning o‘sishi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O.I. Lavrushin (tahr.)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Ijtimoiy funksiya va institutsional yondashuv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G.J.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tizimining resurslarni samarali taqsimlash, risklarni baholash va boshqarish hamda shoklarni yutish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Funksiyalarni bajarish va shoklarga chidamlilik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 Mishkin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oqimining uzilishi natijasida moliya tizimi mablag‘larni samarali yo‘naltira olmay qoladigan holatning yo‘qligi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J.M. Hendrickson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moliya institutlari tashqi yordamsiz foydalanuvchilarda yuqori ishonch uyg‘otadigan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Ishonch va mustaqillik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A.V. Thakor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Sog‘lom tizim inqirozdan butunlay himoyalangan tizim emas; unda alohida banklar davlat yordamisiz bankrot bo‘lishi mumkin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sog‘lomlik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G.G. Fetisov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Muvozanat va majburiyatlarni bajarish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Larionova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tizimi stabilligi – ichki va tashqi ta’sirlarga qarshi turish, vaqt davomida barqaror muvozanat va ishonchlilikni saqlash qobiliyati; barqarorlik – undan torroq, statik tushuncha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Stabillik: muvozanat va ishonchlilik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Houben, J. Kakes, G.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 samarali taqsimlash, risklarni boshqarish va shoklarni yutish qobiliyati ko‘p o‘lchovli “barqarorlik yo‘lagi” doirasida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Mezoniy chegaralar (yo‘lak)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 Sattarov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Dinamika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I.G. Sadikov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va bozor mavqei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 Madaminov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Endogen va ekzogen shoklarni yutib, faoliyatni to‘xtatmasdan muvozanatni tiklash salohiyatini aks ettiruvchi dinamik xususiyat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Shoklarga bardoshlilik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 Sharipova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xml:space="preserve">. </w:t>
      </w:r>
      <w:r>
        <w:rPr/>
        <w:t xml:space="preserve">I.V. Larionova esa bank tizimi stabilligini ichki va tashqi ta’sirlarga qarshi turish, vaqt davomida barqaror muvozanat va ishonchlilikni saqlash qobiliyati sifatida ta’riflab, barqarorlikni undan torroq, muayyan sanadagi statik tushuncha deb hisoblaydi</w:t>
      </w:r>
      <w:r>
        <w:rPr>
          <w:rStyle w:val="aff8"/>
        </w:rPr>
        <w:footnoteReference w:id="60"/>
      </w:r>
      <w:r>
        <w:rPr/>
        <w:t xml:space="preserve">. V.V. Ivanov</w:t>
      </w:r>
      <w:r>
        <w:t xml:space="preserve"> </w:t>
      </w:r>
      <w:r>
        <w:rPr/>
        <w:t xml:space="preserve">uni bank</w:t>
      </w:r>
      <w:r>
        <w:t xml:space="preserve"> faoliyatining o‘rta va uzoq muddatli istiqboldagi barqarorligi sifatida ta’riflaydi</w:t>
      </w:r>
      <w:r>
        <w:rPr>
          <w:rStyle w:val="aff8"/>
        </w:rPr>
        <w:footnoteReference w:id="61"/>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2"/>
      </w:r>
      <w:r>
        <w:t xml:space="preserve">. Bu fikr </w:t>
      </w:r>
      <w:r>
        <w:rPr/>
        <w:t xml:space="preserve">muhim xulosaga olib keladi. Unga ko‘ra, me’yoriy ko‘rsatkichlar</w:t>
      </w:r>
      <w:r>
        <w:t xml:space="preserve"> </w:t>
      </w:r>
      <w:r>
        <w:lastRenderedPageBreak/>
      </w:r>
      <w:r>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3"/>
      </w:r>
      <w:r>
        <w:t>. F.S. Mishkin esa beqarorlikdan kelib chiqib, uni axborot oqimining keskin uzilishi natijasida moliya tizimi mablag‘larni eng samarali investitsiya imkoniyatlariga yo‘naltira olmay qoladigan holat sifatida izohlaydi</w:t>
      </w:r>
      <w:r>
        <w:rPr>
          <w:rStyle w:val="aff8"/>
        </w:rPr>
        <w:footnoteReference w:id="64"/>
      </w:r>
      <w:r>
        <w:t xml:space="preserve">. J.M. Hendrickson ta’rifida esa asosiy o‘rinni ishonch egallaydi</w:t>
      </w:r>
      <w:r>
        <w:rPr/>
        <w:t xml:space="preserve">. M</w:t>
      </w:r>
      <w:r>
        <w:t xml:space="preserve">uallif fikricha, beqarorlikning kaliti iste’molchilar ishonchining kutilmaganda keskin yo‘qolishidir. U yana bir </w:t>
      </w:r>
      <w:r>
        <w:rPr/>
        <w:t xml:space="preserve">muhim fikrni ilgari suradi. Uning ta’kidlashicha, bank inqirozi</w:t>
      </w:r>
      <w:r>
        <w:t xml:space="preserve"> har doim moliyaviy beqarorlikka olib keladi, biroq moliyaviy beqarorlik bank inqirozisiz ham yuzaga kelishi mumkin</w:t>
      </w:r>
      <w:r>
        <w:rPr>
          <w:rStyle w:val="aff8"/>
        </w:rPr>
        <w:footnoteReference w:id="65"/>
      </w:r>
      <w:r>
        <w:t>.</w:t>
      </w:r>
    </w:p>
    <w:p w:rsidR="005603EC" w:rsidRDefault="00AB61AC">
      <w:pPr>
        <w:pStyle w:val="af"/>
        <w:spacing w:after="0" w:line="360" w:lineRule="auto"/>
        <w:ind w:firstLine="709"/>
        <w:jc w:val="both"/>
      </w:pPr>
      <w: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w:t>
      </w:r>
      <w:r>
        <w:rPr/>
        <w:t xml:space="preserve">ko‘rsatadi. Masalan, foiz spredlari</w:t>
      </w:r>
      <w:r>
        <w:t xml:space="preserve"> tebranuvchanligi va bank tizimi kapitalining ayrim kombinatsiyalari barqarorlikka mos keladi, boshqalari esa bu yo‘lakdan tashqarida bo‘ladi</w:t>
      </w:r>
      <w:r>
        <w:rPr>
          <w:rStyle w:val="aff8"/>
        </w:rPr>
        <w:footnoteReference w:id="66"/>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7"/>
      </w:r>
      <w:r>
        <w:t xml:space="preserve">. M. Čihák </w:t>
      </w:r>
      <w:r>
        <w:lastRenderedPageBreak/>
      </w:r>
      <w:r>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8"/>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9"/>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70"/>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1"/>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2"/>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3"/>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4"/>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r>
      <w:r>
        <w:t xml:space="preserve">kutilmagan shoklar va bozor tebranishlari yuzaga kelganda zararlarni yutib, o‘z holatini tiklay olish qobiliyati. Uchinchisi – funksional mezon, ya’ni stress sharoitida ham iqtisodiyotni kreditlash va to‘lovlarni amalga oshirish funksiyalarini yo‘qotmaslik. </w:t>
      </w:r>
      <w:r>
        <w:rPr/>
        <w:t xml:space="preserve">A. Crockett ham</w:t>
      </w:r>
      <w:r>
        <w:t xml:space="preserve">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5"/>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6"/>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r>
      <w:r>
        <w:t xml:space="preserve">esa uni o‘lchash imkoniyatini ko‘rsatadi. </w:t>
      </w:r>
      <w:r>
        <w:rPr/>
        <w:t xml:space="preserve">Rasmning quyi qismida esa ushbu yondashuvlarning sintezi – daraja, dinamika va muvozanatni birlashtiruvchi integral yondashuv ko‘rsatilgan bo‘lib, u tadqiqotda ishlab chiqilgan baholash metodikasiga asos qilib olindi. Ta’kidlash lozimki, aynan to‘rtinchi yondashuv Bazel qo‘mitasi</w:t>
      </w:r>
      <w:r>
        <w:t xml:space="preserve"> standartlari va Xalqaro valyuta jamg‘armasining moliyaviy barqarorlik ko‘rsatkichlari tizimiga asos bo‘lgan. Biroq u ham alohida olinganda </w:t>
      </w:r>
      <w:r>
        <w:rPr/>
        <w:t xml:space="preserve">yetarli emas, chunki kapital va likvidlik</w:t>
      </w:r>
      <w:r>
        <w:t xml:space="preserve">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7"/>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8"/>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9"/>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80"/>
      </w:r>
      <w:r>
        <w:t xml:space="preserve">. E’tiborli jihati shundaki, mualliflar inqirozdan keyingi bir martalik o‘sishni barqarorlik belgisi deb hisoblamaydi, keskin o‘sishni esa xavfli deb biladi. </w:t>
      </w:r>
      <w:r>
        <w:rPr/>
        <w:t xml:space="preserve">Bu fikrning baholash metodikasi uchun ahamiyati shundaki, ko‘rsatkichning</w:t>
      </w:r>
      <w:r>
        <w:t xml:space="preserve">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1"/>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2"/>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3"/>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4"/>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5"/>
      </w:r>
      <w:r>
        <w:rPr/>
        <w:t xml:space="preserve">, foiz stavkasi riski esa </w:t>
      </w:r>
      <w:r>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6"/>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7"/>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8"/>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9"/>
      </w:r>
      <w:r>
        <w:t>. Ana shu nazariy asosda moliyaviy barqarorlikni tushuntiruvchi bir nechta konseptual modellar shakllangan.</w:t>
      </w:r>
    </w:p>
    <w:p w:rsidR="005603EC" w:rsidRDefault="00AB61AC">
      <w:pPr>
        <w:pStyle w:val="af"/>
        <w:spacing w:after="0" w:line="360" w:lineRule="auto"/>
        <w:ind w:firstLine="709"/>
        <w:jc w:val="both"/>
      </w:pPr>
      <w: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w:t>
      </w:r>
      <w:r>
        <w:rPr/>
        <w:t xml:space="preserve">bankni zaif qiladi, chunki omonatchilar</w:t>
      </w:r>
      <w:r>
        <w:t xml:space="preserve"> boshqalar mablag‘ini qaytarib olishidan qo‘rqsa, bank sog‘lom bo‘lgan taqdirda ham ommaviy mablag‘ talab qilish yuz berishi mumkin</w:t>
      </w:r>
      <w:r>
        <w:rPr>
          <w:rStyle w:val="aff8"/>
        </w:rPr>
        <w:footnoteReference w:id="90"/>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1"/>
      </w:r>
      <w:r>
        <w:t xml:space="preserve">. </w:t>
      </w:r>
      <w:r>
        <w:rPr/>
        <w:t xml:space="preserve">Ushbu model likvidlik va moliyalashtirish barqarorligini</w:t>
      </w:r>
      <w:r>
        <w:t xml:space="preserve">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w:t>
      </w:r>
      <w:r>
        <w:rPr/>
        <w:t xml:space="preserve">H.P. Minskyning</w:t>
      </w:r>
      <w:r>
        <w:t xml:space="preserve"> moliyaviy beqarorlik gipotezasi. Unga ko‘ra, iqtisodiy barqarorlikning uzoq davom etishi o‘z-o‘zidan </w:t>
      </w:r>
      <w:r>
        <w:rPr/>
        <w:t xml:space="preserve">beqarorlikni keltirib chiqaradi. Buning sababi shundaki, muvaffaqiyatli yillar</w:t>
      </w:r>
      <w:r>
        <w:t xml:space="preserve"> bank va qarz oluvchilarning riskka moyilligini oshiradi, natijada moliyalashtirish tuzilmasi daromadi qarz va foizlarni to‘liq qoplaydigan “himoyalangan” moliyalashtirishdan faqat foizlarni qoplaydigan </w:t>
      </w:r>
      <w:r>
        <w:lastRenderedPageBreak/>
      </w:r>
      <w:r>
        <w:t>“spekulyativ” va hatto foizlarni ham yangi qarz hisobidan to‘laydigan “Ponzi” moliyalashtirishiga siljiydi</w:t>
      </w:r>
      <w:r>
        <w:rPr>
          <w:rStyle w:val="aff8"/>
        </w:rPr>
        <w:footnoteReference w:id="92"/>
      </w:r>
      <w:r>
        <w:t xml:space="preserve">. J.M. Hendrickson ham bank inqirozining to‘rt elementi sifatida tashqi shok va optimizmni, </w:t>
      </w:r>
      <w:r>
        <w:rPr/>
        <w:t xml:space="preserve">Minsky ta’riflagan</w:t>
      </w:r>
      <w:r>
        <w:t xml:space="preserve"> kredit kengayishini, ishonchning yo‘qolishini va banklarning ommaviy inqiroziga o‘tishni ko‘rsatadi</w:t>
      </w:r>
      <w:r>
        <w:rPr>
          <w:rStyle w:val="aff8"/>
        </w:rPr>
        <w:footnoteReference w:id="93"/>
      </w:r>
      <w:r>
        <w:t xml:space="preserve">. A.V. Thakor esa bu jarayonni yanada </w:t>
      </w:r>
      <w:r>
        <w:rPr/>
        <w:t xml:space="preserve">aniqroq ifodalaydi. Uning fikricha, uzoq muvaffaqiyat</w:t>
      </w:r>
      <w:r>
        <w:t xml:space="preserve"> bankirlar mahoratiga bo‘lgan ishonchni oshiradi, shok kelganda esa moliyalashtirish to‘xtaydi va “likvidlik inqiroziga o‘xshagan, aslida to‘lov qobiliyati inqirozi” yuzaga keladi</w:t>
      </w:r>
      <w:r>
        <w:rPr>
          <w:rStyle w:val="aff8"/>
        </w:rPr>
        <w:footnoteReference w:id="94"/>
      </w:r>
      <w:r>
        <w:t xml:space="preserve">. </w:t>
      </w:r>
      <w:r>
        <w:rPr/>
        <w:t xml:space="preserve">Minsky</w:t>
      </w:r>
      <w:r>
        <w:t xml:space="preserve">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5"/>
      </w:r>
      <w:r>
        <w:t xml:space="preserve">. Ushbu mantiqni R. Merton tomonidan ishlab chiqilgan tarkibiy model </w:t>
      </w:r>
      <w:r>
        <w:rPr/>
        <w:t xml:space="preserve">miqdoriy shaklga keltiradi. Unga ko‘ra, kompaniya aktivlarining</w:t>
      </w:r>
      <w:r>
        <w:t xml:space="preserve"> qiymati majburiyatlardan pastga tushganda defolt yuz beradi, demak, defoltgacha bo‘lgan masofa kapital zaxirasi va aktivlar qiymatining o‘zgaruvchanligiga bog‘liq</w:t>
      </w:r>
      <w:r>
        <w:rPr>
          <w:rStyle w:val="aff8"/>
        </w:rPr>
        <w:footnoteReference w:id="96"/>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7"/>
      </w:r>
      <w:r>
        <w:t xml:space="preserve">, bank faoliyatiga J.H. Boyd va S.L. Graham tomonidan </w:t>
      </w:r>
      <w:r>
        <w:lastRenderedPageBreak/>
      </w:r>
      <w:r>
        <w:t>tatbiq etilgan</w:t>
      </w:r>
      <w:r>
        <w:rPr>
          <w:rStyle w:val="aff8"/>
        </w:rPr>
        <w:footnoteReference w:id="98"/>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9"/>
      </w:r>
    </w:p>
    <w:p w:rsidR="005603EC" w:rsidRDefault="00AB61AC">
      <w:pPr>
        <w:pStyle w:val="af"/>
        <w:spacing w:after="0" w:line="360" w:lineRule="auto"/>
        <w:ind w:firstLine="709"/>
        <w:jc w:val="both"/>
      </w:pPr>
      <w:r>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100"/>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 xml:space="preserve">Beshinchi guruh modellar alohida bankdan butun tizimga o‘tadi. C. Borio makroprudensial yondashuvni asoslab, tizimli riskning ikki o‘lchovini ajratgan: vaqt o‘lchovida risk moliyaviy </w:t>
      </w:r>
      <w:r>
        <w:rPr/>
        <w:t xml:space="preserve">sikl</w:t>
      </w:r>
      <w:r>
        <w:t xml:space="preserve"> davomida to‘planib boradi (prosiklik), kesim o‘lchovida esa banklarning o‘zaro bog‘liqligi va bir xil risklarga duch kelishi orqali yuzaga keladi</w:t>
      </w:r>
      <w:r>
        <w:rPr>
          <w:rStyle w:val="aff8"/>
        </w:rPr>
        <w:footnoteReference w:id="101"/>
      </w:r>
      <w:r>
        <w:t>. Keyinchalik bu yondashuv asosida T. Adrian va M. Brunnermeier taklif etgan CoVaR kabi bozor ma’lumotlariga asoslangan tizimli risk ko‘rsatkichlari ishlab chiqildi</w:t>
      </w:r>
      <w:r>
        <w:rPr>
          <w:rStyle w:val="aff8"/>
        </w:rPr>
        <w:footnoteReference w:id="102"/>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3"/>
      </w:r>
      <w: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w:t>
      </w:r>
      <w:r>
        <w:rPr/>
        <w:t xml:space="preserve">cheklanganligini ko‘rsatdi. Ma’lum bo‘ldiki, har bir bank</w:t>
      </w:r>
      <w:r>
        <w:t xml:space="preserve">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w:t>
      </w:r>
      <w:r>
        <w:rPr/>
        <w:t xml:space="preserve">siklning</w:t>
      </w:r>
      <w:r>
        <w:t xml:space="preserve">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r>
      <w:r>
        <w:t xml:space="preserve">davr hisobotlari bo‘yicha baholangan bo‘lsa, Bazel III standartlari va Moliyaviy hisobotning xalqaro standartlari (MHXS) 9 bu yondashuvni tubdan o‘zgartirdi. Xususan, MHXS 9 da zarar yuz bergandan keyin zaxira yaratish o‘rniga kredit berilgan kundanoq </w:t>
      </w:r>
      <w:r>
        <w:rPr/>
        <w:t xml:space="preserve">kutilgan kredit zarar</w:t>
      </w:r>
      <w:r>
        <w:t xml:space="preserve">larini baholab, ular uchun oldindan zaxira shakllantirish talab qilinadi</w:t>
      </w:r>
      <w:r>
        <w:rPr>
          <w:rStyle w:val="aff8"/>
        </w:rPr>
        <w:footnoteReference w:id="104"/>
      </w:r>
      <w:r>
        <w:t xml:space="preserve">. Stress-testlar ham xuddi shu </w:t>
      </w:r>
      <w:r>
        <w:rPr/>
        <w:t xml:space="preserve">mantiqqa asoslanadi, ya’ni ular bankning</w:t>
      </w:r>
      <w:r>
        <w:t xml:space="preserve">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Model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g‘oyasi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ko‘rsatkichi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yaratish va ommaviy mablag‘ talab qilish modeli (Diamond–Dybvig, Diamond–Rajan)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Muddatlar transformatsiyasi bankni ishonch yo‘qolishiga zaif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 aktivlar, barqaror moliyalashtirish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moliyalashtirish alohida blok sifatida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Moliyaviy beqarorlik gipotezasi (Minsky)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barqarorlik riskka moyillikni oshiradi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qarz yuki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Ko‘rsatkichlarning dinamikasi va kredit o‘sishi kuzatiladi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Kapital-bufer va tarkibiy model (Tarullo, Merton)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defoltgacha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zaxirasi regulyativ minimumga nisbatan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Z-score modeli (Roy, Boyd–Graham)</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To‘lovga qobiliyatsizlikkacha bo‘lgan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Kapital/aktivlar, ROA va uning o‘zgaruvchanligi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Buxgalteriya ma’lumotlari asosida integral baho va bashorat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Makroprudensial modellar (Borio, Adrian–Brunnermeier)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vaqt va kesim o‘lchovida to‘planadi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gepi, CoVaR, o‘zaro bog‘liqlik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 baholash uyg‘unlashtiriladi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risk modeli (Bazel III,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Zararlar yuz berishidan oldin baholanadi va qoplanadi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stress-test natijalari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Baholashga prognoz va stress elementlari kiritiladi</w:t>
            </w:r>
          </w:p>
        </w:tc>
      </w:tr>
    </w:tbl>
    <w:p w:rsidR="005603EC" w:rsidRDefault="00AB61AC">
      <w:pPr>
        <w:pStyle w:val="af"/>
        <w:spacing w:after="0" w:line="360" w:lineRule="auto"/>
        <w:ind w:firstLine="709"/>
        <w:jc w:val="both"/>
      </w:pPr>
      <w:r>
        <w:t xml:space="preserve">Jadvaldan ko‘rinib turibdiki, har bir model moliyaviy barqarorlikning muayyan bir tomonini tushuntiradi va shunga mos ravishda baholash metodikasiga o‘z talabini qo‘yadi. Likvidlik modeli likvidlik blokini, kapital-bufer modeli kapital blokini, </w:t>
      </w:r>
      <w:r>
        <w:rPr/>
        <w:t xml:space="preserve">Minsky gipotezasi dinamik tahlilni</w:t>
      </w:r>
      <w:r>
        <w:t xml:space="preserve">,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spacing w:after="0" w:line="360" w:lineRule="auto"/>
        <w:ind w:firstLine="709"/>
        <w:jc w:val="both"/>
      </w:pPr>
      <w: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w:t>
      </w:r>
      <w:r>
        <w:rPr/>
        <w:t xml:space="preserve">barqarorlikni, bir tomondan,</w:t>
      </w:r>
      <w:r>
        <w:t xml:space="preserve"> miqdoriy o‘lchanadigan, ikkinchi </w:t>
      </w:r>
      <w:r>
        <w:rPr/>
        <w:t xml:space="preserve">tomondan,</w:t>
      </w:r>
      <w:r>
        <w:t xml:space="preserve">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6"/>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r>
      <w:r>
        <w:t xml:space="preserve">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w:t>
      </w:r>
      <w:r>
        <w:rPr/>
        <w:t xml:space="preserve">Bu,</w:t>
      </w:r>
      <w:r>
        <w:t xml:space="preserve">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w:t>
      </w:r>
      <w:r>
        <w:rPr/>
        <w:t xml:space="preserve">ko‘rsatkichlar</w:t>
      </w:r>
      <w:r>
        <w:t xml:space="preserve">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7"/>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8"/>
      </w:r>
      <w:r>
        <w:t>. T.F. Cargill esa banklar orqali bilvosita moliyalashni G. Akerlofning “limonlar” muammosiga bozorning o‘zi topgan yechim sifatida baholaydi</w:t>
      </w:r>
      <w:r>
        <w:rPr>
          <w:rStyle w:val="aff8"/>
        </w:rPr>
        <w:footnoteReference w:id="109"/>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10"/>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1"/>
      </w:r>
      <w:r>
        <w:t xml:space="preserve">. Bu qoida baholash metodikasi uchun </w:t>
      </w:r>
      <w:r>
        <w:rPr/>
        <w:t xml:space="preserve">muhim xulosa beradi. Ya’ni kapital ko‘rsatkichini</w:t>
      </w:r>
      <w:r>
        <w:t xml:space="preserve"> baholashda regulyativ minimumning bajarilishi yetarli emas, bank minimumdan qanchalik yuqori zaxiraga ega ekani ham hisobga olinishi lozim. Nihoyat, bank inqirozining xarajati bankning o‘zi bilan cheklanmaydi</w:t>
      </w:r>
      <w:r>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2"/>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Nazariy asos</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391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aktivlari sifatini tashqaridan aniqlash qiyin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 shartnomasining zaifligi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Ishonch yo‘qolsa, ommaviy mablag‘ talab qilish yuz berishi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bufer funksiyasi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 ammo uning narxi bor</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 tashqi ta’sir</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Bitta bank inqirozi butun tizimga tarqalishi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4"/>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5"/>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6"/>
      </w:r>
      <w:r>
        <w:t>, A.M. Karminskiyning ekonometrik modellarida esa kapitalning aktivlarga nisbati va kreditlar ulushi bank barqarorligiga optimal oraliq orqali ta’sir qilishi aniqlangan</w:t>
      </w:r>
      <w:r>
        <w:rPr>
          <w:rStyle w:val="aff8"/>
        </w:rPr>
        <w:footnoteReference w:id="117"/>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8"/>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9"/>
      </w:r>
      <w:r>
        <w:t xml:space="preserve">. T.M. Karaliyev va I.F. Sayfiddinov O‘zbekistonda qo‘llanadigan CAMEL tizimida qiyosiy baholash yo‘qligini va aktivlar hamda likvidlik bloklari o‘rtasidagi </w:t>
      </w:r>
      <w:r>
        <w:lastRenderedPageBreak/>
      </w:r>
      <w:r>
        <w:t>ziddiyat hal qilinmaganini qayd etadi</w:t>
      </w:r>
      <w:r>
        <w:rPr>
          <w:rStyle w:val="aff8"/>
        </w:rPr>
        <w:footnoteReference w:id="120"/>
      </w:r>
      <w:r>
        <w:t>. Karminskiy esa reyting sifati kutilgan va haqiqiy natijalarning mos kelishi bilan belgilanishini, ya’ni baholash metodikasining o‘zi ham tarixiy ma’lumotlar asosida tekshirilishi lozimligini ta’kidlaydi</w:t>
      </w:r>
      <w:r>
        <w:rPr>
          <w:rStyle w:val="aff8"/>
        </w:rPr>
        <w:footnoteReference w:id="121"/>
      </w:r>
      <w:r>
        <w:t xml:space="preserve">. Bu tamoyillar ayrim hollarda o‘zaro </w:t>
      </w:r>
      <w:r>
        <w:rPr/>
        <w:t xml:space="preserve">ziddiyatga kirishadi. Masalan, formallashtirish talabi</w:t>
      </w:r>
      <w:r>
        <w:t xml:space="preserve">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2"/>
      </w:r>
      <w:r>
        <w:t>. Lavrushin va Mamonova modellarni maqsadi, yig‘ma bahoni shakllantirish usuli, o‘rganish usuli va shaffofligi bo‘yicha tasniflaydi</w:t>
      </w:r>
      <w:r>
        <w:rPr>
          <w:rStyle w:val="aff8"/>
        </w:rPr>
        <w:footnoteReference w:id="123"/>
      </w:r>
      <w:r>
        <w:t>, M. Modina esa kredit riskini o‘lchash yondashuvlarini bir chekkasida iqtisodiy-statistik, ikkinchi chekkasida ekspert yondashuvi turgan uzluksiz shkala sifatida tasavvur qiladi</w:t>
      </w:r>
      <w:r>
        <w:rPr>
          <w:rStyle w:val="aff8"/>
        </w:rPr>
        <w:footnoteReference w:id="124"/>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Namunalar</w:t>
            </w:r>
          </w:p>
        </w:tc>
        <w:tc>
          <w:tcPr>
            <w:tcW w:w="243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Afzalliklari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Kamchiliklari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Koeffitsiyentli (normativ)</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normativlari, XVJ moliyaviy barqarorlik ko‘rsatkichlari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normativlar bilan bevosita bog‘liq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tarqoq, yagona xulosa yo‘q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Reyting (komponentli)</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CAMELS, Rossiya Bankining 4336-U ko‘rsatmasi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Kompleks, xalqaro e’tirof etilgan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natijalar yopiq, vaznlar asoslanmagan</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Risklarga yo‘naltirilgan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(Buyuk Britaniya), SREP (Yevropa Ittifoqi)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resurslarini riskka qarab taqsimlaydi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Ichki axborot va yuqori malaka talab qiladi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(ekonometrik)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(avval FIMS),</w:t>
            </w:r>
            <w:r>
              <w:rPr>
                <w:rFonts w:ascii="Times New Roman" w:hAnsi="Times New Roman" w:eastAsia="Times New Roman" w:cs="Times New Roman"/>
                <w:sz w:val="24"/>
                <w:szCs w:val="24"/>
              </w:rPr>
              <w:t xml:space="preserve"> logit va probit modellar, Z-score</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Obyektiv, bashorat kuchi o‘lchanadi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tarix va bankrotlik holatlari talab qilinadi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indikatorlariga asoslangan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Kredit-defolt svoplari spredlari, aksiya narxlari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tezkor</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6"/>
      </w:r>
      <w:r>
        <w:t xml:space="preserve">. Koeffitsiyentli yondashuv normativlar bilan bog‘liq bo‘lsa-da, ko‘rsatkichlarni yagona bahoga keltirmaydi</w:t>
      </w:r>
      <w:r>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7"/>
      </w:r>
      <w:r>
        <w:t>. Statistik yondashuvning eng sodda va samarali vositasi bo‘lgan Z-score ko‘rsatkichi distressga uchragan banklarning 75 foizini to‘g‘ri aniqlaydi</w:t>
      </w:r>
      <w:r>
        <w:rPr>
          <w:rStyle w:val="aff8"/>
        </w:rPr>
        <w:footnoteReference w:id="128"/>
      </w:r>
      <w:r>
        <w:t>, biroq u uzoq tarixiy ma’lumotlarni talab qiladi, Karminskiy esa defoltlar ulushi taxminan 1 foiz bo‘lganda tanlanmada nomutanosiblik yuzaga kelishini ko‘rsatadi</w:t>
      </w:r>
      <w:r>
        <w:rPr>
          <w:rStyle w:val="aff8"/>
        </w:rPr>
        <w:footnoteReference w:id="129"/>
      </w:r>
      <w:r>
        <w:t>. Bozor indikatorlari faqat aksiyalari birjada savdo qilinadigan banklar uchun qo‘llanishi mumkinligi</w:t>
      </w:r>
      <w:r>
        <w:rPr>
          <w:rStyle w:val="aff8"/>
        </w:rPr>
        <w:footnoteReference w:id="130"/>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 xml:space="preserve">Integral baholashning eng munozarali masalasi ko‘rsatkichlarga vazn berishdir. Lavrushin va Mamonova vazn koeffitsiyentlarini belgilash eng </w:t>
      </w:r>
      <w:r>
        <w:rPr/>
        <w:t xml:space="preserve">subyekt</w:t>
      </w:r>
      <w:r>
        <w:t xml:space="preserve">iv masalalardan biri ekanini, ammo hozircha boshqa usul topilmaganini tan oladi</w:t>
      </w:r>
      <w:r>
        <w:rPr>
          <w:rStyle w:val="aff8"/>
        </w:rPr>
        <w:footnoteReference w:id="131"/>
      </w:r>
      <w:r>
        <w:t>, Lavrushin tahriridagi monografiyada esa Rossiyadagi to‘qqizta reyting metodikasida vaznlar ko‘pincha ekspert yo‘li bilan aniqlanishi yoki umuman tushuntirilmasligi ko‘rsatilgan</w:t>
      </w:r>
      <w:r>
        <w:rPr>
          <w:rStyle w:val="aff8"/>
        </w:rPr>
        <w:footnoteReference w:id="132"/>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3"/>
      </w:r>
      <w:r>
        <w:t>, L. Izzi, G. Oricchio va L. Vitale esa vaznlarni regressiya koeffitsiyentlaridan hisoblab, rivojlanayotgan mamlakatlar banklari uchun miqdoriy modulga 80 foiz, sifat moduliga 20 foiz vazn beradi</w:t>
      </w:r>
      <w:r>
        <w:rPr>
          <w:rStyle w:val="aff8"/>
        </w:rPr>
        <w:footnoteReference w:id="134"/>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5"/>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spacing w:after="0" w:line="360" w:lineRule="auto"/>
        <w:ind w:firstLine="709"/>
        <w:jc w:val="both"/>
      </w:pPr>
      <w:r>
        <w:rPr/>
        <w:t xml:space="preserve">1.2.1-rasmdan </w:t>
      </w:r>
      <w:r>
        <w:t xml:space="preserve">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r>
      <w:r>
        <w:t>ichki modellari bir xil kreditlar uchun minus 30 foizdan plyus 190 foizgacha farq qiladigan kapital talabini bergan</w:t>
      </w:r>
      <w:r>
        <w:rPr>
          <w:rStyle w:val="aff8"/>
        </w:rPr>
        <w:footnoteReference w:id="139"/>
      </w:r>
      <w:r>
        <w:t>.</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40"/>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1"/>
      </w:r>
      <w:r>
        <w:t>, Modina esa yangi kelishuvning ikki maqsadini – alohida banklarning stressga chidamliligini oshirish va protsiklikni cheklashni ajratadi</w:t>
      </w:r>
      <w:r>
        <w:rPr>
          <w:rStyle w:val="aff8"/>
        </w:rPr>
        <w:footnoteReference w:id="142"/>
      </w:r>
      <w:r>
        <w:t xml:space="preserve">. Bazel III kapital talablarini ham miqdor, ham sifat </w:t>
      </w:r>
      <w:r>
        <w:rPr/>
        <w:t xml:space="preserve">jihatidan kuchaytirdi. Jumladan, birinchi darajali</w:t>
      </w:r>
      <w:r>
        <w:rPr/>
        <w:t xml:space="preserve"> asosiy kapital talabi 2 foizdan 4,5 foizga</w:t>
      </w:r>
      <w:r>
        <w:t xml:space="preserve">, birinchi darajali kapital talabi 4 foizdan 6 foizga oshirildi, bunga qo‘shimcha ravishda </w:t>
      </w:r>
      <w:r>
        <w:rPr/>
        <w:t xml:space="preserve">2,5 foizlik kapitalni saqlash (konservatsiya) buferi va 0–2,5 foizlik</w:t>
      </w:r>
      <w:r>
        <w:t xml:space="preserve"> kontrsiklik bufer joriy etildi</w:t>
      </w:r>
      <w:r>
        <w:rPr>
          <w:rStyle w:val="aff8"/>
        </w:rPr>
        <w:footnoteReference w:id="143"/>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4"/>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r>
      <w:r>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5"/>
      </w:r>
      <w:r>
        <w:t xml:space="preserve">. Konservatsiya buferining o‘ziga xos jihati shundaki, u to‘g‘ridan-to‘g‘ri majburiy minimum emas, balki bank xatti-harakatini cheklovchi </w:t>
      </w:r>
      <w:r>
        <w:rPr/>
        <w:t xml:space="preserve">mexanizm hisoblanadi. Xususan, asosiy kapital</w:t>
      </w:r>
      <w:r>
        <w:t xml:space="preserve"> buferni hisobga olgan holda 7 foizdan past bo‘lsa, bank foydaning bir qismini dividend sifatida taqsimlay olmaydi</w:t>
      </w:r>
      <w:r>
        <w:rPr>
          <w:rStyle w:val="aff8"/>
        </w:rPr>
        <w:footnoteReference w:id="146"/>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7"/>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 xml:space="preserve">mumkinligini ko‘rsatadi. Kontrsiklik bufer esa makroprudensial vosita sifatida kredit/YaIM nisbatining uzoq muddatli trenddan </w:t>
      </w:r>
      <w:r>
        <w:rPr/>
        <w:t xml:space="preserve">og‘ishiga bog‘lanadi. Bunda og‘ish 2 foiz punktdan</w:t>
      </w:r>
      <w:r>
        <w:t xml:space="preserve"> past bo‘lsa bufer nolga teng, 10 foiz punktdan yuqori bo‘lsa 2,5 foizga teng bo‘ladi, Afanasyeva va Dubova esa kredit/YaIM nisbatining yiliga 2–3 foizga oshishi ortiqcha kreditlash xavfidan dalolat berishini ta’kidlaydi</w:t>
      </w:r>
      <w:r>
        <w:rPr>
          <w:rStyle w:val="aff8"/>
        </w:rPr>
        <w:footnoteReference w:id="148"/>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9"/>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50"/>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1"/>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Moddalar</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Koeffitsiyent, %</w:t>
            </w:r>
          </w:p>
        </w:tc>
        <w:tc>
          <w:tcPr>
            <w:tcW w:w="334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yuqori sifatli likvid aktivlar</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naqd pul, markaziy bankdagi zaxiralar, nol risk vaznli davlat qimmatli qog‘ozlari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Cheklovsiz, diskontsiz</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2A-daraja: 20 foiz risk vaznli qimmatli qog‘ozlar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40 foizidan oshmaydi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2B-daraja: korporativ obligatsiyalar, aksiyalar va boshqalar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pul chiqimi koeffitsiyentlari</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Sug‘urtalangan, operatsion bog‘liq</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va undan yuqori</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Sug‘urtalanmagan qismi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institutlarining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mavjud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muddati bir yildan ortiq majburiyatlar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bir yilgacha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talab qilinadigan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likvid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0–5</w:t>
            </w:r>
          </w:p>
        </w:tc>
        <w:tc>
          <w:tcPr>
            <w:tcW w:w="3345" w:type="dxa"/>
          </w:tcPr>
          <w:p w:rsidR="005603EC" w:rsidRDefault="005603E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muddatli chakana va kichik biznes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vazni 35 foizgacha bo‘lgan ipoteka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Boshqa ishlaydigan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w:t>
      </w:r>
      <w:r>
        <w:rPr/>
        <w:t xml:space="preserve">keng tabaqalashtiradi. Bunda, ayniqsa, moliya</w:t>
      </w:r>
      <w:r>
        <w:t xml:space="preserve">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3"/>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4"/>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5"/>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6"/>
      </w:r>
      <w:r>
        <w:t>. N.E. Sokolinskaya bu o‘zgarishni yuzaga kelgan zararlarga asoslangan yondashuv o‘rniga prognoz yondashuvining kiritilishi deb tavsiflaydi</w:t>
      </w:r>
      <w:r>
        <w:rPr>
          <w:rStyle w:val="aff8"/>
        </w:rPr>
        <w:footnoteReference w:id="157"/>
      </w:r>
      <w:r>
        <w:t>. Standartga ko‘ra, moliyaviy aktivlar kredit sifatining o‘zgarishiga qarab uch bosqichga ajratiladi</w:t>
      </w:r>
      <w:r>
        <w:rPr>
          <w:rStyle w:val="aff8"/>
        </w:rPr>
        <w:footnoteReference w:id="158"/>
      </w:r>
      <w:r>
        <w:t xml:space="preserve"> (1.2.4-rasm).</w:t>
      </w:r>
    </w:p>
    <w:p w:rsidR="005603EC" w:rsidRDefault="00AB61AC">
      <w:pPr>
        <w:pStyle w:val="af"/>
        <w:spacing w:after="0" w:line="360" w:lineRule="auto"/>
        <w:ind w:firstLine="709"/>
        <w:jc w:val="both"/>
      </w:pPr>
      <w:r>
        <w:rPr/>
        <w:t xml:space="preserve">1.2.4-rasmdan </w:t>
      </w:r>
      <w:r>
        <w:t xml:space="preserve">ko‘rinib turibdiki, </w:t>
      </w:r>
      <w:r>
        <w:rPr/>
        <w:t xml:space="preserve">MHXS 9 kutilgan kredit zararlarini muammo yuzaga kelgandan keyin emas, balki aktiv tan olingan kundan boshlab (1-bosqichda 12 oylik) aks ettiradi, kredit riski sezilarli oshgan paytdan, ya’ni 2-bosqichdan boshlab esa butun muddat uchun zaxira talab qiladi.</w:t>
      </w:r>
      <w:r>
        <w:t xml:space="preserve"> Bu xususiyat moliyaviy barqarorlikni baholash uchun ikki jihatdan muhim. Birinchidan, u aktivlar sifati ko‘rsatkichlarini, xususan, zaxiralar bilan qoplanish darajasini ishonchliroq qiladi</w:t>
      </w:r>
      <w:r>
        <w:rPr/>
        <w:t xml:space="preserve">. Masalan, </w:t>
      </w:r>
      <w:r>
        <w:rPr/>
        <w:t xml:space="preserve">N.E. Sokolinskaya hisob-kitobiga ko‘ra, MHXS 9 ga o‘tishda garovdan olingan aktivlar defolt deb hisoblansa, bitta Rossiya banki misolida zaxiralar kredit portfelining 19,1 foiziga yetib, deyarli ikki barobar </w:t>
      </w:r>
      <w:r>
        <w:rPr/>
        <w:t xml:space="preserve">oshadi</w:t>
      </w:r>
      <w:r>
        <w:rPr>
          <w:rStyle w:val="aff8"/>
        </w:rPr>
        <w:footnoteReference w:id="159"/>
      </w:r>
      <w:r>
        <w:rPr/>
        <w:t xml:space="preserve">. Ikkinchidan, milliy</w:t>
      </w:r>
      <w:r>
        <w:t xml:space="preserve"> hisobot va MHXS bo‘yicha hisoblangan ko‘rsatkichlar farqi bankning haqiqiy holatini aniqlashda qo‘shimcha axborot manbai bo‘ladi</w:t>
      </w:r>
      <w:r>
        <w:rPr/>
        <w:t xml:space="preserve">. Jumladan, N.E. Sokolinskaya</w:t>
      </w:r>
      <w:r>
        <w:t xml:space="preserve">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1"/>
      </w:r>
      <w:r>
        <w:t>. O‘zbekiston banklari misolida bu farq ikkinchi bobda tahlil qilinadi.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 oshgan aktivlar (30 kundan ortiq kechikish)</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qadrsizlangan aktivlar (90 kundan ortiq kechikish – defolt)</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 oshgan aktivlar (30 kundan ortiq kechikish)</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qadrsizlangan aktivlar (90 kundan ortiq kechikish – defolt)</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62"/>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3"/>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4"/>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5"/>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Mezon</w:t>
            </w:r>
          </w:p>
        </w:tc>
        <w:tc>
          <w:tcPr>
            <w:tcW w:w="153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maqsad</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prudensial talablar</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zararlarini to‘g‘ri aks ettirish</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Sektor barqarorligini kuzatish</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Investorlarga axborot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darajasi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va tizim</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sektori</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Qamraydigan bloklar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leverej, likvidlik</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64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daromad, likvidlik, bozor riski</w:t>
            </w:r>
          </w:p>
        </w:tc>
        <w:tc>
          <w:tcPr>
            <w:tcW w:w="158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boshqaruv, daromad, likvidlik, bozor riski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Biznes va moliyaviy profil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Mezoniy qiymatlar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(minimumlar)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 (tamoyillar)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(ballar)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Ichki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Yagona integral baho</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(1–5)</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(reyting)</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Natijaning oshkoraligi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Normativlar ochiq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cheklovi</w:t>
            </w:r>
          </w:p>
        </w:tc>
        <w:tc>
          <w:tcPr>
            <w:tcW w:w="153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va daromadlilikni qamramaydi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Faqat kredit zararlari (qadrsizlanish); o‘zi baholash tizimi emas</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baho 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Hamma banklarni qamramaydi</w:t>
            </w:r>
          </w:p>
        </w:tc>
      </w:tr>
    </w:tbl>
    <w:p w:rsidR="005603EC" w:rsidRDefault="00AB61AC">
      <w:pPr>
        <w:pStyle w:val="af"/>
        <w:spacing w:after="0" w:line="360" w:lineRule="auto"/>
        <w:ind w:firstLine="709"/>
        <w:jc w:val="both"/>
      </w:pPr>
      <w: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w:t>
      </w:r>
      <w:r>
        <w:rPr/>
        <w:t xml:space="preserve">subyekt</w:t>
      </w:r>
      <w:r>
        <w:t xml:space="preserve">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7"/>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spacing w:after="0" w:line="360" w:lineRule="auto"/>
        <w:ind w:firstLine="709"/>
        <w:jc w:val="both"/>
      </w:pPr>
      <w:r>
        <w:rPr/>
        <w:t xml:space="preserve">1.2.5-jadvaldan </w:t>
      </w:r>
      <w:r>
        <w:rPr/>
        <w:t xml:space="preserve">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t xml:space="preserve"> Bu esa O‘zbekiston sharoitida valyuta riskiga sezgirlikni integral bahoning alohida bloki sifatida ajratish zarurligini ko‘rsatadi.</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 blok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Kapital yetarliligi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Aktivlar sifati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Daromadlilik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Likvidlik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Bozor (valyuta)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CET1 ≥ 4,5%, jami ≥ 8% (+2,5% bufer), leverej ≥ 3%</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LCR ≥ 100%, NSFR ≥ 100%</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bozor riski uchun kapital talabi</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zarar zaxiralari orqali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kredit zararlari, 3 bosqichli tasnif</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zaxira xarajatlari orqali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regulyativ kapital / RWA</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muammoli kreditlar / jami kreditlar</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ROA, ROE</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likvid aktivlar / jami aktivlar</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sof ochiq valyuta pozitsiyasi / kapital</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 – kapital</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 –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E – daromadlilik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 – likvidlik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 – bozor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kapitallashuv</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daromadlilik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moliyalashtirish va likvidlik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xorijiy valyutadagi likvidlik</w:t>
            </w:r>
          </w:p>
        </w:tc>
      </w:tr>
      <w:tr>
        <w:tc>
          <w:tcPr>
            <w:tcW w:type="dxa" w:w="1700"/>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bahoga hissasi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 bo‘yicha baholash</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va CAMELS ko‘rsatkichlari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70"/>
      </w:r>
      <w:r>
        <w:t>. Ushbu toifalar va ularga mansub milliy tizimlar 1.3.1-rasmda umumlashtirildi.</w:t>
      </w:r>
    </w:p>
    <w:p w:rsidR="005603EC" w:rsidRDefault="00AB61AC">
      <w:pPr>
        <w:pStyle w:val="af"/>
        <w:spacing w:after="0" w:line="360" w:lineRule="auto"/>
        <w:ind w:firstLine="709"/>
        <w:jc w:val="both"/>
      </w:pPr>
      <w:r>
        <w:rPr/>
        <w:t xml:space="preserve">1.3.1-rasmdagi tasnifdan ko‘rinib</w:t>
      </w:r>
      <w:r>
        <w:t xml:space="preserve">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1"/>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Tizim (joriy etilgan yili)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Turi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xususiyatlari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CAMEL (1978–1979)</w:t>
            </w:r>
            <w:r>
              <w:rPr>
                <w:rFonts w:ascii="Times New Roman" w:hAnsi="Times New Roman" w:eastAsia="Times New Roman" w:cs="Times New Roman"/>
                <w:sz w:val="24"/>
                <w:szCs w:val="24"/>
              </w:rPr>
              <w:t xml:space="preserve">, CAMELS (1997)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(1993, avval FIMS), SCOR (1995)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Buyuk Britaniya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(1998–2013)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BAKIS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Koeffitsiyentlar va guruhlab tahlil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47 ko‘rsatkich, teng vaznlar; guruh o‘rtachasi bilan taqqoslash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Fransiya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ORAP (1997), SAABA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Reyting va statistik-ekspert model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Italiya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PATROL (1993)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Niderlandiya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RAST (1999)</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t xml:space="preserve">. Masalan,</w:t>
      </w:r>
      <w:r>
        <w:t xml:space="preserve"> 1929–1933-yillarda taxminan 10 ming bank, 2009-yilning o‘zida esa 140 bank inqirozga uchragan</w:t>
      </w:r>
      <w:r>
        <w:rPr>
          <w:rStyle w:val="aff8"/>
        </w:rPr>
        <w:footnoteReference w:id="173"/>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4"/>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t xml:space="preserve">. Bunda</w:t>
      </w:r>
      <w:r>
        <w:t xml:space="preserve"> 3, 4 yoki 5 ball olgan bank “muammoli banklar” ro‘yxatiga kiritiladi, ballarning o‘zi esa omonatchilar orasida vahima chiqarmaslik uchun oshkor qilinmaydi</w:t>
      </w:r>
      <w:r>
        <w:rPr>
          <w:rStyle w:val="aff8"/>
        </w:rPr>
        <w:footnoteReference w:id="175"/>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6"/>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7"/>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8"/>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9"/>
      </w:r>
      <w:r>
        <w:t xml:space="preserve">. </w:t>
      </w:r>
      <w:r>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80"/>
      </w:r>
      <w:r>
        <w:rPr/>
        <w:t xml:space="preserve">.</w:t>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1"/>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2"/>
      </w:r>
      <w:r>
        <w:rPr/>
        <w:t xml:space="preserve">. Rasm ma’lumotlari shuni ko‘rsatadiki, modellarni baholashda foydalanilmagan keyingi davrda eng yaxshi natijani tasodifiy o‘rmon </w:t>
      </w:r>
      <w:r>
        <w:rPr/>
        <w:t xml:space="preserve">usuli bergan. Xususan, u zaif banklarning</w:t>
      </w:r>
      <w:r>
        <w:rPr/>
        <w:t xml:space="preserve">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3"/>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4"/>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w:t>
      </w:r>
      <w:r>
        <w:rPr/>
        <w:t xml:space="preserve">ta’rifini yumshatdi, ya’ni endi bitta</w:t>
      </w:r>
      <w:r>
        <w:t xml:space="preserve"> komponent bo‘yicha qoniqarsiz baho bankni bu toifadan chiqarib yubormaydi</w:t>
      </w:r>
      <w:r>
        <w:rPr>
          <w:rStyle w:val="aff8"/>
        </w:rPr>
        <w:footnoteReference w:id="185"/>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6"/>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7"/>
      </w:r>
      <w:r>
        <w:rPr/>
        <w:t>.</w:t>
      </w:r>
      <w:r>
        <w:t xml:space="preserve"> </w:t>
      </w:r>
      <w:r>
        <w:rPr/>
        <w:t xml:space="preserve">Stress-testlar ham isloh qilindi. Jumladan, 2026-yil</w:t>
      </w:r>
      <w:r>
        <w:t xml:space="preserve"> sentabrida qabul qilingan qoidalarga ko‘ra, ssenariylar va modellar har yili jamoatchilik muhokamasiga qo‘yiladi, stress-test asosidagi kapital buferi esa ikki yillik natijalarning o‘rtachasi bo‘yicha belgilanadi</w:t>
      </w:r>
      <w:r>
        <w:rPr>
          <w:rStyle w:val="aff8"/>
        </w:rPr>
        <w:footnoteReference w:id="188"/>
      </w:r>
      <w:r>
        <w:t xml:space="preserve">. Nihoyat, 2026-yil martida Bazel III ning yakuniy standartlarini joriy etish bo‘yicha qayta ishlangan takliflar e’lon qilindi</w:t>
      </w:r>
      <w:r>
        <w:rPr/>
        <w:t xml:space="preserve">. Bu taklif</w:t>
      </w:r>
      <w:r>
        <w:t xml:space="preserve">lar faqat eng yirik banklarga tatbiq etilishi va umumiy kapital talablarini biroz pasaytirishi kutilmoqda</w:t>
      </w:r>
      <w:r>
        <w:rPr>
          <w:rStyle w:val="aff8"/>
        </w:rPr>
        <w:footnoteReference w:id="189"/>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w:t>
      </w:r>
      <w:r>
        <w:rPr/>
        <w:t xml:space="preserve">talablarga zid keladi, chunki tavakkalchilik</w:t>
      </w:r>
      <w:r>
        <w:t xml:space="preserve"> bilan kreditlash CRA reytingini yaxshilaydi, ammo CAMELS reytingini yomonlashtiradi</w:t>
      </w:r>
      <w:r>
        <w:rPr/>
        <w:t xml:space="preserve">. Muallif ma’lumotiga ko‘ra,</w:t>
      </w:r>
      <w:r>
        <w:t xml:space="preserve"> 1993–2007-yillarda 3,5 trln dollardan ortiq CRA kreditlari berilgan</w:t>
      </w:r>
      <w:r>
        <w:rPr>
          <w:rStyle w:val="aff8"/>
        </w:rPr>
        <w:footnoteReference w:id="190"/>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1"/>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2"/>
      </w:r>
      <w:r>
        <w:rPr>
          <w:rStyle w:val="aff8"/>
        </w:rPr>
        <w:footnoteReference w:id="193"/>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4"/>
      </w:r>
      <w:r>
        <w:rPr/>
        <w:t xml:space="preserve"> (1.3.4-rasm).</w:t>
      </w:r>
      <w:r>
        <w:lastRenderedPageBreak/>
      </w:r>
    </w:p>
    <w:p w:rsidR="005603EC" w:rsidRDefault="00AB61AC">
      <w:pPr>
        <w:pStyle w:val="af"/>
        <w:spacing w:after="0" w:line="360" w:lineRule="auto"/>
        <w:ind w:firstLine="709"/>
        <w:jc w:val="both"/>
      </w:pPr>
      <w:r>
        <w:rPr/>
        <w:t xml:space="preserve">1.3.4-rasmdan </w:t>
      </w:r>
      <w:r>
        <w:rPr/>
        <w:t xml:space="preserve">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6"/>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w:t>
      </w:r>
      <w:r>
        <w:rPr/>
        <w:t xml:space="preserve">o‘z ichiga oladi. Ulardan 19 tasi</w:t>
      </w:r>
      <w:r>
        <w:lastRenderedPageBreak/>
      </w:r>
      <w:r>
        <w:t xml:space="preserve"> kredit riski, 16 tasi bozor riski, 2 tasi likvidlik, 10 tasi rentabellik bilan bog‘liq. Barcha ko‘rsatkichlar teng vaznda olinadi va bank ko‘rsatkichlari o‘xshash banklar guruhining o‘rtachasi bilan taqqoslanadi</w:t>
      </w:r>
      <w:r>
        <w:rPr>
          <w:rStyle w:val="aff8"/>
        </w:rPr>
        <w:footnoteReference w:id="197"/>
      </w:r>
      <w:r>
        <w:t xml:space="preserve">. Teng vaznlar baholovchining </w:t>
      </w:r>
      <w:r>
        <w:rPr/>
        <w:t xml:space="preserve">subyekt</w:t>
      </w:r>
      <w:r>
        <w:t xml:space="preserve">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8"/>
      </w:r>
      <w:r>
        <w:t>. Italiyada esa 1993-yildan PATROL tizimi masofaviy nazorat va reyting baholash uchun ishlatiladi</w:t>
      </w:r>
      <w:r>
        <w:rPr>
          <w:rStyle w:val="aff8"/>
        </w:rPr>
        <w:footnoteReference w:id="199"/>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200"/>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t xml:space="preserve">, Yevropa bank boshqarmasi esa</w:t>
      </w:r>
      <w:r>
        <w:t xml:space="preserve"> yagona qoidalar va ma’lumotlar bazasini ta’minlaydi</w:t>
      </w:r>
      <w:r>
        <w:rPr>
          <w:rStyle w:val="aff8"/>
        </w:rPr>
        <w:footnoteReference w:id="201"/>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2"/>
      </w:r>
      <w:r>
        <w:t xml:space="preserve">. Iqtisodiy tanazzul davrida ular o‘rtasidagi </w:t>
      </w:r>
      <w:r>
        <w:rPr/>
        <w:t xml:space="preserve">ziddiyat kuchayadi, chunki makroprudensial siyosat</w:t>
      </w:r>
      <w:r>
        <w:t xml:space="preserve">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3"/>
      </w:r>
      <w:r>
        <w:t>. Bu banklar har bir milliy bank sektori aktivlarining kamida 50 foizini qamrab oladi</w:t>
      </w:r>
      <w:r>
        <w:rPr>
          <w:rStyle w:val="aff8"/>
        </w:rPr>
        <w:footnoteReference w:id="204"/>
      </w:r>
      <w:r>
        <w:t>. Indikatorlar to‘rt blokka – kapital yetarliligi, aktivlar sifati, rentabellik va balans tuzilmasiga ajratilgan bo‘lib, ular asosida 11 ta risk omilini aks ettiruvchi “risklar paneli” shakllantiriladi</w:t>
      </w:r>
      <w:r>
        <w:rPr>
          <w:rStyle w:val="aff8"/>
        </w:rPr>
        <w:footnoteReference w:id="205"/>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6"/>
      </w:r>
      <w:r>
        <w:t xml:space="preserve">. </w:t>
      </w:r>
      <w:r>
        <w:rPr/>
        <w:t xml:space="preserve">E. Gualandri va M. Noera</w:t>
      </w:r>
      <w:r>
        <w:t xml:space="preserve"> eng maqbul yondashuv sifatida qat’iy bazaviy qoidani va unga qo‘shiladigan, vaziyatga qarab o‘zgartiriladigan diskretsion vositalarni ko‘rsatadi</w:t>
      </w:r>
      <w:r>
        <w:rPr>
          <w:rStyle w:val="aff8"/>
        </w:rPr>
        <w:footnoteReference w:id="207"/>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8"/>
      </w:r>
      <w:r>
        <w:t>. Buyuk Britaniyada bu standartlar 2027-yil 1-yanvardan kuchga kiradi</w:t>
      </w:r>
      <w:r>
        <w:rPr>
          <w:rStyle w:val="aff8"/>
        </w:rPr>
        <w:footnoteReference w:id="209"/>
      </w:r>
      <w:r>
        <w:t xml:space="preserve">. Nazorat stress-testlari ham </w:t>
      </w:r>
      <w:r>
        <w:rPr/>
        <w:t xml:space="preserve">muntazam davom etmoqda. Masalan, Yevropa bank</w:t>
      </w:r>
      <w:r>
        <w:t xml:space="preserve">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10"/>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Yil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Hujjat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15-3-3/668-son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 ga asoslangan, 4 parametr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Asoslangan mulohaza tamoyili joriy etildi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2004</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1379-U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2008</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2005-U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guruh; 12 oylik prognoz; strategik risk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qisqa muddatli likvidlik normativi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7302-U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4336-U ko‘rsatmaga o‘zgartirishlar (2026-yil </w:t>
            </w:r>
            <w:r>
              <w:rPr>
                <w:rFonts w:ascii="Times New Roman" w:hAnsi="Times New Roman" w:eastAsia="Times New Roman" w:cs="Times New Roman"/>
                <w:sz w:val="24"/>
                <w:szCs w:val="24"/>
              </w:rPr>
              <w:t xml:space="preserve">1-oktabrdan</w:t>
            </w:r>
            <w:r>
              <w:rPr>
                <w:rFonts w:ascii="Times New Roman" w:hAnsi="Times New Roman" w:eastAsia="Times New Roman" w:cs="Times New Roman"/>
                <w:sz w:val="24"/>
                <w:szCs w:val="24"/>
              </w:rPr>
              <w:t xml:space="preserve">):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 xml:space="preserve">Jadvaldan ko‘rinib turibdiki, Rossiya tizimi dastlab AQShning CAMEL tizimidan andoza olib, keyinchalik uni o‘z ehtiyojlariga moslashtirgan. Ayniqsa, 2004-yildagi 1379-U ko‘rsatma </w:t>
      </w:r>
      <w:r>
        <w:rPr/>
        <w:t xml:space="preserve">burilish nuqtasi bo‘ldi, chunki omonatlarni</w:t>
      </w:r>
      <w:r>
        <w:t xml:space="preserve"> sug‘urtalash tizimiga qabul qilish uchun banklarni ochiq mezonlar asosida saralash zarurati ballik shkala, vaznlar va yig‘ma ballning paydo bo‘lishiga olib keldi. 1997-yilgi baholash natijalari esa o‘sha davrdagi vaziyat qanchalik og‘ir </w:t>
      </w:r>
      <w:r>
        <w:rPr/>
        <w:t xml:space="preserve">bo‘lganini ko‘rsatadi. O‘shanda banklarning 40</w:t>
      </w:r>
      <w:r>
        <w:t xml:space="preserve"> foizdan ortig‘i muammoli deb topilgan.</w:t>
      </w:r>
    </w:p>
    <w:p w:rsidR="005603EC" w:rsidRDefault="00AB61AC">
      <w:pPr>
        <w:pStyle w:val="af"/>
        <w:spacing w:after="0" w:line="360" w:lineRule="auto"/>
        <w:ind w:firstLine="709"/>
        <w:jc w:val="both"/>
      </w:pPr>
      <w:r>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2"/>
      </w:r>
      <w: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w:t>
      </w:r>
      <w:r>
        <w:rPr/>
        <w:t xml:space="preserve">subyekt</w:t>
      </w:r>
      <w:r>
        <w:t xml:space="preserve">ivlikni ko‘rsatadi</w:t>
      </w:r>
      <w:r>
        <w:rPr>
          <w:rStyle w:val="aff8"/>
        </w:rPr>
        <w:footnoteReference w:id="213"/>
      </w:r>
      <w:r>
        <w:t>. Bundan tashqari, komponentlar bir-biri bilan bog‘lanmagan holda baholanadi, holbuki amalda kapital, likvidlik va aktivlar sifati o‘zaro chambarchas bog‘liq</w:t>
      </w:r>
      <w:r>
        <w:rPr>
          <w:rStyle w:val="aff8"/>
        </w:rPr>
        <w:footnoteReference w:id="214"/>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5"/>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6"/>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t xml:space="preserve">. Bundan tashqari,</w:t>
      </w:r>
      <w:r>
        <w:t xml:space="preserve"> yuqori sifatli likvid aktivlarning 19 toifasidan mahalliy bozorda faqat 4 tasi mavjud edi</w:t>
      </w:r>
      <w:r>
        <w:rPr>
          <w:rStyle w:val="aff8"/>
        </w:rPr>
        <w:footnoteReference w:id="217"/>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w:t>
      </w:r>
      <w:r>
        <w:rPr/>
        <w:t xml:space="preserve">1-martdan boshlandi. Bunda normativning</w:t>
      </w:r>
      <w:r>
        <w:t xml:space="preserve">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t xml:space="preserve">. Biroq</w:t>
      </w:r>
      <w:r>
        <w:rPr/>
        <w:t xml:space="preserve"> 2024-yil dekabrida jadval o‘zgartirilib, 60 foizlik bosqich yarim yilga surildi</w:t>
      </w:r>
      <w:r>
        <w:rPr>
          <w:rStyle w:val="aff8"/>
        </w:rPr>
        <w:footnoteReference w:id="218"/>
      </w:r>
      <w:r>
        <w:rPr/>
        <w:t xml:space="preserve"/>
      </w:r>
      <w:r>
        <w:rPr>
          <w:rStyle w:val="aff8"/>
        </w:rPr>
        <w:footnoteReference w:id="219"/>
      </w:r>
      <w:r>
        <w:rPr/>
        <w:t xml:space="preserve">.</w:t>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t xml:space="preserve">. U</w:t>
      </w:r>
      <w:r>
        <w:t xml:space="preserve">ning minimal darajasi 2025-yilda 80 foiz, 2026-yil 1-yanvardan 100 foiz etib belgilandi</w:t>
      </w:r>
      <w:r>
        <w:rPr>
          <w:rStyle w:val="aff8"/>
        </w:rPr>
        <w:footnoteReference w:id="220"/>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1"/>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2"/>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3"/>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4"/>
      </w:r>
      <w:r>
        <w:t xml:space="preserve">. Bu arxitektura AQSh Federal rezerv tizimi nazorat stress-testlarining mantig‘iga ancha yaqin (1.3.6-rasm). So‘nggi yillarda makroprudensial vositalar ham </w:t>
      </w:r>
      <w:r>
        <w:rPr/>
        <w:t xml:space="preserve">faol qo‘llanmoqda. Xususan, Rossiya banki</w:t>
      </w:r>
      <w:r>
        <w:t xml:space="preserve"> 2024-yil noyabrida birinchi marta kontrsiklik buferning musbat darajasini belgilab, uni 2025-yil 1-fevraldan 0,25 foiz, 1-iyuldan 0,5 foiz qilib o‘rnatdi</w:t>
      </w:r>
      <w:r>
        <w:rPr>
          <w:rStyle w:val="aff8"/>
        </w:rPr>
        <w:footnoteReference w:id="225"/>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6"/>
      </w:r>
    </w:p>
    <w:p w:rsidR="005603EC" w:rsidRDefault="00AB61AC">
      <w:pPr>
        <w:pStyle w:val="af"/>
        <w:spacing w:after="0" w:line="360" w:lineRule="auto"/>
        <w:ind w:firstLine="709"/>
        <w:jc w:val="both"/>
      </w:pPr>
      <w:r>
        <w:lastRenderedPageBreak/>
      </w:r>
      <w:r>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7"/>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8"/>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9"/>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t xml:space="preserve">edi va 2011-yil iyunidan boshlab bu ko‘rsatkich har kuni monitoring qilingan</w:t>
      </w:r>
      <w:r>
        <w:rPr/>
        <w:t xml:space="preserve">. I</w:t>
      </w:r>
      <w:r>
        <w:t xml:space="preserve">nqirozdan keyin esa kutilgan zararlar bo‘yicha 2,5 foizlik zaxira normativi joriy etilgan</w:t>
      </w:r>
      <w:r>
        <w:rPr>
          <w:rStyle w:val="aff8"/>
        </w:rPr>
        <w:footnoteReference w:id="230"/>
      </w:r>
      <w:r>
        <w:t>. Keyinchalik, 2015-yilda kreditlarning depozitlarga nisbati bo‘yicha qat’iy cheklov qonundan chiqarilib, monitoring ko‘rsatkichiga aylantirildi</w:t>
      </w:r>
      <w:r>
        <w:rPr>
          <w:rStyle w:val="aff8"/>
        </w:rPr>
        <w:footnoteReference w:id="231"/>
      </w:r>
      <w:r>
        <w:t>. Tizimli ahamiyatli banklarga yuqori kapital talablari qo‘yilgan: asosiy kapital 8,5 foiz, birinchi darajali kapital 9,5 foiz, jami kapital 11,5 foiz</w:t>
      </w:r>
      <w:r>
        <w:rPr>
          <w:rStyle w:val="aff8"/>
        </w:rPr>
        <w:footnoteReference w:id="232"/>
      </w:r>
      <w:r>
        <w:t xml:space="preserve">. 2024-yil 1-yanvardan esa tijorat banklari kapitalini boshqarish bo‘yicha yangi </w:t>
      </w:r>
      <w:r>
        <w:lastRenderedPageBreak/>
      </w:r>
      <w:r>
        <w:t xml:space="preserve">qoidalar kuchga kirdi. </w:t>
      </w:r>
      <w:r>
        <w:rPr/>
        <w:t xml:space="preserve">Ularga</w:t>
      </w:r>
      <w:r>
        <w:t xml:space="preserve">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3"/>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 xml:space="preserve">Biroq Xitoy tajribasi rasmiy ko‘rsatkichlarning ishonchliligi muammosini ham ochiq namoyon etadi. Bu muammo ilmiy adabiyotda </w:t>
      </w:r>
      <w:r>
        <w:rPr/>
        <w:t xml:space="preserve">ancha oldin qayd etilgan. Masalan, 2010-yillarning</w:t>
      </w:r>
      <w:r>
        <w:t xml:space="preserve"> o‘rtalarida rasmiy ma’lumotlarda muammoli kreditlar ulushi 1,5 foiz deb e’lon qilingan bo‘lsa-da, mustaqil baholarga ko‘ra u 8–12 foizni tashkil etgan</w:t>
      </w:r>
      <w:r>
        <w:rPr>
          <w:rStyle w:val="aff8"/>
        </w:rPr>
        <w:footnoteReference w:id="234"/>
      </w:r>
      <w:r>
        <w:t>. XVJ esa 2016-yilda Xitoy kompaniyalariga berilgan tijorat kreditlarining 15,5 foizi “risk ostida” ekanini va ular bo‘yicha potensial yo‘qotishlar YaIMning qariyb 7 foiziga teng bo‘lishi mumkinligini baholagan</w:t>
      </w:r>
      <w:r>
        <w:rPr>
          <w:rStyle w:val="aff8"/>
        </w:rPr>
        <w:footnoteReference w:id="235"/>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6"/>
      </w:r>
      <w:r>
        <w:rPr/>
        <w:t xml:space="preserve">. Biroq ularning yonida “alohida e’tibor talab qiluvchi” kreditlar ham bor bo‘lib, ularning ulushi shu yillarda 2,2–2,3 foiz atrofida saqlanib kelmoqda</w:t>
      </w:r>
      <w:r>
        <w:rPr/>
        <w:t xml:space="preserve">. Ikkala toifa qo‘shilganda es</w:t>
      </w:r>
      <w:r>
        <w:rPr/>
        <w:t xml:space="preserve">a 2025-yil oxirida muammoli aktivlar ulushi 3,7 foizga </w:t>
      </w:r>
      <w:r>
        <w:rPr/>
        <w:t xml:space="preserve">yetadi</w:t>
      </w:r>
      <w:r>
        <w:rPr>
          <w:rStyle w:val="aff8"/>
        </w:rPr>
        <w:footnoteReference w:id="237"/>
      </w:r>
      <w:r>
        <w:rPr/>
        <w:t xml:space="preserve">. B. Charoenwong, M. Miao</w:t>
      </w:r>
      <w:r>
        <w:t xml:space="preserve"> va T. Ruan esa banklar muammoli kreditlarni o‘zlariga bog‘liq tomonlarga “sotib”, ularning riskini amalda </w:t>
      </w:r>
      <w:r>
        <w:rPr/>
        <w:t xml:space="preserve">o‘zlarida</w:t>
      </w:r>
      <w:r>
        <w:t xml:space="preserve"> qoldirayotganini aniqlagan. Mualliflar fikricha, shunday yashirin kreditlar hisobga </w:t>
      </w:r>
      <w:r>
        <w:lastRenderedPageBreak/>
      </w:r>
      <w:r>
        <w:t>olinsa, Xitoyda muammoli kreditlarning haqiqiy hajmi rasmiy ko‘rsatkichdan 2–3 barobar ko‘p bo‘ladi</w:t>
      </w:r>
      <w:r>
        <w:rPr>
          <w:rStyle w:val="aff8"/>
        </w:rPr>
        <w:footnoteReference w:id="238"/>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9"/>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40"/>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1"/>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2"/>
      </w:r>
      <w:r>
        <w:t>. Braziliyada Bazel III dan oldin kapital yetarliligiga talab 11 foiz bo‘lib, talab qilib olinguncha depozitlar bo‘yicha majburiy zaxira normasi 45 foizgacha yetgan</w:t>
      </w:r>
      <w:r>
        <w:rPr>
          <w:rStyle w:val="aff8"/>
        </w:rPr>
        <w:footnoteReference w:id="243"/>
      </w:r>
      <w:r>
        <w:t>. Rossiyada esa BRIKS mamlakatlari orasida eng yuqori muddati o‘tgan qarzlar ulushi (8,35 foiz) qayd etilgan</w:t>
      </w:r>
      <w:r>
        <w:rPr>
          <w:rStyle w:val="aff8"/>
        </w:rPr>
        <w:footnoteReference w:id="244"/>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 / tizim</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Tajriba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PCA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pog‘onali chegaralari aniq nazorat choralari bilan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AQSh – FIMS; Yevropa Ittifoqi – EBA modellari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stress-testlar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ommaga e’lon qilinadi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Buyuk Britaniya – RATE, PRA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Nazorat intensivligi bankning tizimga ta’siri toifasi va faol aralashuv tizimining bosqichiga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 – BAKIS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 vaznlar, guruh o‘rtachasi bilan taqqoslash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Qiyosiy (peer) baholashni joriy etish</w:t>
            </w:r>
            <w:r>
              <w:rPr>
                <w:rFonts w:ascii="Times New Roman" w:hAnsi="Times New Roman" w:eastAsia="Times New Roman" w:cs="Times New Roman"/>
                <w:sz w:val="24"/>
                <w:szCs w:val="24"/>
              </w:rPr>
              <w:t xml:space="preserve">, kredit riskiga ortiqcha urg‘u bermaslik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EBA KRI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ma’lumotlar bazasi, risklar paneli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Banklar ko‘rsatkichlarini ochiq e’lon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ESRB</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Qat’iy baza va diskretsion makroprudensial vositalar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makroprudensial baholashni uyg‘unlashtirish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Rossiya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1–4 ballik tizim; dinamika va prognoz yo‘qligi tanqid qilingan</w:t>
            </w:r>
            <w:r>
              <w:rPr>
                <w:rFonts w:ascii="Times New Roman" w:hAnsi="Times New Roman" w:eastAsia="Times New Roman" w:cs="Times New Roman"/>
                <w:sz w:val="24"/>
                <w:szCs w:val="24"/>
              </w:rPr>
              <w:t xml:space="preserve">; 2025-yildan tizimli banklar uchun Bazel LCR o‘rniga milliy normativ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integral baholashga dinamik va prognoz elementlarini qo‘shish</w:t>
            </w:r>
            <w:r>
              <w:rPr>
                <w:rFonts w:ascii="Times New Roman" w:hAnsi="Times New Roman" w:eastAsia="Times New Roman" w:cs="Times New Roman"/>
                <w:sz w:val="24"/>
                <w:szCs w:val="24"/>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Xitoy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Rasmiy NPL bilan haqiqiy risk o‘rtasida katta tafovut</w:t>
            </w:r>
            <w:r>
              <w:rPr>
                <w:rFonts w:ascii="Times New Roman" w:hAnsi="Times New Roman" w:eastAsia="Times New Roman" w:cs="Times New Roman"/>
                <w:sz w:val="24"/>
                <w:szCs w:val="24"/>
              </w:rPr>
              <w:t xml:space="preserve">; 2024-yildan banklar hajmiga qarab proporsional talablar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MHXS 9 bo‘yicha va mustaqil baholash; davlat banklariga alohida e’tibor</w:t>
            </w:r>
            <w:r>
              <w:rPr>
                <w:rFonts w:ascii="Times New Roman" w:hAnsi="Times New Roman" w:eastAsia="Times New Roman" w:cs="Times New Roman"/>
                <w:sz w:val="24"/>
                <w:szCs w:val="24"/>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r>
      <w:r>
        <w:t xml:space="preserve">rasmiy ko‘rsatkichlar haqiqiy riskni </w:t>
      </w:r>
      <w:r>
        <w:rPr/>
        <w:t xml:space="preserve">kamaytirib</w:t>
      </w:r>
      <w:r>
        <w:t xml:space="preserve"> ko‘rsatishi mumkinligidan dalolat beradi. Davlat banklari ulushi hamon yuqori bo‘lgan O‘zbekiston uchun bu xulosa ayniqsa muhimdir.</w:t>
      </w:r>
    </w:p>
    <w:p w:rsidR="005603EC" w:rsidRDefault="00AB61AC">
      <w:pPr>
        <w:pStyle w:val="af"/>
        <w:spacing w:after="0" w:line="360" w:lineRule="auto"/>
        <w:ind w:firstLine="709"/>
        <w:jc w:val="both"/>
      </w:pPr>
      <w: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w:t>
      </w:r>
      <w:r>
        <w:rPr/>
        <w:t xml:space="preserve">Bu,</w:t>
      </w:r>
      <w:r>
        <w:t xml:space="preserve">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r>
      <w: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w:t>
      </w:r>
      <w:r>
        <w:rPr/>
        <w:t xml:space="preserve">kamaytirib</w:t>
      </w:r>
      <w:r>
        <w:t xml:space="preserve">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spacing w:after="0" w:line="360" w:lineRule="auto"/>
        <w:ind w:firstLine="709"/>
        <w:jc w:val="both"/>
      </w:pPr>
      <w:r>
        <w:rPr/>
        <w:t xml:space="preserve">2.1.1-rasmdan </w:t>
      </w:r>
      <w:r>
        <w:t xml:space="preserve">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7"/>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r>
      <w:r>
        <w:t>nizom 2026-yil 1-yanvardan o‘z kuchini yo‘qotdi</w:t>
      </w:r>
      <w:r>
        <w:rPr>
          <w:rStyle w:val="aff8"/>
        </w:rPr>
        <w:footnoteReference w:id="248"/>
      </w:r>
      <w:r>
        <w:t xml:space="preserve">. Shu bilan Bazel III ning makroprudensial elementlari – kapital buferlari </w:t>
      </w:r>
      <w:r>
        <w:rPr/>
        <w:t xml:space="preserve">– ham</w:t>
      </w:r>
      <w:r>
        <w:t xml:space="preserve"> joriy etildi.</w:t>
      </w:r>
    </w:p>
    <w:p w:rsidR="005603EC" w:rsidRDefault="00AB61AC">
      <w:pPr>
        <w:pStyle w:val="FirstParagraph"/>
        <w:spacing w:after="0" w:line="360" w:lineRule="auto"/>
        <w:ind w:firstLine="709"/>
        <w:jc w:val="both"/>
      </w:pPr>
      <w:r>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9"/>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minimumi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Izoh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8% (2025-yilgacha); ≥ 4,5%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 (2025-yilgacha); ≥ 6%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13% (2025-yilgacha); ≥ 8%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2025-yilgacha </w:t>
            </w:r>
            <w:r>
              <w:rPr>
                <w:rFonts w:ascii="Times New Roman" w:hAnsi="Times New Roman" w:eastAsia="Times New Roman" w:cs="Times New Roman"/>
                <w:sz w:val="24"/>
                <w:szCs w:val="24"/>
              </w:rPr>
              <w:t xml:space="preserve">3 foizlik</w:t>
            </w:r>
            <w:r>
              <w:rPr>
                <w:rFonts w:ascii="Times New Roman" w:hAnsi="Times New Roman" w:eastAsia="Times New Roman" w:cs="Times New Roman"/>
                <w:sz w:val="24"/>
                <w:szCs w:val="24"/>
              </w:rPr>
              <w:t xml:space="preserve">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Leverej koeffitsiyenti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6% (2025-yilgacha); ≥ 3%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Bazel III minimumiga tenglashtirildi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saqlash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(CET1 hisobidan)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 (2025-yilgacha – 3%, I darajali kapital tarkibida)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Kontrsiklik bufer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ahamiyatli banklar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(G-SIB)</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ta bank uchun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2018-yildan to‘liq</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100% (2025-yil 23-maygacha)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jami aktivlar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prudensial me’yor</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Joriy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Lahzali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w:t>
      </w:r>
      <w:r>
        <w:rPr/>
        <w:t xml:space="preserve">me’yorlar bo‘yicha</w:t>
      </w:r>
      <w:r>
        <w:rPr>
          <w:rStyle w:val="aff8"/>
        </w:rPr>
        <w:footnoteReference w:id="251"/>
      </w:r>
      <w:r>
        <w:rPr/>
        <w:t>, 2026-yildan amal qiladigan talablar va buferlar esa Markaziy bankning moliyaviy barqarorlik sharhi bo‘yicha keltirildi</w:t>
      </w:r>
      <w:r>
        <w:rPr>
          <w:rStyle w:val="aff8"/>
        </w:rPr>
        <w:footnoteReference w:id="252"/>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3"/>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4"/>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5"/>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6"/>
      </w:r>
      <w:r>
        <w:t xml:space="preserve">. Yo‘l xaritasida ham avtomatik reyting tuzatishlarini muntazam tekshirish va ularning asoslanganligini ta’minlash uchun alohida “sifat nazorati” bo‘linmasini tashkil etish ko‘zda tutilgani bu muammo hali </w:t>
      </w:r>
      <w:r>
        <w:rPr/>
        <w:t xml:space="preserve">ham dolzarb ekan</w:t>
      </w:r>
      <w:r>
        <w:t xml:space="preserve">ini ko‘rsatadi</w:t>
      </w:r>
      <w:r>
        <w:rPr>
          <w:rStyle w:val="aff8"/>
        </w:rPr>
        <w:footnoteReference w:id="257"/>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8"/>
      </w:r>
      <w:r>
        <w:t xml:space="preserve">. 2023-yildan boshlab tizimli ahamiyatga molik banklar har yili aniqlanadi</w:t>
      </w:r>
      <w:r>
        <w:rPr/>
        <w:t xml:space="preserve">. Xususan,</w:t>
      </w:r>
      <w:r>
        <w:t xml:space="preserve"> 2026-yil uchun ro‘yxatga yetti bank – O‘zmilliybank, Agrobank, O‘zsanoatqurilishbank, Xalq banki, Ipoteka-bank, Kapitalbank va Asakabank </w:t>
      </w:r>
      <w:r>
        <w:rPr/>
        <w:t xml:space="preserve">– kiritilgan</w:t>
      </w:r>
      <w:r>
        <w:rPr>
          <w:rStyle w:val="aff8"/>
        </w:rPr>
        <w:footnoteReference w:id="259"/>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w:t>
      </w:r>
      <w:r>
        <w:rPr/>
        <w:t xml:space="preserve">barqaror holatda. Jumladan, 2021–2025-yillarda</w:t>
      </w:r>
      <w:r>
        <w:rPr/>
        <w:t xml:space="preserve"> kapital monandligi 13 foizlik regulyativ minimumdan barqaror yuqori bo‘lgan</w:t>
      </w:r>
      <w:r>
        <w:rPr>
          <w:rStyle w:val="aff8"/>
        </w:rPr>
        <w:footnoteReference w:id="260"/>
      </w:r>
      <w:r>
        <w:rPr/>
        <w:t xml:space="preserve">, 2025-yil oxirida esa 18,3 foizga yetgan</w:t>
      </w:r>
      <w:r>
        <w:lastRenderedPageBreak/>
      </w:r>
      <w:r>
        <w:rPr>
          <w:rStyle w:val="aff8"/>
        </w:rPr>
        <w:footnoteReference w:id="261"/>
      </w:r>
      <w:r>
        <w:t xml:space="preserve">. </w:t>
      </w:r>
      <w:r>
        <w:rPr/>
        <w:t xml:space="preserve">Rasmiy muammoli kreditlar ulushi ham</w:t>
      </w:r>
      <w:r>
        <w:t xml:space="preserve"> 2021-yil oxiridagi 5,2 foizdan 2025-yil oxirida 3,0 foizgacha kamaygan</w:t>
      </w:r>
      <w:r>
        <w:rPr>
          <w:rStyle w:val="aff8"/>
        </w:rPr>
        <w:footnoteReference w:id="262"/>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Soha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O‘zbekistondagi holat (FSAP)</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chora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Muddat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ta’rifi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instrumentlari yo‘qotishni qoplash qobiliyatiga ega bo‘lishi kerak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va II darajali kapital tarkibi va mezonlarini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bo‘yicha tortilgan aktivlar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metodikasi bo‘yicha kredit, operatsion va bozor risklarini hisoblash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jihatlarda Bazel metodikasidan chetlanish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kredit, operatsion va bozor risklarini hisoblash tartibini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Saqlash, kontrsiklik va tizimli banklar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 aniqlangan, ammo ularga bufer qo‘llanmagan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Uchala bufer joriy etildi (2025–2026)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2025–2026-y.</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2-ustun (ICAAP, SREP)</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talabi bank risk profiliga moslashtiriladi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2-ustun metodikasi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banklarda ICAAP ni majburiy joriy etish; foiz riski asosida 2-ustunni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2026–2028-y.; ICAAP – 2027-y. III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va restrukturizatsiya qilingan aktivlarning Bazel ta’riflari;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Aktivlar sifati to‘g‘risida hisobotlarda </w:t>
            </w:r>
            <w:r>
              <w:rPr>
                <w:rFonts w:ascii="Times New Roman" w:hAnsi="Times New Roman" w:eastAsia="Times New Roman" w:cs="Times New Roman"/>
                <w:sz w:val="24"/>
                <w:szCs w:val="24"/>
              </w:rPr>
              <w:t xml:space="preserve">kamaytirib</w:t>
            </w:r>
            <w:r>
              <w:rPr>
                <w:rFonts w:ascii="Times New Roman" w:hAnsi="Times New Roman" w:eastAsia="Times New Roman" w:cs="Times New Roman"/>
                <w:sz w:val="24"/>
                <w:szCs w:val="24"/>
              </w:rPr>
              <w:t xml:space="preserve"> ko‘rsatish holatlari, </w:t>
            </w:r>
            <w:r>
              <w:rPr>
                <w:rFonts w:ascii="Times New Roman" w:hAnsi="Times New Roman" w:eastAsia="Times New Roman" w:cs="Times New Roman"/>
                <w:sz w:val="24"/>
                <w:szCs w:val="24"/>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 ta’rifini kengaytirish, MHXS 9 ning 3-bosqichini to‘liq qamrash, “forborne exposures” ta’rifini joriy etish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 Bazel III ga to‘liq mos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elementlar va koeffitsiyentlar Bazel III dan farq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elementlarini to‘liq moslashtirish, 2026-yil 1-yanvardan monitoring</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3-ustun (oshkoralik)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Moliyaviy va nazorat hisobotlarini oshkor qilish bo‘yicha minimal talablar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talablar belgilanmagan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 bo‘yicha minimal talablar nizomini ishlab chiqish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Konsolidatsiyalangan nazorat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guruhlari, shu jumladan nobank ona kompaniyalar ustidan nazorat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Huquqiy asos to‘liq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Qonunga o‘zgartirish; konsolidatsiyalangan nazorat nizomi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aralashuv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va tezkor tuzatuvchi choralar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Mavjud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(EWS) va tezkor tuzatuvchi choralar (PCA) tizimini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 – 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sanatsiya qilish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rejimi, sanatsiya rejalari va jamg‘armasi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Shakllanish bosqichida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tizimini yaratish; tizimli banklar uchun birinchi sanatsiya rejalari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t xml:space="preserve">. B</w:t>
      </w:r>
      <w:r>
        <w:t xml:space="preserve">unda </w:t>
      </w:r>
      <w:r>
        <w:rPr/>
        <w:t xml:space="preserve">kamaytirib</w:t>
      </w:r>
      <w:r>
        <w:t xml:space="preserve"> ko‘rsatish holatlari ko‘proq uchraydigan imtiyozli va yo‘naltirilgan kreditlarga alohida e’tibor qaratish kerakligi ta’kidlangan</w:t>
      </w:r>
      <w:r>
        <w:rPr>
          <w:rStyle w:val="aff8"/>
        </w:rPr>
        <w:footnoteReference w:id="270"/>
      </w:r>
      <w:r>
        <w:t xml:space="preserve">. Yo‘l xaritasida bu muammoning </w:t>
      </w:r>
      <w:r>
        <w:rPr/>
        <w:t xml:space="preserve">aniq sabablari ham ko‘rsatilgan. Xususan, amaldagi tartibda</w:t>
      </w:r>
      <w:r>
        <w:t xml:space="preserve">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t xml:space="preserve">. Shu sababli</w:t>
      </w:r>
      <w:r>
        <w:t xml:space="preserve">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 xml:space="preserve">Oldingi paragrafda O‘zbekistonda banklar moliyaviy barqarorligini baholash tizimining tuzilishi va uni xalqaro standartlarga moslashtirish muammolari ko‘rib chiqildi. Endi ushbu tizim natijalarini, ya’ni bank tizimi va alohida banklarning moliyaviy barqarorlik </w:t>
      </w:r>
      <w:r>
        <w:rPr/>
        <w:t xml:space="preserve">ko‘rsatkichlarini,</w:t>
      </w:r>
      <w:r>
        <w:t xml:space="preserve">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80"/>
      </w:r>
      <w:r>
        <w:rPr>
          <w:rStyle w:val="aff8"/>
        </w:rPr>
        <w:footnoteReference w:id="281"/>
      </w:r>
      <w:r>
        <w:t xml:space="preserve">. Bu banklarning </w:t>
      </w:r>
      <w:r>
        <w:rPr/>
        <w:t xml:space="preserve">tanlanishi tasodifiy emas, chunki birinchisi</w:t>
      </w:r>
      <w:r>
        <w:t xml:space="preserve">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r>
      <w:r>
        <w:t xml:space="preserve">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w:t>
      </w:r>
      <w:r>
        <w:rPr/>
        <w:t xml:space="preserve">kamaytirib</w:t>
      </w:r>
      <w:r>
        <w:t xml:space="preserve">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jami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davlat ulushi mavjud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boshqa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Maxsus zaxiralarning muammoli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Zaxiralar chegirilgan muammoli kreditlarning kapitalga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rentabelligi (soliq to‘lagunga qadar)</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rentabelligi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 va moliyalashtirish tuzilmasi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Mijozlar depozitlarining jami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Xorijiy valyutadagi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 xml:space="preserve">Jadval ma’lumotlari bank tizimining umumiy holatini </w:t>
      </w:r>
      <w:r>
        <w:rPr/>
        <w:t xml:space="preserve">ijobiy baholash imkonini beradi, chunki kapital va likvidlik</w:t>
      </w:r>
      <w:r>
        <w:t xml:space="preserve">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spacing w:after="0" w:line="360" w:lineRule="auto"/>
        <w:ind w:firstLine="709"/>
        <w:jc w:val="both"/>
      </w:pPr>
      <w:r>
        <w:rPr/>
        <w:t xml:space="preserve">2.2.2-rasmdan </w:t>
      </w:r>
      <w:r>
        <w:rPr/>
        <w:t xml:space="preserve">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w:t>
      </w:r>
      <w:r>
        <w:rPr/>
        <w:t xml:space="preserve">bu ko‘rsatkichlar yuqori, chunki Bazel III da</w:t>
      </w:r>
      <w:r>
        <w:t xml:space="preserve"> jami kapital uchun 8 foiz, konservatsiya buferi bilan 10,5 foiz, asosiy kapital uchun esa 4,5 foiz minimum belgilangan</w:t>
      </w:r>
      <w:r>
        <w:rPr>
          <w:rStyle w:val="aff8"/>
        </w:rPr>
        <w:footnoteReference w:id="290"/>
      </w:r>
      <w:r>
        <w:t xml:space="preserve">. CAMELS tizimida eng yuqori, ya’ni </w:t>
      </w:r>
      <w:r>
        <w:rPr/>
        <w:t xml:space="preserve">1-reyting,</w:t>
      </w:r>
      <w:r>
        <w:t xml:space="preserve"> kapital koeffitsiyentlari 4 va 8 foizlik chegaralardan ancha yuqori bo‘lganda beriladi</w:t>
      </w:r>
      <w:r>
        <w:rPr>
          <w:rStyle w:val="aff8"/>
        </w:rPr>
        <w:footnoteReference w:id="291"/>
      </w:r>
      <w:r>
        <w:t xml:space="preserve">. Shu bilan birga, uch jihat bu bahoni ehtiyotkorlik bilan qabul qilishni talab qiladi. Birinchidan, 2.1-paragrafda ko‘rsatilganidek, kapital ta’rifi </w:t>
      </w:r>
      <w:r>
        <w:rPr/>
        <w:t xml:space="preserve">Bazel III ga to‘liq mos emas, chunki II darajali</w:t>
      </w:r>
      <w:r>
        <w:t xml:space="preserve">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5"/>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70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195"/>
        <w:gridCol w:w="964"/>
        <w:gridCol w:w="964"/>
        <w:gridCol w:w="964"/>
        <w:gridCol w:w="964"/>
        <w:gridCol w:w="964"/>
      </w:tblGrid>
      <w:tr>
        <w:trPr>
          <w:tblHeader/>
        </w:trPr>
        <w:tc>
          <w:tcPr>
            <w:tcW w:type="dxa" w:w="4195"/>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Substandart va muammoli kreditlar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12,5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15,9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19,5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15,0</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Muammoli kreditlar, davlat ulushi mavjud banklar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5,4</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4,0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Muammoli kreditlar, jami</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5,2</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3,6</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4,0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Muammoli kreditlar, boshqa banklar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4,1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4,1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0000"/>
                <w:sz w:val="24"/>
                <w:szCs w:val="24"/>
              </w:rPr>
              <w:t xml:space="preserve">━━ </w:t>
            </w:r>
            <w:r>
              <w:rPr>
                <w:rFonts w:ascii="Times New Roman" w:hAnsi="Times New Roman" w:eastAsia="Times New Roman" w:cs="Times New Roman"/>
                <w:b w:val="0"/>
                <w:sz w:val="24"/>
                <w:szCs w:val="24"/>
              </w:rPr>
              <w:t>Erta ogohlantirish chegarasi (5 %)</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5,0</w:t>
            </w:r>
          </w:p>
        </w:tc>
      </w:tr>
    </w:tbl>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rPr/>
        <w:t xml:space="preserve">Rasmda</w:t>
      </w:r>
      <w:r>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r>
      <w:r>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w:t>
      </w:r>
      <w:r>
        <w:rPr/>
        <w:t xml:space="preserve">Soliq to‘lagunga qadar foyda bo‘yicha aktivlar rentabelligi 2021-yilda 1,3 foiz, sof foyda bo‘yicha kapital rentabelligi esa 6,1 foiz bo‘lgan bo‘lsa</w:t>
      </w:r>
      <w:r>
        <w:t xml:space="preserve">, 2022–2023-yillarda ular mos ravishda 2,5–2,6 va 13,3–14,2 foizgacha oshgan. 2024-yilda kredit zararlari va </w:t>
      </w:r>
      <w:r>
        <w:rPr/>
        <w:t xml:space="preserve">foizsiz xarajatlarning</w:t>
      </w:r>
      <w:r>
        <w:t xml:space="preserve">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8"/>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w:t>
      </w:r>
      <w:r>
        <w:rPr/>
        <w:t xml:space="preserve">Shu sababli tahlil uchta</w:t>
      </w:r>
      <w:r>
        <w:rPr/>
        <w:t xml:space="preserve">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w:t>
      </w:r>
      <w:r>
        <w:rPr/>
        <w:t xml:space="preserve">misolida chuqurlashtiriladi.</w:t>
      </w:r>
      <w:r>
        <w:rPr/>
        <w:t xml:space="preserve"> Avval har bir </w:t>
      </w:r>
      <w:r>
        <w:rPr/>
        <w:t xml:space="preserve">bankning asosiy</w:t>
      </w:r>
      <w:r>
        <w:rPr/>
        <w:t xml:space="preserve"> ko‘rsatkichlari alohida (2.2.2–2.2.4-jadvallar), </w:t>
      </w:r>
      <w:r>
        <w:rPr/>
        <w:t xml:space="preserve">so‘ngra ular qiyosiy</w:t>
      </w:r>
      <w:r>
        <w:rPr/>
        <w:t xml:space="preserve">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r>
    </w:tbl>
    <w:p w:rsidR="005603EC" w:rsidRDefault="00AB61AC">
      <w:pPr>
        <w:pStyle w:val="af"/>
        <w:spacing w:after="0" w:line="360" w:lineRule="auto"/>
        <w:ind w:firstLine="709"/>
        <w:jc w:val="both"/>
      </w:pPr>
      <w:r>
        <w:rPr>
          <w:i/>
          <w:iCs/>
        </w:rPr>
        <w:t xml:space="preserve">Izoh: muammoli kreditlar – qoniqarsiz, shubhali va </w:t>
      </w:r>
      <w:r>
        <w:rPr>
          <w:i/>
          <w:iCs/>
        </w:rPr>
        <w:t xml:space="preserve">umidsiz kreditlar</w:t>
      </w:r>
      <w:r>
        <w:rPr>
          <w:i/>
          <w:iCs/>
        </w:rPr>
        <w:t xml:space="preserve">; </w:t>
      </w:r>
      <w:r>
        <w:rPr>
          <w:i/>
          <w:iCs/>
        </w:rPr>
        <w:t xml:space="preserve">ROA va ROE – sof foydaning o‘rtacha yillik aktivlar va kapitalga nisbati.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w:t>
      </w:r>
      <w:r>
        <w:rPr/>
        <w:t xml:space="preserve">MHXS hisoboti bilan tasdiqlanadi. Xususan, 2025-yil</w:t>
      </w:r>
      <w:r>
        <w:rPr/>
        <w:t xml:space="preserve"> yakunida bankning MHXS 9 bo‘yicha </w:t>
      </w:r>
      <w:r>
        <w:rPr/>
        <w:t xml:space="preserve">3-bosqich kreditlari ulushi 7,5 foizni</w:t>
      </w:r>
      <w:r>
        <w:rPr/>
        <w:t xml:space="preserve">, 2-bosqich kreditlari ulushi esa 35,7 foizni tashkil etgan</w:t>
      </w:r>
      <w:r>
        <w:rPr>
          <w:rStyle w:val="aff8"/>
        </w:rPr>
        <w:footnoteReference w:id="312"/>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w:t>
      </w:r>
      <w:r>
        <w:rPr/>
        <w:t xml:space="preserve">resurslari hisobiga moliyalashtiradi. Chunonchi, 2025-yil</w:t>
      </w:r>
      <w:r>
        <w:rPr/>
        <w:t xml:space="preserve"> yakunida bankning olingan kreditlari 35,5 trln so‘mni tashkil etib, depozitlardan qariyb 1,1 barobar ko‘p bo‘lgan</w:t>
      </w:r>
      <w:r>
        <w:rPr>
          <w:rStyle w:val="aff8"/>
        </w:rPr>
        <w:footnoteReference w:id="313"/>
      </w:r>
      <w:r>
        <w:rPr/>
        <w:t xml:space="preserve">.</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w:t>
      </w:r>
      <w:r>
        <w:rPr/>
        <w:t xml:space="preserve">Kapital monandligi “O‘zsanoatqurilishbank” ATB nikiga nisbatan aksariyat yillarda yuqoriroq bo‘lsa-da, </w:t>
      </w:r>
      <w:r>
        <w:rPr/>
        <w:t xml:space="preserve">keskin tebranadi. Jumladan, 2021-yilda</w:t>
      </w:r>
      <w:r>
        <w:rPr/>
        <w:t xml:space="preserve"> 13,8 foiz bilan minimum chegarasida bo‘lgan ko‘rsatkich 2022-yilda 20,7 foizga ko‘tarilgan, 2024-yilda 15,4 foizgacha tushib, 2025-yilda yana 18,5 foizga yetgan. Bu tebranishlarning sababi kapital manbalari</w:t>
      </w:r>
      <w:r>
        <w:rPr/>
        <w:t xml:space="preserve"> bilan bog‘liq. Xususan,</w:t>
      </w:r>
      <w:r>
        <w:rPr/>
        <w:t xml:space="preserve"> bankning xususiy kapitali 2022-yilda 2,3 trln so‘mdan 3,6 trln so‘mga oshgan, holbuki shu yili bank atigi 21,3 mlrd so‘m sof foyda olgan</w:t>
      </w:r>
      <w:r>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r>
    </w:tbl>
    <w:p w:rsidR="005603EC" w:rsidRDefault="00AB61AC">
      <w:pPr>
        <w:pStyle w:val="af"/>
        <w:spacing w:after="0" w:line="360" w:lineRule="auto"/>
        <w:ind w:firstLine="709"/>
        <w:jc w:val="both"/>
      </w:pPr>
      <w:r>
        <w:rPr>
          <w:i/>
          <w:iCs/>
        </w:rPr>
        <w:t xml:space="preserve">Izoh: muammoli kreditlar – qoniqarsiz, shubhali va </w:t>
      </w:r>
      <w:r>
        <w:rPr>
          <w:i/>
          <w:iCs/>
        </w:rPr>
        <w:t xml:space="preserve">umidsiz kreditlar</w:t>
      </w:r>
      <w:r>
        <w:rPr>
          <w:i/>
          <w:iCs/>
        </w:rPr>
        <w:t xml:space="preserve">; </w:t>
      </w:r>
      <w:r>
        <w:rPr>
          <w:i/>
          <w:iCs/>
        </w:rPr>
        <w:t xml:space="preserve">ROA va ROE – sof foydaning o‘rtacha yillik aktivlar va kapitalga nisbati.</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w:t>
      </w:r>
      <w:r>
        <w:rPr/>
        <w:t xml:space="preserve">daromadlilikka bevosita ta’sir ko‘rsatgan. Jumladan, ROE</w:t>
      </w:r>
      <w:r>
        <w:rPr/>
        <w:t xml:space="preserve"> 2021–2023-yillarda 0,7–1,9 foiz bilan inflyatsiya darajasidan ancha past bo‘lgan, 2024-yilda esa bank 1 703,8 mlrd so‘m zarar ko‘rgan. Bu zarar aktivlar bo‘yicha ehtimoliy yo‘qotishlarga qarshi zaxiralarning keskin oshirilishi </w:t>
      </w:r>
      <w:r>
        <w:rPr/>
        <w:t xml:space="preserve">natijasida yuzaga kelgan. Xususan, zaxiralar ajratilgandan</w:t>
      </w:r>
      <w:r>
        <w:rPr/>
        <w:t xml:space="preserve"> keyingi sof foizli daromad 1 167,3 mlrd so‘m zararni tashkil etgan</w:t>
      </w:r>
      <w:r>
        <w:rPr>
          <w:rStyle w:val="aff8"/>
        </w:rPr>
        <w:footnoteReference w:id="316"/>
      </w:r>
      <w:r>
        <w:rPr/>
        <w:t xml:space="preserve">. Boshqacha aytganda, ilgari </w:t>
      </w:r>
      <w:r>
        <w:rPr/>
        <w:t xml:space="preserve">kamaytirib</w:t>
      </w:r>
      <w:r>
        <w:rPr/>
        <w:t xml:space="preserve">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r>
    </w:tbl>
    <w:p w:rsidR="005603EC" w:rsidRDefault="00AB61AC">
      <w:pPr>
        <w:pStyle w:val="af"/>
        <w:spacing w:after="0" w:line="360" w:lineRule="auto"/>
        <w:ind w:firstLine="709"/>
        <w:jc w:val="both"/>
      </w:pPr>
      <w:r>
        <w:rPr>
          <w:i/>
          <w:iCs/>
        </w:rPr>
        <w:t xml:space="preserve">Izoh: muammoli kreditlar – qoniqarsiz, shubhali va </w:t>
      </w:r>
      <w:r>
        <w:rPr>
          <w:i/>
          <w:iCs/>
        </w:rPr>
        <w:t xml:space="preserve">umidsiz kreditlar</w:t>
      </w:r>
      <w:r>
        <w:rPr>
          <w:i/>
          <w:iCs/>
        </w:rPr>
        <w:t xml:space="preserve">; </w:t>
      </w:r>
      <w:r>
        <w:rPr>
          <w:i/>
          <w:iCs/>
        </w:rPr>
        <w:t xml:space="preserve">ROA va ROE – sof foydaning o‘rtacha yillik aktivlar va kapitalga nisbati.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8"/>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w:t>
      </w:r>
      <w:r>
        <w:rPr/>
        <w:t xml:space="preserve">farqi moliyalashtirish tuzilmasida. Xususan, kreditlarning</w:t>
      </w:r>
      <w:r>
        <w:rPr/>
        <w:t xml:space="preserve">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vAlign w:val="center"/>
          </w:tcPr>
          <w:p w:rsidR="004069DA" w:rsidRDefault="004069DA">
            <w:pPr>
              <w:jc w:val="center"/>
              <w:rPr>
                <w:rFonts w:ascii="Times New Roman" w:hAnsi="Times New Roman" w:eastAsia="Times New Roman" w:cs="Times New Roman"/>
                <w:sz w:val="24"/>
                <w:szCs w:val="24"/>
              </w:rPr>
            </w:pP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5B9BD5"/>
                <w:sz w:val="24"/>
                <w:szCs w:val="24"/>
              </w:rPr>
              <w:t xml:space="preserve">━ ━ </w:t>
            </w:r>
            <w:r>
              <w:rPr>
                <w:rFonts w:ascii="Times New Roman" w:hAnsi="Times New Roman" w:eastAsia="Times New Roman" w:cs="Times New Roman"/>
                <w:b/>
                <w:sz w:val="24"/>
                <w:szCs w:val="24"/>
              </w:rPr>
              <w:t>SQB: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1F4E79"/>
                <w:sz w:val="24"/>
                <w:szCs w:val="24"/>
              </w:rPr>
              <w:t xml:space="preserve">━━━ </w:t>
            </w:r>
            <w:r>
              <w:rPr>
                <w:rFonts w:ascii="Times New Roman" w:hAnsi="Times New Roman" w:eastAsia="Times New Roman" w:cs="Times New Roman"/>
                <w:b/>
                <w:sz w:val="24"/>
                <w:szCs w:val="24"/>
              </w:rPr>
              <w:t>SQB: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 </w:t>
            </w:r>
            <w:r>
              <w:rPr>
                <w:rFonts w:ascii="Times New Roman" w:hAnsi="Times New Roman" w:eastAsia="Times New Roman" w:cs="Times New Roman"/>
                <w:b/>
                <w:sz w:val="24"/>
                <w:szCs w:val="24"/>
              </w:rPr>
              <w:t>MKB: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4,4</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375623"/>
                <w:sz w:val="24"/>
                <w:szCs w:val="24"/>
              </w:rPr>
              <w:t xml:space="preserve">━━━ </w:t>
            </w:r>
            <w:r>
              <w:rPr>
                <w:rFonts w:ascii="Times New Roman" w:hAnsi="Times New Roman" w:eastAsia="Times New Roman" w:cs="Times New Roman"/>
                <w:b/>
                <w:sz w:val="24"/>
                <w:szCs w:val="24"/>
              </w:rPr>
              <w:t>MKB: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13,5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16,6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12,3</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ED7D31"/>
                <w:sz w:val="24"/>
                <w:szCs w:val="24"/>
              </w:rPr>
              <w:t xml:space="preserve">━ ━ </w:t>
            </w:r>
            <w:r>
              <w:rPr>
                <w:rFonts w:ascii="Times New Roman" w:hAnsi="Times New Roman" w:eastAsia="Times New Roman" w:cs="Times New Roman"/>
                <w:b/>
                <w:sz w:val="24"/>
                <w:szCs w:val="24"/>
              </w:rPr>
              <w:t>Aloqabank: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C00000"/>
                <w:sz w:val="24"/>
                <w:szCs w:val="24"/>
              </w:rPr>
              <w:t xml:space="preserve">━━━ </w:t>
            </w:r>
            <w:r>
              <w:rPr>
                <w:rFonts w:ascii="Times New Roman" w:hAnsi="Times New Roman" w:eastAsia="Times New Roman" w:cs="Times New Roman"/>
                <w:b/>
                <w:sz w:val="24"/>
                <w:szCs w:val="24"/>
              </w:rPr>
              <w:t>Aloqabank: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10,0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9"/>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20"/>
      </w:r>
      <w:r>
        <w:rPr>
          <w:rStyle w:val="aff8"/>
        </w:rPr>
        <w:footnoteReference w:id="321"/>
      </w:r>
      <w:r>
        <w:t>. Bundan ham muhimi, bankda 2-bosqich, ya’ni kredit riski sezilarli oshgan kreditlar ulushi 2023-yildagi 15,8 foizdan 2024-yilda 27,1 foizga, 2025-yilda esa 35,7 foizga ko‘tarilgan</w:t>
      </w:r>
      <w:r>
        <w:rPr>
          <w:rStyle w:val="aff8"/>
        </w:rPr>
        <w:footnoteReference w:id="32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3"/>
      </w:r>
      <w:r>
        <w:t>.</w:t>
      </w:r>
      <w:r>
        <w:rPr/>
        <w:t xml:space="preserve"> </w:t>
      </w:r>
      <w:r>
        <w:rPr/>
        <w:t xml:space="preserve">“Aloqabank” ATB da ham</w:t>
      </w:r>
      <w:r>
        <w:rPr/>
        <w:t xml:space="preserve"> </w:t>
      </w:r>
      <w:r>
        <w:rPr/>
        <w:t xml:space="preserve">xuddi shunday manzara kuzatiladi. Unda 3-bosqich</w:t>
      </w:r>
      <w:r>
        <w:rPr/>
        <w:t xml:space="preserve"> kreditlari ulushi 6,1–10,0 foizni tashkil etib, rasmiy muammoli kreditlar ulushidan (1,5–4,1 foiz) 2,5–4,9 barobar yuqori bo‘lgan</w:t>
      </w:r>
      <w:r>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4"/>
      </w:r>
      <w:r>
        <w:rPr/>
        <w:t>.</w:t>
      </w:r>
      <w:r>
        <w:t xml:space="preserve"> Taqqoslash uchun, 2020-yil oxirida </w:t>
      </w:r>
      <w:r>
        <w:rPr/>
        <w:t xml:space="preserve">“Mikrokreditbank” ATB da</w:t>
      </w:r>
      <w:r>
        <w:t xml:space="preserve"> 3-bosqich kreditlari ulushi atigi 2,4 foizni, 2-bosqich kreditlari ulushi esa 5,1 foizni tashkil etgan, “O‘zsanoatqurilishbank” ATB da esa mos ravishda 6,6 va 29,3 foiz bo‘lgan</w:t>
      </w:r>
      <w:r>
        <w:rPr>
          <w:rStyle w:val="aff8"/>
        </w:rPr>
        <w:footnoteReference w:id="325"/>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w:t>
      </w:r>
      <w:r>
        <w:rPr/>
        <w:t xml:space="preserve">kamaytirib</w:t>
      </w:r>
      <w:r>
        <w:t xml:space="preserve">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tizimi</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“O‘zsanoatqurilishbank”</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“Mikrokreditbank”</w:t>
            </w:r>
          </w:p>
        </w:tc>
        <w:tc>
          <w:tcPr>
            <w:tcW w:w="10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c>
          <w:tcPr>
            <w:tcW w:w="15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mezon</w:t>
            </w:r>
          </w:p>
        </w:tc>
        <w:tc>
          <w:tcPr>
            <w:tcW w:w="189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c>
          <w:tcPr>
            <w:tcW w:w="15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10,5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SQB va </w:t>
            </w:r>
            <w:r>
              <w:rPr>
                <w:rFonts w:ascii="Times New Roman" w:hAnsi="Times New Roman" w:eastAsia="Times New Roman" w:cs="Times New Roman"/>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 (erta ogohlantirish)</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Rasmiy jihatdan qoniqarli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 (2023)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10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&gt; 1 (CAMELS 1-reyting)</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Tizim va SQB yuqori, MK va Aloqabank past</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Yuqori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w:t>
            </w:r>
            <w:r>
              <w:rPr>
                <w:rFonts w:ascii="Times New Roman" w:hAnsi="Times New Roman" w:eastAsia="Times New Roman" w:cs="Times New Roman"/>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yuqori risk</w:t>
            </w:r>
          </w:p>
        </w:tc>
      </w:tr>
    </w:tbl>
    <w:p w:rsidR="005603EC" w:rsidRDefault="00AB61AC">
      <w:pPr>
        <w:pStyle w:val="af"/>
        <w:spacing w:after="0" w:line="360" w:lineRule="auto"/>
        <w:ind w:firstLine="709"/>
        <w:jc w:val="both"/>
      </w:pPr>
      <w: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w:t>
      </w:r>
      <w:r>
        <w:rPr/>
        <w:t xml:space="preserve">muhim jihatni ochib berdi. Unga ko‘ra, davlat banklarida</w:t>
      </w:r>
      <w:r>
        <w:t xml:space="preserve">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w:t>
      </w:r>
      <w:r>
        <w:rPr/>
        <w:t xml:space="preserve">eng zaif bo‘g‘in bo‘lib qolmoqda. Xususan, substandart</w:t>
      </w:r>
      <w:r>
        <w:t xml:space="preserve">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t xml:space="preserve">, chunki</w:t>
      </w:r>
      <w:r>
        <w:t xml:space="preserve"> 2021-yildan boshlab tijorat banklari moliyaviy hisobotni Moliyaviy hisobotning xalqaro standartlari (MHXS) bo‘yicha tuzishga o‘tgan bo‘lsa-da</w:t>
      </w:r>
      <w:r>
        <w:rPr>
          <w:rStyle w:val="aff8"/>
        </w:rPr>
        <w:footnoteReference w:id="327"/>
      </w:r>
      <w:r>
        <w:t xml:space="preserve">, prudensial nazorat, ya’ni kapital yetarliligi, aktivlar sifati va likvidlik me’yorlariga rioya </w:t>
      </w:r>
      <w:r>
        <w:rPr/>
        <w:t xml:space="preserve">etilishi,</w:t>
      </w:r>
      <w:r>
        <w:t xml:space="preserve">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r>
      <w:r>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xml:space="preserve">. Bu tadqiqotlar bitta </w:t>
      </w:r>
      <w:r>
        <w:rPr/>
        <w:t xml:space="preserve">umumiy xulosaga olib keladi. Unga ko‘ra, hisobot standarti</w:t>
      </w:r>
      <w:r>
        <w:t xml:space="preserve">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spacing w:after="0" w:line="360" w:lineRule="auto"/>
        <w:ind w:firstLine="709"/>
        <w:jc w:val="both"/>
      </w:pPr>
      <w:r>
        <w:rPr/>
        <w:t xml:space="preserve">2.3.1-jadval ma’lumotlari</w:t>
      </w:r>
      <w:r>
        <w:t xml:space="preserve"> shuni ko‘rsatadiki, ikki hisobot o‘rtasidagi farqlarning eng muhimlari kreditlarni tasniflash va zaxira shakllantirish qoidalari bilan bog‘liq. Milliy tizimda zaxira miqdori kreditning toifasiga qarab qat’iy stavkalarda </w:t>
      </w:r>
      <w:r>
        <w:lastRenderedPageBreak/>
      </w:r>
      <w:r>
        <w:t>belgilanadi</w:t>
      </w:r>
      <w:r>
        <w:rPr>
          <w:rStyle w:val="aff8"/>
        </w:rPr>
        <w:footnoteReference w:id="335"/>
      </w:r>
      <w:r>
        <w:t xml:space="preserve">. Ushbu stavkalar haqiqatda qo‘llanayotganini “O‘zsanoatqurilishbank” ATB ning 2025-yil yakunidagi </w:t>
      </w:r>
      <w:r>
        <w:rPr/>
        <w:t xml:space="preserve">hisoboti tasdiqlaydi. Jumladan, standart kreditlar</w:t>
      </w:r>
      <w:r>
        <w:t xml:space="preserve">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Belgi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prudensial hisobot</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bo‘yicha hisobot</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Ko‘rsatkichlarga ta’siri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doirasi</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guruhi (sho‘ba korxonalari bo‘lsa – konsolidatsiyalangan), aks holda alohida bank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kapital va foyda tarkibi o‘zgaradi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Kreditlarni tasniflash asosi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toifa: standart, substandart, qoniqarsiz, shubhali, umidsiz; asosiy mezon – muddati o‘tgan kunlar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Uch bosqich: kredit riski sezilarli oshmagan 1-bosqich,</w:t>
            </w:r>
            <w:r>
              <w:rPr>
                <w:rFonts w:ascii="Times New Roman" w:hAnsi="Times New Roman" w:eastAsia="Times New Roman" w:cs="Times New Roman"/>
                <w:sz w:val="24"/>
                <w:szCs w:val="24"/>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MHXS bo‘yicha yuqori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 shakllantirish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Toifa bo‘yicha qat’iy stavkalar: 1, 10, 25, 50 va 100 foiz</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defolt ehtimoli, defolt holatidagi yo‘qotish va riskdagi summa asosida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 riski sezilarli oshganining belgisi sifatida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t xml:space="preserve"> yoki 3-bosqichga o‘tkaziladi; yuqori bosqichga qaytarish uchun to‘lovlarning barqarorligi talab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stavkasidan past stavkadagi kreditlar va resurslar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Nominal qiymatda aks ettiriladi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Haqqoniy qiymatda tan olinadi, farq dastlabki tan olishdagi foyda yoki zarar sifatida ko‘rsatiladi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buxgalteriya hisobi asosida hisoblanadi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Hisoblanmaydi; izohlarda milliy me’yorlar bo‘yicha hisoblangan qiymat oshkor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bo‘yicha kapital farqi kapital monandligida aks etmaydi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muddati va oshkoralik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Yillik, auditorlik xulosasi bilan, olti oy kechikib e’lon qilinadi;</w:t>
            </w:r>
            <w:r>
              <w:rPr>
                <w:rFonts w:ascii="Times New Roman" w:hAnsi="Times New Roman" w:eastAsia="Times New Roman" w:cs="Times New Roman"/>
                <w:sz w:val="24"/>
                <w:szCs w:val="24"/>
              </w:rPr>
              <w:t xml:space="preserve"> bosqichlar, garov va risklar bo‘yicha batafsil izohlar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chuqurroq, ammo kechroq ma’lumot beradi</w:t>
            </w:r>
          </w:p>
        </w:tc>
      </w:tr>
    </w:tbl>
    <w:p w:rsidR="005603EC" w:rsidRDefault="00AB61AC">
      <w:pPr>
        <w:pStyle w:val="af"/>
        <w:spacing w:after="0" w:line="360" w:lineRule="auto"/>
        <w:ind w:firstLine="709"/>
        <w:jc w:val="both"/>
      </w:pPr>
      <w:r>
        <w:rPr/>
        <w:t xml:space="preserve">2.3.1-rasmdan </w:t>
      </w:r>
      <w:r>
        <w:t xml:space="preserve">ko‘rinib turibdiki, tafovut zanjirining boshlang‘ich bo‘g‘ini kreditlarni tasniflash bo‘lib, uning ta’siri moliyaviy barqarorlikning barcha asosiy bloklariga – aktivlar sifati, daromadlilik, kapital va likvidlikka yetib boradi. Bu zanjirning muhim xususiyati shundaki, uning har bir bo‘g‘inida </w:t>
      </w:r>
      <w:r>
        <w:rPr/>
        <w:t xml:space="preserve">ta’sir kuchsizlanib boradi. Masalan, kreditlar tasnifidagi</w:t>
      </w:r>
      <w:r>
        <w:t xml:space="preserve"> farq bir necha barobarni tashkil etsa, kapitaldagi farq o‘n </w:t>
      </w:r>
      <w:r>
        <w:lastRenderedPageBreak/>
      </w:r>
      <w:r>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1,7–4,9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13–18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1,7–4,9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13–18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w:t>
      </w:r>
      <w:r>
        <w:rPr/>
        <w:t xml:space="preserve">. Masalan, “Mikrokreditbank”</w:t>
      </w:r>
      <w:r>
        <w:rPr/>
        <w:t xml:space="preserve">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t xml:space="preserve">NPLtuz = (NPL / Lmilliy) × Kykr,  (2.3)</w:t>
      </w:r>
    </w:p>
    <w:p w:rsidR="005603EC" w:rsidRDefault="00AB61AC">
      <w:pPr>
        <w:pStyle w:val="af"/>
        <w:spacing w:after="0" w:line="360" w:lineRule="auto"/>
        <w:ind w:firstLine="709"/>
        <w:jc w:val="both"/>
      </w:pPr>
      <w:r>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t xml:space="preserve">. Bunday davrlar</w:t>
      </w:r>
      <w:r>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56 511,3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64 263,8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74 634,4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87 597,0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102 438,7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55 731,9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63 189,3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73 293,3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84 800,2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97 184,4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7 700,9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7 828,1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8 728,4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10 025,4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6 944,8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7 581,2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8 439,9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9 352,8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1 303,2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 kreditlar,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 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 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 20,4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 14,7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 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 27,1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 35,7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w:t>
      </w:r>
      <w:r>
        <w:rPr/>
        <w:t xml:space="preserve">bevosita ta’sir qiladi. Xususan, MHXS ma’lumotlari</w:t>
      </w:r>
      <w:r>
        <w:t xml:space="preserve">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w:t>
      </w:r>
      <w:r>
        <w:rPr/>
        <w:t xml:space="preserve">vaziyat tubdan farq qiladi, chunki rasmiy hisobot</w:t>
      </w:r>
      <w:r>
        <w:rPr/>
        <w:t xml:space="preserve">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r>
      <w:r>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spacing w:after="0" w:line="360" w:lineRule="auto"/>
        <w:ind w:firstLine="709"/>
        <w:jc w:val="both"/>
      </w:pPr>
      <w:r>
        <w:rPr/>
        <w:t xml:space="preserve">2.3.2-rasmdan </w:t>
      </w:r>
      <w:r>
        <w:t xml:space="preserve">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r>
      <w:r>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6"/>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spacing w:after="0" w:line="360" w:lineRule="auto"/>
        <w:ind w:firstLine="709"/>
        <w:jc w:val="both"/>
      </w:pPr>
      <w:r>
        <w:lastRenderedPageBreak/>
      </w:r>
      <w:r>
        <w:rPr/>
        <w:t xml:space="preserve">2.3.3-rasm ma’lumotlari</w:t>
      </w:r>
      <w:r>
        <w:t xml:space="preserve">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w:t>
      </w:r>
      <w:r>
        <w:rPr/>
        <w:t xml:space="preserve">esa, aksincha,</w:t>
      </w:r>
      <w:r>
        <w:t xml:space="preserve">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spacing w:after="0" w:line="360" w:lineRule="auto"/>
        <w:ind w:firstLine="709"/>
        <w:jc w:val="both"/>
      </w:pPr>
      <w:r>
        <w:rPr/>
        <w:t xml:space="preserve">2.3.4-rasm ma’lumotlari</w:t>
      </w:r>
      <w:r>
        <w:t xml:space="preserve">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xml:space="preserve">. 2-bosqich kreditlari bo‘yicha </w:t>
      </w:r>
      <w:r>
        <w:rPr/>
        <w:t xml:space="preserve">ham manzara o‘xshash. Jumladan, 2025-yilda</w:t>
      </w:r>
      <w:r>
        <w:t xml:space="preserve"> kredit riski sezilarli oshgan 25 320,4 mlrd so‘mlik kreditlarning 51,2 foizi milliy tasnifda “standart” kreditlar hisoblangan.</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50"/>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lastRenderedPageBreak/>
      </w:r>
      <w:r>
        <w:t xml:space="preserve">Bu ma’lumotlar yuqorida keltirilgan nazariy xulosani </w:t>
      </w:r>
      <w:r>
        <w:rPr/>
        <w:t xml:space="preserve">amaliy jihatdan tasdiqlaydi. Unga ko‘ra, milliy va MHXS</w:t>
      </w:r>
      <w:r>
        <w:t xml:space="preserve">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w:t>
      </w:r>
      <w:r>
        <w:rPr/>
        <w:t xml:space="preserve">2,77–3,28</w:t>
      </w:r>
      <w:r>
        <w:t xml:space="preserve"> oralig‘ida yuqori darajada saqlangan, uning eng yuqori qiymati esa 2024-yilga to‘g‘ri kelgan</w:t>
      </w:r>
      <w:r>
        <w:rPr>
          <w:rStyle w:val="aff8"/>
        </w:rPr>
        <w:footnoteReference w:id="352"/>
      </w:r>
      <w:r>
        <w:t>.</w:t>
      </w:r>
      <w:r>
        <w:rPr/>
        <w:t xml:space="preserve"> Taqqoslash uchun rasmda ushbu paragraf oxirida batafsil tahlil qilinadigan uchinchi davlat banki – “Aloqabank” ATB </w:t>
      </w:r>
      <w:r>
        <w:rPr/>
        <w:t xml:space="preserve">koeffitsiyenti ham keltirilgan. Ushbu koeffitsiyent 2021-yildagi</w:t>
      </w:r>
      <w:r>
        <w:rPr/>
        <w:t xml:space="preserve"> 2,46 dan 2022-yilda 4,90 gacha oshib, 2023–2024-yillarda 4,01 darajasida saqlangan, 2025-yilda esa 2,83 ga pasaygan, ya’ni bu bankda milliy tasnif kredit riskini ikki tadqiqot obyektiga nisbatan ham kuchliroq </w:t>
      </w:r>
      <w:r>
        <w:rPr/>
        <w:t xml:space="preserve">kamaytirib</w:t>
      </w:r>
      <w:r>
        <w:rPr/>
        <w:t xml:space="preserve"> ko‘rsatgan.</w:t>
      </w:r>
      <w:r>
        <w:t xml:space="preserve"> </w:t>
      </w:r>
      <w:r>
        <w:rPr/>
        <w:t xml:space="preserve">Uchala bank uchun</w:t>
      </w:r>
      <w:r>
        <w:t xml:space="preserve"> ham koeffitsiyentning nisbatan barqarorligi muhim </w:t>
      </w:r>
      <w:r>
        <w:rPr/>
        <w:t xml:space="preserve">amaliy xulosaga olib keladi. Unga ko‘ra, milliy hisobot</w:t>
      </w:r>
      <w:r>
        <w:t xml:space="preserve"> asosidagi muammoli kreditlar ko‘rsatkichi kredit riskini tasodifan emas, balki muntazam ravishda </w:t>
      </w:r>
      <w:r>
        <w:rPr/>
        <w:t xml:space="preserve">kamaytirib</w:t>
      </w:r>
      <w:r>
        <w:t xml:space="preserve">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13 483,4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16 782,5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19 061,5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23 542,5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30 728,8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12 802,3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16 521,3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18 244,1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23 851,4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30 969,3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2 321,1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3 643,9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3 933,6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3 550,6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5 739,2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2 291,6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3 650,9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3 578,1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4 101,3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6 270,8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−1 703,8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 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 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 16,6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 15,2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12,3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w:t>
      </w:r>
      <w:r>
        <w:rPr/>
        <w:t xml:space="preserve">olishini,</w:t>
      </w:r>
      <w:r>
        <w:t xml:space="preserve">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r>
      <w:r>
        <w:rPr/>
        <w:t>paragraf boshida J. Abad va J. Suarez tadqiqoti misolida</w:t>
      </w:r>
      <w:r>
        <w:t xml:space="preserve"> ko‘rib chiqilgan kutilgan kredit zararlari modelining prosiklik xususiyati to‘g‘risidagi xulosani </w:t>
      </w:r>
      <w:r>
        <w:rPr/>
        <w:t xml:space="preserve">boshqa tomondan ham to‘ldiradi. Chunonchi, ertaroq</w:t>
      </w:r>
      <w:r>
        <w:t xml:space="preserve">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xml:space="preserve">, MHXS ma’lumotlariga asoslangan koeffitsiyentlar esa banklar tomonidan e’lon qilinmaydi. Shu sababli ular Markaziy bank metodikasi bo‘yicha </w:t>
      </w:r>
      <w:r>
        <w:rPr/>
        <w:t xml:space="preserve">muallif tomonidan qayta hisoblandi. Bunda birinchi darajali</w:t>
      </w:r>
      <w:r>
        <w:t xml:space="preserve">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w:t>
      </w:r>
      <w:r>
        <w:rPr/>
        <w:t xml:space="preserve">– hamda</w:t>
      </w:r>
      <w:r>
        <w:t xml:space="preserve"> ikki hisobot turi bo‘yicha to‘rt variantda hisoblandi</w:t>
      </w:r>
      <w:r>
        <w:rPr>
          <w:rStyle w:val="aff8"/>
        </w:rPr>
        <w:footnoteReference w:id="358"/>
      </w:r>
      <w:r>
        <w:rPr>
          <w:rStyle w:val="aff8"/>
        </w:rPr>
        <w:footnoteReference w:id="359"/>
      </w:r>
      <w:r>
        <w:t>.</w:t>
      </w:r>
      <w:r>
        <w:rPr/>
        <w:t xml:space="preserve"> </w:t>
      </w:r>
      <w:r>
        <w:rPr/>
        <w:lastRenderedPageBreak/>
      </w:r>
      <w:r>
        <w:rPr/>
        <w:t xml:space="preserve">Hisob-kitob jarayonida xalqaro standart va bankning hisobot shakli o‘rtasida muhim farq aniqlandi. Bazel III ga </w:t>
      </w:r>
      <w:r>
        <w:rPr/>
        <w:t xml:space="preserve">ko‘ra,</w:t>
      </w:r>
      <w:r>
        <w:rPr/>
        <w:t xml:space="preserve"> mavjud barqaror moliyalashtirish tarkibiga bankning jami regulyativ kapitali 100 foizlik koeffitsiyent bilan kiradi</w:t>
      </w:r>
      <w:r>
        <w:rPr>
          <w:rStyle w:val="aff8"/>
        </w:rPr>
        <w:footnoteReference w:id="360"/>
      </w:r>
      <w:r>
        <w:rPr/>
        <w:t>, 2709-son nizomning 2025-yil 23-maygacha amal qilgan tahririda (54-band) ham regulyativ kapital belgilangan edi, bankning 2025-yil 30-dekabr holatidagi prudensial hisobot shaklida esa xususiy kapital ko‘rsatilgan</w:t>
      </w:r>
      <w:r>
        <w:rPr>
          <w:rStyle w:val="aff8"/>
        </w:rPr>
        <w:footnoteReference w:id="361"/>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2"/>
      </w:r>
      <w:r>
        <w:rPr/>
        <w:t>, “yo‘l xaritasi”ga ko‘ra esa ular Bazel III ga to‘liq moslashtirilib, 2026-yil 1-yanvardan monitoring qilinadi</w:t>
      </w:r>
      <w:r>
        <w:rPr>
          <w:rStyle w:val="aff8"/>
        </w:rPr>
        <w:footnoteReference w:id="363"/>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hisobot va metodika</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va Bazel III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Tafovut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(3-bosqich)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+4,95 p.p. (2,96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(2-bosqich)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+17,22 p.p. (1,93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2 947,5</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4 250,9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+44,2%</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124,8</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+2,6 p.p. (metodika +5,4; hisobot −2,8)</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Banklardagi mablag‘larning yuqori likvid aktivlardagi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bo‘yicha yuqori likvid aktiv emas</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−68,8 p.p. (banklardagi mablag‘lar yuqori likvid aktivlardan chiqarilganda)</w:t>
            </w:r>
          </w:p>
        </w:tc>
      </w:tr>
    </w:tbl>
    <w:p w:rsidR="005603EC" w:rsidRDefault="00AB61AC">
      <w:pPr>
        <w:pStyle w:val="af"/>
        <w:spacing w:after="0" w:line="360" w:lineRule="auto"/>
        <w:ind w:firstLine="709"/>
        <w:jc w:val="both"/>
      </w:pPr>
      <w:r>
        <w:rPr>
          <w:i/>
          <w:iCs/>
        </w:rPr>
        <w:t xml:space="preserve">Izoh: kapital monandligi ko‘rsatkichlari Markaziy bank metodikasi bo‘yicha MHXS ma’lumotlari asosida qayta hisoblandi; NSFR va LCR – Bazel III metodikasi bo‘yicha.</w:t>
      </w:r>
    </w:p>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w:t>
      </w:r>
      <w:r>
        <w:rPr/>
        <w:t xml:space="preserve">bir-birini qisman qoplaydi. Xususan, Bazel III</w:t>
      </w:r>
      <w:r>
        <w:t xml:space="preserve">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6"/>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spacing w:after="0" w:line="360" w:lineRule="auto"/>
        <w:ind w:firstLine="709"/>
        <w:jc w:val="both"/>
      </w:pPr>
      <w:r>
        <w:rPr/>
        <w:t xml:space="preserve">2.3.7-rasmdan </w:t>
      </w:r>
      <w:r>
        <w:t xml:space="preserve">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8"/>
      </w:r>
      <w:r>
        <w:rPr/>
        <w:t xml:space="preserve"> va auditdan o‘tgan MHXS bo‘yicha konsolidatsiyalangan moliyaviy hisobotlari</w:t>
      </w:r>
      <w:r>
        <w:rPr>
          <w:rStyle w:val="aff8"/>
        </w:rPr>
        <w:footnoteReference w:id="369"/>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 xml:space="preserve">“Aloqabank” ATB ning asosiy ko‘rsatkichlari: milliy hisobot va MHXS, 2021–2025-yillar</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12 638,5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16 083,6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16 044,7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23 251,3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31 527,5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12 566,0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15 866,3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15 778,2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22 669,2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31 344,2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1 673,5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2 643,2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3 082,2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3 846,9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1 604,3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2 397,7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3 099,7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3 491,0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 / 10,0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 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 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 / 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 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 6,6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r>
    </w:tbl>
    <w:p w:rsidR="005603EC" w:rsidRDefault="00AB61AC">
      <w:pPr>
        <w:pStyle w:val="af"/>
        <w:spacing w:after="0" w:line="360" w:lineRule="auto"/>
        <w:ind w:firstLine="709"/>
        <w:jc w:val="both"/>
      </w:pPr>
      <w:r>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w:t>
      </w:r>
      <w:r>
        <w:rPr/>
        <w:t xml:space="preserve">Bunga, birinchidan, bozor stavkasidan past stavkadagi joylashtirishlarni dastlabki tan olishdan ko‘rilgan 283,7 mlrd so‘m zarar (shu jumladan “O‘zbektelekom” AJ ga joylashtirilgan mablag‘lar bo‘yicha 260,5 mlrd so‘m), ikkinchidan, kutilgan kredit zararlari zaxirasining 2023-yil yakunidagi 156,2 mlrd so‘mdan 2025-yil yakunida 513,1 mlrd so‘mgacha oshishi sabab bo‘lgan.</w:t>
      </w:r>
      <w:r>
        <w:rPr/>
        <w:t xml:space="preserve">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1"/>
      </w:r>
      <w:r>
        <w:rPr/>
        <w:t xml:space="preserve">. Demak, uchinchi bank misolida ham milliy hisobot asosidagi baholash aktivlar sifati va daromadlilikni oshirib, likvidlik buferining sifatini esa haqiqiydan yuqori ko‘rsatadi, bu esa </w:t>
      </w:r>
      <w:r>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w:t>
      </w:r>
      <w:r>
        <w:rPr/>
        <w:t xml:space="preserve">kamaytirib</w:t>
      </w:r>
      <w:r>
        <w:t xml:space="preserve"> ko‘rsatishini tasdiqlaydi. Tafovut aktivlar sifati blokida eng katta, kapital va daromadlilik bloklarida sezilarli, likvidlik blokida esa nisbatan kichik. Bu</w:t>
      </w:r>
      <w:r>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w:t>
      </w:r>
      <w:r>
        <w:rPr/>
        <w:t xml:space="preserve">bu xulosa tasdiqlandi. Jumladan, besh yillik</w:t>
      </w:r>
      <w:r>
        <w:rPr/>
        <w:t xml:space="preserve">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 xml:space="preserve">Milliy hisobotdagi muammoli kreditlar ko‘rsatkichining kredit riskini </w:t>
      </w:r>
      <w:r>
        <w:rPr/>
        <w:t xml:space="preserve">kamaytirib</w:t>
      </w:r>
      <w:r>
        <w:t xml:space="preserve"> ko‘rsatish darajasini o‘lchash uchun yashirin kredit riski koeffitsiyenti, ya’ni MHXS 9 bo‘yicha 3-bosqich kreditlari ulushining milliy tasnifdagi muammoli kreditlar ulushiga </w:t>
      </w:r>
      <w:r>
        <w:rPr/>
        <w:t xml:space="preserve">nisbati,</w:t>
      </w:r>
      <w:r>
        <w:t xml:space="preserve"> taklif etildi. Koeffitsiyent “O‘zsanoatqurilishbank” ATB da 1,65–2,96, “Mikrokreditbank” ATB da </w:t>
      </w:r>
      <w:r>
        <w:rPr/>
        <w:t xml:space="preserve">2,77–3,28</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r>
      <w:r>
        <w:t xml:space="preserve">Milliy va xalqaro yondashuv o‘rtasidagi tafovut moliyaviy barqarorlik bloklari bo‘yicha </w:t>
      </w:r>
      <w:r>
        <w:rPr/>
        <w:t xml:space="preserve">bir tekis taqsimlanmagan. Xususan, u aktivlar</w:t>
      </w:r>
      <w:r>
        <w:t xml:space="preserve">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Aniqlangan muammo</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Dalil (II bob)</w:t>
            </w:r>
          </w:p>
        </w:tc>
        <w:tc>
          <w:tcPr>
            <w:tcW w:w="328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Metodika elementi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turli yo‘nalishda signal beradi, yagona baho yo‘q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kapital va likvidlik yuqori, aktivlar sifati zaif</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baholarini vaznlab birlashtiruvchi integral indeks</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muammoli kreditlar ko‘rsatkichi kredit riskini kamsitadi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1,65–4,90</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MHXS bo‘yicha kam, tafovut ortib bormoqda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me’yorlari Bazel III dan soddalashtirilgan va ochiq e’lon qilinmaydi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faqat “bajarildi – bajarilmadi” shaklida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 </w:t>
            </w:r>
            <w:r>
              <w:rPr>
                <w:rFonts w:ascii="Times New Roman" w:hAnsi="Times New Roman" w:eastAsia="Times New Roman" w:cs="Times New Roman"/>
                <w:sz w:val="24"/>
                <w:szCs w:val="24"/>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valyuta riski baholanmaydi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xorijiy valyutadagi kreditlar ulushi 38–49%</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 bloki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banklarida kapital davlat ko‘magiga bog‘liq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 </w:t>
            </w:r>
            <w:r>
              <w:rPr>
                <w:rFonts w:ascii="Times New Roman" w:hAnsi="Times New Roman" w:eastAsia="Times New Roman" w:cs="Times New Roman"/>
                <w:sz w:val="24"/>
                <w:szCs w:val="24"/>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 xml:space="preserve">Rasmdan ko‘rinib turibdiki, algoritm sakkiz bosqichdan iborat bo‘lib, uning o‘ziga xos jihati </w:t>
      </w:r>
      <w:r>
        <w:rPr/>
        <w:t xml:space="preserve">ikkinchi bosqichda namoyon bo‘ladi. Bunda agar bankning</w:t>
      </w:r>
      <w:r>
        <w:t xml:space="preserve">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w:t>
      </w:r>
      <w:r>
        <w:rPr/>
        <w:t xml:space="preserve">kamaytirib</w:t>
      </w:r>
      <w:r>
        <w:t xml:space="preserve">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409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 va ko‘rsatkich</w:t>
            </w:r>
          </w:p>
        </w:tc>
        <w:tc>
          <w:tcPr>
            <w:tcW w:w="145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 ball</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1.</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Birinchi darajali asosiy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 Bazel III</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2.</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2.3</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Zaxira bilan qoplanmagan muammoli kreditlar / kapital,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3.</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jami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mijozlar depozitlari,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4.</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Aktivlar rentabelligi (ROA),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Kapital rentabelligi (ROE),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5.</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lastRenderedPageBreak/>
              <w:t>Valyuta riskiga sezgirlik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Xorijiy valyutadagi kreditlar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65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Xorijiy valyutadagi majburiyatlar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 xml:space="preserve">Jadvalda keltirilgan chegaralarni belgilashda “me’yoriy talab – ball chegarasi” tamoyili qo‘llandi. Bu tamoyil Rossiya Banki metodikasida ham </w:t>
      </w:r>
      <w:r>
        <w:rPr/>
        <w:t xml:space="preserve">asosiy hisoblanadi. Xususan, unda kapital</w:t>
      </w:r>
      <w:r>
        <w:t xml:space="preserve">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r>
      <w:r>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t xml:space="preserve"> Bu chegaralar </w:t>
      </w:r>
      <w:r>
        <w:rPr/>
        <w:t xml:space="preserve">tashqi ma’lumot bilan ham tekshirildi. Xususan, Yevropa</w:t>
      </w:r>
      <w:r>
        <w:rPr/>
        <w:t xml:space="preserve">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90"/>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r>
      <w:r>
        <w:t xml:space="preserve">yo‘qoladi. Shu sababli bu ikki </w:t>
      </w:r>
      <w:r>
        <w:rPr/>
        <w:t xml:space="preserve">me’yor, 2.3-paragrafda ko‘rsatilganidek,</w:t>
      </w:r>
      <w:r>
        <w:t xml:space="preserve">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4"/>
      </w:r>
      <w:r>
        <w:rPr>
          <w:rStyle w:val="aff8"/>
        </w:rPr>
        <w:footnoteReference w:id="395"/>
      </w:r>
      <w:r>
        <w:t xml:space="preserve">. Kreditlarning depozitlarga nisbati uchun esa likvidlik nizomida </w:t>
      </w:r>
      <w:r>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w:t>
      </w:r>
      <w:r>
        <w:rPr/>
        <w:t xml:space="preserve">punktlik qadamni ifodalaydi. Bunda 200 foizdan</w:t>
      </w:r>
      <w:r>
        <w:rPr/>
        <w:t xml:space="preserve">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1"/>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2"/>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w:t>
      </w:r>
      <w:r>
        <w:rPr/>
        <w:t xml:space="preserve">dinamik tahlilda muhim, chunki pog‘onali</w:t>
      </w:r>
      <w:r>
        <w:t xml:space="preserve"> shkalada kapital monandligining asta-sekin pasayishi chegara kesib o‘tilgunga qadar umuman sezilmaydi, uzluksiz </w:t>
      </w:r>
      <w:r>
        <w:lastRenderedPageBreak/>
      </w:r>
      <w:r>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3"/>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t xml:space="preserve">gan holda,</w:t>
      </w:r>
      <w:r>
        <w:t xml:space="preserve"> boshqa yo‘l yo‘qligini ta’kidlaydi</w:t>
      </w:r>
      <w:r>
        <w:rPr>
          <w:rStyle w:val="aff8"/>
        </w:rPr>
        <w:footnoteReference w:id="404"/>
      </w:r>
      <w:r>
        <w:t>. Rossiyadagi reyting metodikalarini tahlil qilgan mualliflar ham vaznlar ko‘pincha asoslanmagan ekspert yo‘li bilan belgilanishini qayd etgan</w:t>
      </w:r>
      <w:r>
        <w:rPr>
          <w:rStyle w:val="aff8"/>
        </w:rPr>
        <w:footnoteReference w:id="405"/>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vazn</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Teng vaznlar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 nisbati (O‘zbekiston)</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Asoslash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bobda eng zaif bo‘g‘in, milliy va MHXS tafovuti eng katta</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ikki me’yori, tashqi moliyalashtirishga tayanish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ichki manbadan to‘ldirish imkoniyati</w:t>
            </w:r>
            <w:r>
              <w:rPr>
                <w:rFonts w:ascii="Times New Roman" w:hAnsi="Times New Roman" w:eastAsia="Times New Roman" w:cs="Times New Roman"/>
                <w:sz w:val="24"/>
                <w:szCs w:val="24"/>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7"/>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8"/>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Sinf</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Tavsifi</w:t>
            </w:r>
          </w:p>
        </w:tc>
        <w:tc>
          <w:tcPr>
            <w:tcW w:w="36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Tavsiya etiladigan choralar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 ≤ 4,00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Odatdagi nazorat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 qoniqarli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Ayrim bloklarda zaiflik, ko‘rsatkichlar asosan me’yoriy talablar darajasida (2–3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Bir nechta blokda ko‘rsatkichlar me’yorga yaqin yoki undan past (1–2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 MBII &lt; 1,75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ko‘pchiligi minimal xalqaro talablardan past (1 ball atrofida)</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10"/>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w:t>
      </w:r>
      <w:r>
        <w:rPr/>
        <w:t xml:space="preserve">hamda MHXS hisobotlari asosida (3.1.6-jadval)</w:t>
      </w:r>
      <w:r>
        <w:rPr/>
        <w:t xml:space="preserve">.</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10,21 (3,88)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16,39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 (3,83)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14,14 (3,45)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12,2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Muammoli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4,4 (3,30)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Substandart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(2,66)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−8,1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 (2,97)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(3,41)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206,5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 (2,58)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 (3,96)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0,6 (1,85)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 (2,31)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 (1,69)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 (2,45)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36,5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65,5 (2,72)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82,2 (1,89)</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60,1 (1,33)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37,0 (2,87)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60,9 (1,61)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31,6 (3,56)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3,42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3,248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8,87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9,76 (3,70)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15,32 (3,93)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19,96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13,11 (3,04)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3-bosqich </w:t>
            </w:r>
            <w:r>
              <w:rPr>
                <w:rFonts w:ascii="Times New Roman" w:hAnsi="Times New Roman" w:eastAsia="Times New Roman" w:cs="Times New Roman"/>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7,5 (2,50)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12,3 (1,53)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 (2,56)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2-bosqich </w:t>
            </w:r>
            <w:r>
              <w:rPr>
                <w:rFonts w:ascii="Times New Roman" w:hAnsi="Times New Roman" w:eastAsia="Times New Roman" w:cs="Times New Roman"/>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35,7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25,3 (1,97)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29,1 (1,09)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17,8 (2,22)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221,0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324,5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140,1 (2,20)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 (3,49)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 (1,22)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−0,7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0,8 (1,16)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87,6 (1,62)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89,0 (1,55)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61,2 (1,25)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60,4 (1,64)</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2,93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1,18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2,81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2,78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w:t>
      </w:r>
      <w:r>
        <w:rPr>
          <w:i/>
          <w:iCs/>
        </w:rPr>
        <w:t xml:space="preserve">(</w:t>
      </w:r>
      <w:r>
        <w:rPr>
          <w:i/>
          <w:iCs/>
        </w:rPr>
        <w:t xml:space="preserve">2.3.2–2</w:t>
      </w:r>
      <w:r>
        <w:rPr>
          <w:i/>
          <w:iCs/>
        </w:rPr>
        <w:t xml:space="preserve">.3.5-jadvallar; “Mikrokreditbank” ATB ning regulyativ kapital monandligi – 19,96 foiz – xuddi shu usulda hisoblandi)</w:t>
      </w:r>
      <w:r>
        <w:rPr>
          <w:i/>
          <w:iCs/>
        </w:rPr>
        <w:t xml:space="preserve">,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 turi</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3,14</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after="0" w:line="360" w:lineRule="auto"/>
        <w:ind w:firstLine="709"/>
        <w:jc w:val="both"/>
      </w:pPr>
      <w:r>
        <w:rPr>
          <w:i/>
          <w:iCs/>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rPr>
        <w:t xml:space="preserve">3.1.3-rasm. Uch bankda moliyaviy barqarorlikning integral indeksi: milliy hisobot va MHXS asosida, 2021–2025-yillar, ball</w:t>
      </w:r>
      <w:r>
        <w:rPr>
          <w:rStyle w:val="aff8"/>
        </w:rPr>
        <w:footnoteReference w:id="413"/>
      </w:r>
    </w:p>
    <w:p w:rsidR="005603EC" w:rsidRDefault="00AB61AC">
      <w:pPr>
        <w:pStyle w:val="af"/>
        <w:spacing w:after="0" w:line="360" w:lineRule="auto"/>
        <w:ind w:firstLine="709"/>
        <w:jc w:val="both"/>
      </w:pPr>
      <w:r>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3.1.4</w:t>
      </w:r>
      <w:r>
        <w:rPr>
          <w:b/>
        </w:rPr>
        <w:t xml:space="preserve">-rasm</w:t>
      </w:r>
      <w:r>
        <w:rPr>
          <w:b/>
        </w:rPr>
        <w:t xml:space="preserve">. Moliyaviy barqarorlikning integral indeksi qiymatlarining vaznlar tizimiga sezgirligi, 2025-yil</w:t>
      </w:r>
      <w:r>
        <w:rPr>
          <w:rStyle w:val="aff8"/>
        </w:rPr>
        <w:footnoteReference w:id="414"/>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w:t>
      </w:r>
      <w:r>
        <w:rPr/>
        <w:t xml:space="preserve">banklar tartibi vaznlarga bog‘liq. Xususan, taklif etilgan</w:t>
      </w:r>
      <w:r>
        <w:rPr/>
        <w:t xml:space="preserve">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Taqqoslash mezoni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 (AQSh)</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Rossiya Banki metodikasi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barqarorlik ko‘rsatkichlari</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MBII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ballik kompozit reyting</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bo‘yicha ball, guruhlarga ajratish</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to‘plami, yagona baho 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1–4 oraliqdagi uzluksiz indeks va 4 sinf</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siri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ochiq, natija yopiq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va ma’lumotlar ochiq</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Xalqaro standartlarga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Qisman</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normativlarga bog‘langan</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Bazel III ga yaqin ta’riflar (XVJ qo‘llanmasi, 2019)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MHXS 9, XVJ</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Nazoratchi bahosi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kunlik mezon (amalda milliy ta’rif)</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bosqichlari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standarti farqi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ΔMBII va tuzatish koeffitsiyentlari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Ball shkalasi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Uzluksiz (chiziqli interpolyatsiya)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Vaznlar</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Qat’iy belgilanmagan, nazoratchi mulohazasi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bir ko‘rsatkichga 1–3 vazn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Qo‘llanmaydi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Bozor riski doirasida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 yo‘q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ochiq pozitsiya</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 komponenti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 va shaffoflik guruhlari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 (ochiq ma’lumotlarda baholanmaydi)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choralari bilan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Sinflar va erta ogohlantirish zonalari bo‘yicha</w:t>
            </w:r>
            <w:r>
              <w:rPr>
                <w:rFonts w:ascii="Times New Roman" w:hAnsi="Times New Roman" w:eastAsia="Times New Roman" w:cs="Times New Roman"/>
                <w:sz w:val="24"/>
                <w:szCs w:val="24"/>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w:t>
      </w:r>
      <w:r>
        <w:rPr/>
        <w:t xml:space="preserve">chegaralari,</w:t>
      </w:r>
      <w:r>
        <w:t xml:space="preserve">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w:t>
      </w:r>
      <w:r>
        <w:rPr/>
        <w:t xml:space="preserve">subyekt</w:t>
      </w:r>
      <w:r>
        <w:t xml:space="preserve">ivlikdir. Iqtisodiy hamkorlik va taraqqiyot tashkiloti </w:t>
      </w:r>
      <w:r>
        <w:rPr/>
        <w:t xml:space="preserve">hamda</w:t>
      </w:r>
      <w:r>
        <w:t xml:space="preserve">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7"/>
      </w:r>
      <w:r>
        <w:t>. Moliyaviy stress indekslarini qurishda ham M. Illing va Y. Liu turli vaznlash usullarini solishtirib, eng yaxshi usulni indeksning haqiqiy stress davrlarini aniqlash qobiliyati bo‘yicha tanlagan</w:t>
      </w:r>
      <w:r>
        <w:rPr>
          <w:rStyle w:val="aff8"/>
        </w:rPr>
        <w:footnoteReference w:id="418"/>
      </w:r>
      <w:r>
        <w:t>. A.M. Karminskiy esa reyting modellarida vaznlar ekspert yo‘li bilan belgilansa ham, ular albatta statistik tekshiruvdan o‘tkazilishi lozimligini ta’kidlaydi</w:t>
      </w:r>
      <w:r>
        <w:rPr>
          <w:rStyle w:val="aff8"/>
        </w:rPr>
        <w:footnoteReference w:id="41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Usul</w:t>
            </w:r>
          </w:p>
        </w:tc>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Vazn nimani aks ettiradi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Qo‘llangan ma’lumotlar</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Entropiya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 Shannon</w:t>
            </w:r>
            <w:r>
              <w:rPr>
                <w:rFonts w:ascii="Times New Roman" w:hAnsi="Times New Roman" w:eastAsia="Times New Roman" w:cs="Times New Roman"/>
                <w:sz w:val="24"/>
                <w:szCs w:val="24"/>
              </w:rPr>
              <w:t xml:space="preserve"> entropiyasi asosida har bir ko‘rsatkich</w:t>
            </w:r>
            <w:r>
              <w:rPr>
                <w:rFonts w:ascii="Times New Roman" w:hAnsi="Times New Roman" w:eastAsia="Times New Roman" w:cs="Times New Roman"/>
                <w:sz w:val="24"/>
                <w:szCs w:val="24"/>
              </w:rPr>
              <w:t xml:space="preserve"> ballarining 25 ta bank-yil kuzatuvi</w:t>
            </w:r>
            <w:r>
              <w:rPr>
                <w:rFonts w:ascii="Times New Roman" w:hAnsi="Times New Roman" w:eastAsia="Times New Roman" w:cs="Times New Roman"/>
                <w:sz w:val="24"/>
                <w:szCs w:val="24"/>
              </w:rPr>
              <w:t xml:space="preserve"> o‘rtasidagi tarqoqligi </w:t>
            </w:r>
            <w:r>
              <w:rPr>
                <w:rFonts w:ascii="Times New Roman" w:hAnsi="Times New Roman" w:eastAsia="Times New Roman" w:cs="Times New Roman"/>
                <w:sz w:val="24"/>
                <w:szCs w:val="24"/>
              </w:rPr>
              <w:t xml:space="preserve">o‘lchanadi;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bir-biridan qanchalik farqlashi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Variatsiya koeffitsiyenti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 ballarining standart </w:t>
            </w:r>
            <w:r>
              <w:rPr>
                <w:rFonts w:ascii="Times New Roman" w:hAnsi="Times New Roman" w:eastAsia="Times New Roman" w:cs="Times New Roman"/>
                <w:sz w:val="24"/>
                <w:szCs w:val="24"/>
              </w:rPr>
              <w:t xml:space="preserve">chetlanishining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o‘rtacha qiymatga nisbati;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 qiymatlarining nisbiy o‘zgaruvchanligi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 komponentlar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ballarining korrelyatsiya tuzilmasi asosida </w:t>
            </w:r>
            <w:r>
              <w:rPr>
                <w:rFonts w:ascii="Times New Roman" w:hAnsi="Times New Roman" w:eastAsia="Times New Roman" w:cs="Times New Roman"/>
                <w:sz w:val="24"/>
                <w:szCs w:val="24"/>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umumiy barqarorlik omiliga hissasi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5 blok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(bashorat)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hodisasi ehtimoli bloklar ballariga regressiya qilinadi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muammolarni oldindan aniqlashdagi hissasi</w:t>
            </w:r>
            <w:r>
              <w:rPr>
                <w:rFonts w:ascii="Times New Roman" w:hAnsi="Times New Roman" w:eastAsia="Times New Roman" w:cs="Times New Roman"/>
                <w:sz w:val="24"/>
                <w:szCs w:val="24"/>
              </w:rPr>
              <w:t xml:space="preserve"> (koeffitsiyentlar modulining ulushi; kutilganiga teskari ishorali koeffitsiyentga ega </w:t>
            </w:r>
            <w:r>
              <w:rPr>
                <w:rFonts w:ascii="Times New Roman" w:hAnsi="Times New Roman" w:eastAsia="Times New Roman" w:cs="Times New Roman"/>
                <w:sz w:val="24"/>
                <w:szCs w:val="24"/>
              </w:rPr>
              <w:t xml:space="preserve">blok vazni – 0; kapital va valyuta bloklari uchun tayanch vaznlar saqlanadi)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bank, 2021–2024-yillar choraklik ma’lumotlari</w:t>
            </w:r>
            <w:r>
              <w:rPr>
                <w:rFonts w:ascii="Times New Roman" w:hAnsi="Times New Roman" w:eastAsia="Times New Roman" w:cs="Times New Roman"/>
                <w:sz w:val="24"/>
                <w:szCs w:val="24"/>
              </w:rPr>
              <w:t xml:space="preserve"> (308 kuzatuv), 8 ko‘rsatkichli panel indeksining 3 bloki (aktivlar sifati, likvidlik, daromadlilik)</w:t>
            </w:r>
            <w:r>
              <w:rPr>
                <w:rFonts w:ascii="Times New Roman" w:hAnsi="Times New Roman" w:eastAsia="Times New Roman" w:cs="Times New Roman"/>
                <w:sz w:val="24"/>
                <w:szCs w:val="24"/>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2"/>
      </w:r>
      <w:r>
        <w:rPr>
          <w:rStyle w:val="aff8"/>
        </w:rPr>
        <w:footnoteReference w:id="423"/>
      </w:r>
      <w:r>
        <w:rPr>
          <w:rStyle w:val="aff8"/>
        </w:rPr>
        <w:footnoteReference w:id="424"/>
      </w:r>
      <w:r>
        <w:rPr>
          <w:rStyle w:val="aff8"/>
        </w:rPr>
        <w:footnoteReference w:id="425"/>
      </w:r>
      <w:r>
        <w:rPr>
          <w:rStyle w:val="aff8"/>
        </w:rPr>
        <w:footnoteReference w:id="426"/>
      </w:r>
      <w:r>
        <w:t>. Yuqori likvid aktivlar ulushi esa “SNS” reyting agentligi bazasidan olindi</w:t>
      </w:r>
      <w:r>
        <w:rPr>
          <w:rStyle w:val="aff8"/>
        </w:rPr>
        <w:footnoteReference w:id="427"/>
      </w:r>
      <w:r>
        <w:t>. Logit usuli uchun 3.3-paragrafda shakllantirilgan 25 ta bank paneli qo‘llandi</w:t>
      </w:r>
      <w:r>
        <w:rPr/>
        <w:t xml:space="preserve"> (panelning tarkibi 3.3-paragrafda, muammo hodisasining ta’rifi esa 4.1-paragrafda batafsil yoritiladi</w:t>
      </w:r>
      <w:r>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8"/>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r>
              <w:rPr>
                <w:rFonts w:ascii="Times New Roman" w:hAnsi="Times New Roman" w:eastAsia="Times New Roman" w:cs="Times New Roman"/>
                <w:b/>
                <w:sz w:val="24"/>
                <w:szCs w:val="24"/>
              </w:rPr>
              <w:t xml:space="preserve"> (3.1-§)</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w:t>
      </w:r>
      <w:r>
        <w:rPr/>
        <w:t xml:space="preserve">yaqin yoki undan yuqori vazn bergan. Xususan, entropiya</w:t>
      </w:r>
      <w:r>
        <w:t xml:space="preserve">,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t xml:space="preserve">(0,30)</w:t>
      </w:r>
      <w:r>
        <w:rPr/>
        <w:t xml:space="preserve"> deyarli teng. Biroq tarqoqlikka asoslangan usullarda eng yuqori vazn daromadlilik blokiga (0,30–0,46) berilgan, ya’ni ularda aktivlar sifati bloki ikkinchi o‘rinda turadi</w:t>
      </w:r>
      <w:r>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t xml:space="preserve">Jadval ma’lumotlaridan</w:t>
      </w:r>
      <w:r>
        <w:t xml:space="preserve"> ko‘rinib turibdiki, usullar o‘rtasidagi farq asosan </w:t>
      </w:r>
      <w:r>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r>
      <w:r>
        <w:t xml:space="preserve">Vaznlar tanlovi indeks natijalariga qanchalik ta’sir qilishini aniqlash uchun beshta bankning integral indeksi har bir usul vaznlari bo‘yicha </w:t>
      </w:r>
      <w:r>
        <w:rPr/>
        <w:t xml:space="preserve">qayta hisoblandi (3.2.3-jadval). Bunda “Aloqabank” ATB tanlanmadan tashqari tekshiruv uchun qo‘shildi, jadvalning quyi qatorlarida esa har bir usul bo‘yicha 2021–2025-yillardagi 25 ta kuzatuvdan sinfi tayanch vaznlardagi bilan mos kelganlari soni, banklar tartibining korrelyatsiyasi va muammo hodisalarini bashorat qilish kuchi keltirilgan. Sinflarning mos kelishi vaznlarga eng sezgir ko‘rsatkich hisoblanadi, chunki tarqoqlikka asoslangan usullar sinf chegarasiga yaqin banklarning bahosini ko‘proq o‘zgartiradi.</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 xml:space="preserve">Tanlangan banklarning</w:t>
      </w:r>
      <w:r>
        <w:rPr>
          <w:b/>
          <w:bCs/>
        </w:rPr>
        <w:t xml:space="preserve">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 ko‘rsatkich</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2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“Aloqabank” ATB (tanlanmadan tashqari)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Sinfi </w:t>
            </w: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mos kuzatuvlar (25 tadan, 2021–2025-yillar)</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tartib bo‘yicha korrelyatsiya (Spirmen)</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0,98</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hodisalarini bashorat qilish kuchi (AUC, 25 bank paneli)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0,871</w:t>
            </w:r>
          </w:p>
        </w:tc>
      </w:tr>
    </w:tbl>
    <w:p w:rsidR="005603EC" w:rsidRDefault="00AB61AC">
      <w:pPr>
        <w:pStyle w:val="af"/>
        <w:spacing w:line="240" w:lineRule="auto"/>
        <w:jc w:val="both"/>
      </w:pPr>
      <w:r>
        <w:rPr>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rPr/>
        <w:t xml:space="preserve">Jadvaldan ko‘rinib</w:t>
      </w:r>
      <w:r>
        <w:t xml:space="preserve">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w:t>
      </w:r>
      <w:r>
        <w:t xml:space="preserve"> Sinflar bo‘yicha farqlar asosan sinflar chegarasiga yaqin bo‘lgan banklarda yuzaga keladi</w:t>
      </w:r>
      <w:r>
        <w:rPr/>
        <w:t xml:space="preserve">. Masalan, “Mikrokreditbank”</w:t>
      </w:r>
      <w:r>
        <w:t xml:space="preserve"> ATB entropiya usulida 1,92 ball bilan III sinfda qoladi, ammo uning ichida quyiroqqa tushadi.</w:t>
      </w:r>
      <w:r>
        <w:rPr/>
        <w:t xml:space="preserve"> Tanlanmadan tashqari “Aloqabank” ATB da </w:t>
      </w:r>
      <w:r>
        <w:rPr/>
        <w:t xml:space="preserve">esa manzara boshqacha. Jumladan, tayanch vaznlarda</w:t>
      </w:r>
      <w:r>
        <w:rPr/>
        <w:t xml:space="preserve">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t xml:space="preserve">AUC 0,865–0,907, tayanch vaznlarda – 0,864)</w:t>
      </w:r>
      <w:r>
        <w:t xml:space="preserve">, biroq farq katta emas, </w:t>
      </w:r>
      <w:r>
        <w:rPr/>
        <w:t xml:space="preserve">tayanch vaznlar</w:t>
      </w:r>
      <w:r>
        <w:t xml:space="preserve">ning bashorat kuchi esa bosh komponentlar usuli bilan </w:t>
      </w:r>
      <w:r>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rPr/>
        <w:t xml:space="preserve">. Bunda bloklar vaznlari Dirixle</w:t>
      </w:r>
      <w:r>
        <w:t xml:space="preserv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t xml:space="preserve"> (Dirixle taqsimotining parametri α = 20·w, bu yerda w – blokning tayanch vazni)</w:t>
      </w:r>
      <w:r>
        <w:t xml:space="preserve"> va vaznlar to‘liq tasodifiy, ya’ni hech qanday dastlabki farazsiz tanlangan holatda </w:t>
      </w:r>
      <w:r>
        <w:rPr/>
        <w:t xml:space="preserve">(3.2.1-rasm)</w:t>
      </w:r>
      <w:r>
        <w:t xml:space="preserve">.</w:t>
      </w:r>
    </w:p>
    <w:p w:rsidR="005603EC" w:rsidRDefault="00AB61AC">
      <w:pPr>
        <w:pStyle w:val="af"/>
        <w:spacing w:after="0" w:line="360" w:lineRule="auto"/>
        <w:ind w:firstLine="709"/>
        <w:jc w:val="both"/>
      </w:pPr>
      <w:r>
        <w:rPr/>
        <w:t xml:space="preserve">3.2.1-rasmdan </w:t>
      </w:r>
      <w:r>
        <w:t xml:space="preserve">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w:t>
      </w:r>
      <w:r>
        <w:rPr/>
        <w:t xml:space="preserve">bu holatda juda yuqori. Xususan, tartib</w:t>
      </w:r>
      <w:r>
        <w:t xml:space="preserve">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w:t>
      </w:r>
      <w:r>
        <w:rPr/>
        <w:t xml:space="preserve">mumkinligini anglatmaydi, chunki vaznlar</w:t>
      </w:r>
      <w:r>
        <w:t xml:space="preserve">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t xml:space="preserve">Vaznlardan tashqari, i</w:t>
      </w:r>
      <w:r>
        <w:t xml:space="preserve">ntegral indeksning ikkinchi metodik elementi – barqarorlik sinflari chegaralari, ya’ni 3,25; 2,5 va 1,75 ball</w:t>
      </w:r>
      <w:r>
        <w:rPr/>
        <w:t xml:space="preserve"> hisoblanadi</w:t>
      </w:r>
      <w:r>
        <w:t xml:space="preserve">. </w:t>
      </w:r>
      <w:r>
        <w:rPr/>
        <w:t xml:space="preserve">Ular 3.1-paragrafda 1–4 ballik shkalani teng to‘rt oraliqqa bo‘lish yo‘li bilan oldindan belgilangan edi.</w:t>
      </w:r>
      <w:r>
        <w:t xml:space="preserve"> Ularni empirik tekshirish uchun 25 ta bank panelida</w:t>
      </w:r>
      <w:r>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rPr>
        <w:t xml:space="preserve">3.2.1-rasm</w:t>
      </w:r>
      <w:r>
        <w:rPr>
          <w:b/>
        </w:rPr>
        <w:t xml:space="preserve">. Monte-Karlo tahlilida banklar barqarorlik sinfining saqlanish ulushi, foizda</w:t>
      </w:r>
      <w:r>
        <w:rPr>
          <w:rStyle w:val="aff8"/>
        </w:rPr>
        <w:footnoteReference w:id="433"/>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rPr>
        <w:t xml:space="preserve">2021–2024-yillar kuzatuvlari</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Barqarorlik sinfi</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ball</w:t>
            </w:r>
          </w:p>
        </w:tc>
        <w:tc>
          <w:tcPr>
            <w:tcW w:w="12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217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Keyingi to‘rt chorakda muammo hodisasi yuz bergan kuzatuvlar</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Ulushi, %</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 (Wilson), %</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0,8–5,0</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II – qoniqarli</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7,9–21,4</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59,6–98,2</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MBII &lt; 1,75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25 ta bank paneli, milliy hisobot asosidagi 8 ko‘rsatkichli choraklik indeks</w:t>
      </w:r>
      <w:r>
        <w:rPr>
          <w:sz w:val="24"/>
        </w:rPr>
        <w:t xml:space="preserve"> (MBII-8)</w:t>
      </w:r>
      <w:r>
        <w:rPr>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 xml:space="preserve">sinflar chegaralari tahlil davri </w:t>
      </w:r>
      <w:r>
        <w:rPr/>
        <w:t xml:space="preserve">ma’lumotlarida aniq farqlanadi. Xususan, I sinfdagi</w:t>
      </w:r>
      <w:r>
        <w:t xml:space="preserve">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w:t>
      </w:r>
      <w:r>
        <w:rPr/>
        <w:t xml:space="preserve">tasdig‘ini</w:t>
      </w:r>
      <w:r>
        <w:rPr/>
        <w:t xml:space="preserve">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t xml:space="preserve">Shundan so‘ng </w:t>
      </w:r>
      <w:r>
        <w:rPr/>
        <w:t xml:space="preserve">empirik tekshiruvdan o‘tgan, tayanch vaznli indeks</w:t>
      </w:r>
      <w:r>
        <w:t xml:space="preserve"> beshta bankning 2021–2025-yillardagi moliyaviy barqarorligi dinamikasini baholash uchun qo‘llandi </w:t>
      </w:r>
      <w:r>
        <w:rPr/>
        <w:t xml:space="preserve">(3.2.2-rasm)</w:t>
      </w:r>
      <w:r>
        <w:t xml:space="preserve">.</w:t>
      </w:r>
    </w:p>
    <w:p w:rsidR="005603EC" w:rsidRDefault="00AB61AC">
      <w:pPr>
        <w:pStyle w:val="af"/>
        <w:spacing w:after="0" w:line="360" w:lineRule="auto"/>
        <w:ind w:firstLine="709"/>
        <w:jc w:val="both"/>
      </w:pPr>
      <w:r>
        <w:rPr/>
        <w:t xml:space="preserve">3.2.2-rasmdan </w:t>
      </w:r>
      <w:r>
        <w:t xml:space="preserve">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w:t>
      </w:r>
      <w:r>
        <w:rPr/>
        <w:t xml:space="preserve">kapitallashtirish hisobiga yuz bergan. Jumladan, 2022–2025-yillarda</w:t>
      </w:r>
      <w:r>
        <w:t xml:space="preserve">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t xml:space="preserve">Natijalarning umumiyligini tekshirish maqsadida i</w:t>
      </w:r>
      <w:r>
        <w:rPr/>
        <w:t xml:space="preserve">ndeks empirik vaznlar baholanishida qatnashmagan oltinchi bank – “Aloqabank” ATB ma’lumotlarida ham tekshirildi </w:t>
      </w:r>
      <w:r>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“Xalq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3,38</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C000"/>
                <w:sz w:val="24"/>
                <w:szCs w:val="24"/>
              </w:rPr>
              <w:t xml:space="preserve">━━ </w:t>
            </w:r>
            <w:r>
              <w:rPr>
                <w:rFonts w:ascii="Times New Roman" w:hAnsi="Times New Roman" w:eastAsia="Times New Roman" w:cs="Times New Roman"/>
                <w:b w:val="0"/>
                <w:sz w:val="24"/>
                <w:szCs w:val="24"/>
              </w:rPr>
              <w:t>“Biznesni rivojlantirish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2,03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“Ipoteka-bank”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00A3A3"/>
                <w:sz w:val="24"/>
                <w:szCs w:val="24"/>
              </w:rPr>
              <w:t xml:space="preserve">╍╍ </w:t>
            </w:r>
            <w:r>
              <w:rPr>
                <w:rFonts w:ascii="Times New Roman" w:hAnsi="Times New Roman" w:eastAsia="Times New Roman" w:cs="Times New Roman"/>
                <w:b w:val="0"/>
                <w:sz w:val="24"/>
                <w:szCs w:val="24"/>
              </w:rPr>
              <w:t>“Aloqabank” (tanlanmadan tashqari)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line="240" w:lineRule="auto"/>
        <w:jc w:val="both"/>
      </w:pPr>
      <w:r>
        <w:rPr>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rPr>
        <w:t xml:space="preserve">3.2.2-rasm</w:t>
      </w:r>
      <w:r>
        <w:rPr>
          <w:b/>
        </w:rPr>
        <w:t xml:space="preserve">. Tanlangan banklarda moliyaviy barqarorlikning integral indeksi, MHXS hisobotlari asosida, 2021–2025-yillar</w:t>
      </w:r>
      <w:r>
        <w:rPr>
          <w:rStyle w:val="aff8"/>
        </w:rPr>
        <w:footnoteReference w:id="437"/>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w:t>
      </w:r>
      <w:r>
        <w:rPr/>
        <w:t xml:space="preserve">0,30</w:t>
      </w:r>
      <w:r>
        <w:rPr/>
        <w:t xml:space="preserve">) deyarli teng, bashorat kuchiga asoslangan logit </w:t>
      </w:r>
      <w:r>
        <w:rPr/>
        <w:lastRenderedPageBreak/>
      </w:r>
      <w:r>
        <w:rPr/>
        <w:t>usulida esa bu blok yagona statistik ahamiyatli blok bo‘ldi.</w:t>
      </w:r>
      <w:r>
        <w:t xml:space="preserve"> Ikkinchidan, vaznlar tanlovi banklar tartibini </w:t>
      </w:r>
      <w:r>
        <w:rPr/>
        <w:t xml:space="preserve">deyarli o‘zgartirmaydi. Xususan, tartib</w:t>
      </w:r>
      <w:r>
        <w:rPr/>
        <w:t xml:space="preserve">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xml:space="preserve">. O‘zbekistonda esa bank barqarorligi omillarini bank darajasidagi panel ma’lumotlar asosida, ayniqsa integral ko‘rsatkich orqali baholashga bag‘ishlangan tadqiqotlar </w:t>
      </w:r>
      <w:r>
        <w:rPr/>
        <w:t xml:space="preserve">deyarli mavjud emas. Mavjud ishlarda esa ko‘rsatkichlar</w:t>
      </w:r>
      <w:r>
        <w:t xml:space="preserve">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spacing w:after="0" w:line="360" w:lineRule="auto"/>
        <w:ind w:firstLine="709"/>
        <w:jc w:val="both"/>
      </w:pPr>
      <w:r>
        <w:rPr/>
        <w:t xml:space="preserve">3.3.1-jadvalda </w:t>
      </w:r>
      <w:r>
        <w:t xml:space="preserve">keltirilgan gipotezalarning har biri xalqaro tadqiqotlarda tasdiqlangan mexanizmga tayanadi. Birinchi gipoteza davlat banklarining siyosiy maqsadlarda kreditlash va yumshoq byudjet cheklovi sharoitida faoliyat yuritishi bilan izohlanadi</w:t>
      </w:r>
      <w:r>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w:t>
      </w:r>
      <w:r>
        <w:rPr/>
        <w:t xml:space="preserve">tadqiqotiga asoslanadi. Ushbu mualliflar kreditlarning</w:t>
      </w:r>
      <w:r>
        <w:t xml:space="preserve"> g‘ayrioddiy tez o‘sishi keyingi uch yilda kredit zaxiralarining oshishi va kapitallashuvning yomonlashuviga olib kelishini </w:t>
      </w:r>
      <w:r>
        <w:lastRenderedPageBreak/>
      </w:r>
      <w:r>
        <w:t>ko‘rsatgan</w:t>
      </w:r>
      <w:r>
        <w:rPr>
          <w:rStyle w:val="aff8"/>
        </w:rPr>
        <w:footnoteReference w:id="443"/>
      </w:r>
      <w:r>
        <w:t xml:space="preserve">. Uchinchi gipoteza A. Demirgüç-Kunt va H. Huizinga </w:t>
      </w:r>
      <w:r>
        <w:rPr/>
        <w:t xml:space="preserve">xulosasiga tayanadi. Unga ko‘ra, depozit bo‘lmagan</w:t>
      </w:r>
      <w:r>
        <w:t xml:space="preserve">, ya’ni ulgurji moliyalashtirishga ko‘proq tayanadigan banklar riskliroq bo‘ladi</w:t>
      </w:r>
      <w:r>
        <w:rPr>
          <w:rStyle w:val="aff8"/>
        </w:rPr>
        <w:footnoteReference w:id="444"/>
      </w:r>
      <w:r>
        <w:t xml:space="preserve">. </w:t>
      </w:r>
      <w:r>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Kutilgan ta’sir</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H1</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banklarining moliyaviy barqarorligi xususiy banklarnikidan past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H2</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Jadal kreditlash bir yildan keyin barqarorlikni pasaytiradi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4 va 8 chorak lag bilan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H3</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depozit bazasi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H4</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faoliyatdan daromad olish qobiliyati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H5</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Iqtisodiy o‘sish kredit riskini kamaytiradi, pul-kredit siyosatining qat’iylashuvi esa oshiradi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asosiy stavka, so‘m kursi, inflyatsiya</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ulushiga: YaIM – manfiy; stavka va so‘m qadrsizlanishi – musbat; inflyatsiya – noaniq</w:t>
            </w:r>
          </w:p>
        </w:tc>
      </w:tr>
    </w:tbl>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rPr/>
        <w:t xml:space="preserve">. Bu ko‘rsatkich aktivlar rentabelligi</w:t>
      </w:r>
      <w:r>
        <w:t xml:space="preserve"> va kapitalning aktivlarga nisbati yig‘indisining aktivlar rentabelligi standart chetlanishiga nisbati sifatida hisoblanadi va bank zarar ko‘rib kapitalini yo‘qotishi uchun daromadlilik </w:t>
      </w:r>
      <w:r>
        <w:lastRenderedPageBreak/>
      </w:r>
      <w:r>
        <w:t xml:space="preserve">o‘rtacha darajasidan necha standart chetlanishga pasayishi kerakligini ko‘rsatadi. Standart chetlanish L. Lepetit va F. Strobel tavsiyasiga muvofiq </w:t>
      </w:r>
      <w:r>
        <w:rPr/>
        <w:t xml:space="preserve">8 chorakli (tanlanma boshida kamida 4 chorakli) siljuvchi oyna bo‘yicha</w:t>
      </w:r>
      <w:r>
        <w:t xml:space="preserve">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chetlanish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Minimum</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Maksimum</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Panel integral indeksi (MBII-8),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 mlrd so‘m)</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(yillik),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86,7</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r>
    </w:tbl>
    <w:p w:rsidR="005603EC" w:rsidRDefault="00AB61AC">
      <w:pPr>
        <w:pStyle w:val="af"/>
        <w:spacing w:line="240" w:lineRule="auto"/>
        <w:jc w:val="both"/>
      </w:pPr>
      <w:r>
        <w:rPr>
          <w:sz w:val="24"/>
        </w:rPr>
        <w:t xml:space="preserve">Izoh: muammoli kreditlar ulushi, kreditlar o‘sishi, depozitlar/aktivlar, sof foiz marjasi va ln(Z-score) regressiyalardagi kabi 1 va 99 foizli persentillar bo‘yicha vinzorlangan.</w:t>
      </w:r>
    </w:p>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w:t>
      </w:r>
      <w:r>
        <w:rPr/>
        <w:t xml:space="preserve">4 ball bilan baholangan, chunki tanlanmadagi</w:t>
      </w:r>
      <w:r>
        <w:t xml:space="preserve">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w:t>
      </w:r>
      <w:r>
        <w:rPr/>
        <w:t xml:space="preserve">2024-yilda davlat banklari indeksining 2,88 ballgacha pasayishiga ularning aktivlar rentabelligi medianasining 0,1 foizgacha tushib ketishi sabab bo‘lgan. Bu yilda to‘qqizta davlat bankidan beshtasida ROA 0,13 foizdan oshmagan, “Mikrokreditbank” va “Biznesni rivojlantirish banki” ATBlari esa </w:t>
      </w:r>
      <w:r>
        <w:rPr/>
        <w:t xml:space="preserve">yilni zarar</w:t>
      </w:r>
      <w:r>
        <w:rPr/>
        <w:t xml:space="preserve"> bilan yakunlagan, “Mikrokreditbank” ATB zarari esa II bobda aniqlangan yashirin kredit riskining bir yo‘la tan olinishi bilan bog‘liq. 2025-yilda farq 0,47 ballgacha qisqargan. Bunga davlat banklari indeksining 2,88 dan 3,15 ballgacha tiklanishi bilan birga boshqa banklar indeksining 2022-yildagi 3,89 dan 3,61 ballgacha izchil pasayishi sabab bo‘lgan.</w:t>
      </w:r>
      <w:r>
        <w:lastRenderedPageBreak/>
      </w:r>
      <w:r>
        <w:t xml:space="preserve"> Boshqa banklarda bu pasayish likvidlik blokining </w:t>
      </w:r>
      <w:r>
        <w:rPr/>
        <w:t xml:space="preserve">yomonlashuvi bilan izohlanadi. Xususan, ularda</w:t>
      </w:r>
      <w:r>
        <w:t xml:space="preserve">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w:t>
      </w:r>
      <w:r>
        <w:rPr/>
        <w:t xml:space="preserve">moliyalashtirish modelidagi tafovutdir. Jumladan, davlat</w:t>
      </w:r>
      <w:r>
        <w:t xml:space="preserve">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r>
      <w:r>
        <w:t xml:space="preserve">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w:t>
      </w:r>
      <w:r>
        <w:rPr/>
        <w:t xml:space="preserve">1,65–4,90 barobar</w:t>
      </w:r>
      <w:r>
        <w:t xml:space="preserve">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 xml:space="preserve">3.3.3-rasm. Davlat banklari va boshqa banklarda </w:t>
      </w:r>
      <w:r>
        <w:rPr>
          <w:b/>
        </w:rPr>
        <w:t xml:space="preserve">Z-score logarifmining medianasi, 2022–2025-yillarning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w:t>
      </w:r>
      <w:r>
        <w:rPr/>
        <w:t xml:space="preserve">barqarorroq ko‘rinadi. Xususan, 2025-yilda</w:t>
      </w:r>
      <w:r>
        <w:t xml:space="preserve">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w:t>
      </w:r>
      <w:r>
        <w:rPr/>
        <w:t xml:space="preserve">kapitalning aktivlarga nisbati esa boshqa banklarnikidan past bo‘lsa-da (2022–2025-yillarda medianasi 13,3–14,0 foizga nisbatan 15,8–16,6 foiz), aktivlar rentabelligining standart chetlanishi ancha kichik (2025-yilda 1,16 foiz punktga nisbatan 0,71 foiz punkt).</w:t>
      </w:r>
      <w:r>
        <w:t xml:space="preserve"> Natijada Z-score davlat ko‘magini bankning o‘z barqarorligi sifatida qabul qiladi, integral </w:t>
      </w:r>
      <w:r>
        <w:lastRenderedPageBreak/>
      </w:r>
      <w:r>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 xml:space="preserve">MBII-8</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r>
      <w:r>
        <w:t>T. Anderson va C. Hsiao usuli bo‘yicha birinchi farqlarda, indeksning ikki chorak oldingi qiymatini instrument sifatida qo‘llab baholandi</w:t>
      </w:r>
      <w:r>
        <w:rPr>
          <w:rStyle w:val="aff8"/>
        </w:rPr>
        <w:footnoteReference w:id="466"/>
      </w:r>
      <w:r>
        <w:rPr>
          <w:rStyle w:val="aff8"/>
        </w:rPr>
        <w:footnoteReference w:id="467"/>
      </w:r>
      <w:r>
        <w:t xml:space="preserve">. Omillar o‘rtasidagi multikollinearlik dispersiya inflyatsiyasi koeffitsiyenti </w:t>
      </w:r>
      <w:r>
        <w:rPr/>
        <w:t xml:space="preserve">(VIF) orqali tekshirildi. Natijalarga ko‘ra, uning eng yuqori</w:t>
      </w:r>
      <w:r>
        <w:t xml:space="preserve">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Dinamik (Anderson–Hsiao)</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 (t−1)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0,502*** (0,185)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0,057 (0,084)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−0,071 (0,091)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 (0,139)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0,274*** (0,095)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−0,0009*** (0,0003)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0,0001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0,007*** (0,003)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0,008*** (0,001)</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0,021* (0,013)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0,022*** (0,003)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−0,278 (0,205)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0,364* (0,215)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r>
      <w:tr w:rsidR="005603EC" w:rsidTr="005603EC">
        <w:trPr>
          <w:cantSplit/>
        </w:trPr>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 (umumiy)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(bank ichidagi)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Testlar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Breusch–Pagan LM = 616,1 (p &lt; 0,001)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χ²(4) = 17,34 (p =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 xml:space="preserve">statistik ahamiyatli ta’sir ko‘rsatadi </w:t>
      </w:r>
      <w:r>
        <w:rPr/>
        <w:t xml:space="preserve">(barcha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xml:space="preserve">. Ikkinchidan, sof foiz marjasi integral indeksga </w:t>
      </w:r>
      <w:r>
        <w:rPr/>
        <w:t xml:space="preserve">musbat ta’sir ko‘rsatadi. Xususan, marjaning</w:t>
      </w:r>
      <w:r>
        <w:t xml:space="preserve"> 1 foiz punktga oshishi qayd etilgan effektli modelga ko‘ra indeksni 0,009 ballga, dinamik modelga ko‘ra 0,022 ballga oshiradi. Bu </w:t>
      </w:r>
      <w:r>
        <w:rPr/>
        <w:t xml:space="preserve">to‘rtinchi gipotezani tasdiqlaydi, ya’ni asosiy</w:t>
      </w:r>
      <w:r>
        <w:t xml:space="preserve">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 xml:space="preserve">Dinamik model integral indeksning sezilarli </w:t>
      </w:r>
      <w:r>
        <w:rPr/>
        <w:t xml:space="preserve">inersiyaga ega ekanini ko‘rsatadi. Xususan, oldingi</w:t>
      </w:r>
      <w:r>
        <w:t xml:space="preserve">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 xml:space="preserve">qariyb 0,17 ballga oshiradi</w:t>
      </w:r>
      <w:r>
        <w:t xml:space="preserve">. Bu natija P. Athanasoglou va hammualliflar xulosasiga mos keladi</w:t>
      </w:r>
      <w:r>
        <w:rPr>
          <w:rStyle w:val="aff8"/>
        </w:rPr>
        <w:footnoteReference w:id="471"/>
      </w:r>
      <w:r>
        <w:t xml:space="preserve">, biroq inersiyaning nisbatan pastligi bir martalik zararlar va qayta kapitallashtirishlar bilan izohlanadi. </w:t>
      </w:r>
      <w:r>
        <w:rPr/>
        <w:t xml:space="preserve">Mazkur holat</w:t>
      </w:r>
      <w:r>
        <w:t xml:space="preserve"> indeksni har chorakda hisoblash zarurligini asoslaydi.</w:t>
      </w:r>
    </w:p>
    <w:p w:rsidR="005603EC" w:rsidRDefault="00AB61AC">
      <w:pPr>
        <w:pStyle w:val="af"/>
        <w:spacing w:after="0" w:line="360" w:lineRule="auto"/>
        <w:ind w:firstLine="709"/>
        <w:jc w:val="both"/>
      </w:pPr>
      <w:r>
        <w:t xml:space="preserve">Kreditlar o‘sishining ta’siri spetsifikatsiyaga bog‘liq bo‘lgan. Banklar o‘rtasidagi farqni ham hisobga oluvchi Pooled modelda to‘rt chorak oldingi kreditlar o‘sishi indeksni 1 foiz darajada </w:t>
      </w:r>
      <w:r>
        <w:rPr/>
        <w:t xml:space="preserve">ahamiyatli pasaytiradi. Boshqacha aytganda, kreditlarning yillik</w:t>
      </w:r>
      <w:r>
        <w:t xml:space="preserve"> o‘sishi 50 foiz punktga yuqori bo‘lgan bankda bir yildan keyin </w:t>
      </w:r>
      <w:r>
        <w:rPr/>
        <w:t xml:space="preserve">indeks qariyb 0,04 ballga past bo‘ladi</w:t>
      </w:r>
      <w:r>
        <w:t xml:space="preserve">.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w:t>
      </w:r>
      <w:r>
        <w:rPr/>
        <w:t xml:space="preserve">(koeffitsiyent qayd etilgan effektli modelda +0,0005, p = 0,05, tasodifiy effektlar modelida +0,0005, p = 0,007)</w:t>
      </w:r>
      <w:r>
        <w:rPr/>
        <w:t xml:space="preserve">, Z-score bo‘yicha esa sakkiz chorak lagli ta’sir barcha modellarda ahamiyatsiz. </w:t>
      </w:r>
      <w:r>
        <w:rPr/>
        <w:t xml:space="preserve">Demak, jadal kreditlashning Z-score ga ta’siri asosan bir yil ichida namoyon bo‘ladi (3.3.5-jadval).</w:t>
      </w:r>
      <w:r>
        <w:t xml:space="preserve"> Buning sababi quyida satellit model natijalari orqali tushuntiriladi. Bank hajmining </w:t>
      </w:r>
      <w:r>
        <w:rPr/>
        <w:t xml:space="preserve">ta’siri ham barqaror emas, chunki u faqat</w:t>
      </w:r>
      <w:r>
        <w:t xml:space="preserve">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1-model: moliyalashtirish tuzilmasi nazoratisiz</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2-model: depozitlar ulushi va sof foiz marjasi nazorati bilan</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−0,690*** (0,185)</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−0,344* (0,202)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0,095 (0,093)</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0,119 (0,080)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0,0109*** (0,0025)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ta’sirining </w:t>
            </w:r>
            <w:r>
              <w:rPr>
                <w:rFonts w:ascii="Times New Roman" w:hAnsi="Times New Roman" w:eastAsia="Times New Roman" w:cs="Times New Roman"/>
                <w:sz w:val="24"/>
                <w:szCs w:val="24"/>
              </w:rPr>
              <w:t xml:space="preserve">moliyalashtirish modeli orqali</w:t>
            </w:r>
            <w:r>
              <w:rPr>
                <w:rFonts w:ascii="Times New Roman" w:hAnsi="Times New Roman" w:eastAsia="Times New Roman" w:cs="Times New Roman"/>
                <w:sz w:val="24"/>
                <w:szCs w:val="24"/>
              </w:rPr>
              <w:t xml:space="preserve"> izohlanadigan qismi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w:t>
      </w:r>
      <w:r>
        <w:rPr/>
        <w:t xml:space="preserve">davlat banklarining integral indeksi boshqa banklarnikidan o‘rtacha 0,69</w:t>
      </w:r>
      <w:r>
        <w:t xml:space="preserve">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0,184 (0,134)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−0,246 (0,150)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−0,776* (0,430)</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−0,0021*** (0,0008)</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−0,0017** (0,0008)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−0,0027** (0,0012)</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(0,006)</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−0,013 (0,009)</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(0,025)</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 (0,014)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−0,016 (0,016)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−0,371 (0,427)</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0,544 (0,413)</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testi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χ²(4) = 6,83 (p = 0,145)</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 xml:space="preserve">Jadvaldan ko‘rinib turibdiki, Z-score bo‘yicha natijalar integral indeks natijalaridan ikki jihatdan farq qiladi. Birinchidan, kreditlar o‘sishining salbiy ta’siri bu yerda barcha uchta modelda, </w:t>
      </w:r>
      <w:r>
        <w:rPr/>
        <w:t xml:space="preserve">jumladan qayd etilgan effektli modelda ham statistik ahamiyatli. RE va FE modellariga ko‘ra, kreditlarning yillik </w:t>
      </w:r>
      <w:r>
        <w:rPr/>
        <w:t xml:space="preserve">o‘sishining</w:t>
      </w:r>
      <w:r>
        <w:rPr/>
        <w:t xml:space="preserve"> 10 foiz punktga oshishi bir yildan keyin Z-score ni 1,7–2,7 foizga pasaytiradi, Hausman testi esa bu holatda tasodifiy effektlar modelini rad etmaydi (p = 0,145).</w:t>
      </w:r>
      <w:r>
        <w:t xml:space="preserve"> Bu ikkinchi gipotezani tasdiqlaydi va D. Foos hamda hammualliflar natijasi bilan mos keladi</w:t>
      </w:r>
      <w:r>
        <w:rPr>
          <w:rStyle w:val="aff8"/>
        </w:rPr>
        <w:footnoteReference w:id="474"/>
      </w:r>
      <w:r>
        <w:t xml:space="preserve">. </w:t>
      </w:r>
      <w:r>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w:t>
      </w:r>
      <w:r>
        <w:rPr/>
        <w:t xml:space="preserve">aniqlangan holatni tasdiqlaydi, ya’ni Z-score</w:t>
      </w:r>
      <w:r>
        <w:t xml:space="preserv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effektlari)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0,623*** (0,051)</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0,805*** (0,061)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0,0011 (0,0037)</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0,0055 (0,0038)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(t−8),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−0,0012 (0,0014)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−0,0006 (0,0010)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1,119 (1,216)</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0,205 (0,151)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 (0,498)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−1,927*** (0,588)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0,705* (0,398)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0,999** (0,438)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dollari kursi o‘zgarishi,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(0,040)</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 (0,023)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−0,165 (0,118)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−0,188 (0,130)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0,133 (0,304)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 (bank ichidagi)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xml:space="preserve">. </w:t>
      </w:r>
      <w:r>
        <w:rPr/>
        <w:t xml:space="preserve">AQSh dollari kursining (so‘m qadrsizlanishining) ta’siri esa</w:t>
      </w:r>
      <w:r>
        <w:t xml:space="preserve">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w:t>
      </w:r>
      <w:r>
        <w:rPr/>
        <w:t xml:space="preserve">baholanadi</w:t>
      </w:r>
      <w:r>
        <w:rPr/>
        <w:t xml:space="preserve">.</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xml:space="preserve">, birinchi qarashda ikkinchi gipotezani rad etadi. Biroq bu natija II bobda aniqlangan holat </w:t>
      </w:r>
      <w:r>
        <w:rPr/>
        <w:t xml:space="preserve">bilan to‘liq izohlanadi. Ma’lumki, milliy tasnif</w:t>
      </w:r>
      <w:r>
        <w:t xml:space="preserve"> kredit riskini MHXS 9 ga nisbatan </w:t>
      </w:r>
      <w:r>
        <w:rPr/>
        <w:t xml:space="preserve">1,65–4,90 barobar</w:t>
      </w:r>
      <w:r>
        <w:t xml:space="preserve">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Integral indeks (MBII-8)</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Z-score</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Xulosa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H1. Davlat ulushi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−0,69*** (yarmi moliyalashtirish modeli orqali)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 Z-score uni aniqlamaydi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H2. Jadal kreditlash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Pooled modelda manfiy*** (4 va 8 chorak lag), </w:t>
            </w:r>
            <w:r>
              <w:rPr>
                <w:rFonts w:ascii="Times New Roman" w:hAnsi="Times New Roman" w:eastAsia="Times New Roman" w:cs="Times New Roman"/>
                <w:sz w:val="24"/>
                <w:szCs w:val="24"/>
              </w:rPr>
              <w:t xml:space="preserve">bank ichida manfiy ta’sir aniqlanmadi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modellarda manfiy (**/***) (4 chorak lag); 8 chorak lag – 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H3. Depozit bazasi barqarorlikni oshiradi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H4. Sof foiz marjasi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(Pooled modelda *, RE, FE va dinamik modellarda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H5. YaIM o‘sishi kredit riskini kamaytiradi, asosiy stavka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 orqali nazorat qilindi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manfiy***, stavka: musbat (*/**)</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bl>
    <w:p w:rsidR="005603EC" w:rsidRDefault="00AB61AC">
      <w:pPr>
        <w:pStyle w:val="af"/>
        <w:spacing w:after="0" w:line="360" w:lineRule="auto"/>
        <w:ind w:firstLine="709"/>
        <w:jc w:val="both"/>
      </w:pPr>
      <w:r>
        <w:t xml:space="preserve">Jadvaldan ko‘rinib turibdiki, </w:t>
      </w:r>
      <w:r>
        <w:rPr/>
        <w:t xml:space="preserve">beshta gipotezadan to‘rttasi (H1, H3 va H4 – integral indeks bo‘yicha, H5 – muammoli kreditlar bo‘yicha) tasdiqlangan, bittasi (H2) qisman tasdiqlangan</w:t>
      </w:r>
      <w:r>
        <w:t xml:space="preserve">.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r>
      <w: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 xml:space="preserve">qariyb 0,17 ballga oshiradi</w:t>
      </w:r>
      <w:r>
        <w:t xml:space="preserve">.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 xml:space="preserve">Ikkinchi bobda aniqlangan muammolar – aktivlar sifatining milliy hisobotda </w:t>
      </w:r>
      <w:r>
        <w:rPr/>
        <w:t xml:space="preserve">kamaytirib</w:t>
      </w:r>
      <w:r>
        <w:t xml:space="preserve">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w:t>
      </w:r>
      <w:r>
        <w:rPr/>
        <w:t xml:space="preserve">boshqa banklarnikidan 0,69 ballga past</w:t>
      </w:r>
      <w:r>
        <w:t xml:space="preserve">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w:t>
      </w:r>
      <w:r>
        <w:rPr/>
        <w:t xml:space="preserve">davlat banklarini boshqa banklardan barqarorroq</w:t>
      </w:r>
      <w:r>
        <w:t xml:space="preserve">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r>
      <w:r>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w:t>
      </w:r>
      <w:r>
        <w:rPr/>
        <w:t xml:space="preserve">va guruhlab tahlil tizimlari, risklarni kompleks baholash tizimlari hamda</w:t>
      </w:r>
      <w:r>
        <w:t xml:space="preserve">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xml:space="preserve">. II bob tahlili O‘zbekistonda xuddi shunday muammo </w:t>
      </w:r>
      <w:r>
        <w:rPr/>
        <w:t xml:space="preserve">mavjudligini ko‘rsatdi. Xususan, “Mikrokreditbank” ATB ning</w:t>
      </w:r>
      <w:r>
        <w:t xml:space="preserve">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spacing w:after="0" w:line="360" w:lineRule="auto"/>
        <w:ind w:firstLine="709"/>
        <w:jc w:val="both"/>
      </w:pPr>
      <w:r>
        <w:rPr/>
        <w:t xml:space="preserve">4.1.1-jadvaldan </w:t>
      </w:r>
      <w:r>
        <w:t xml:space="preserve">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r>
      <w:r>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Cheklovi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reytinglari (CAMELS)</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tekshiruv natijasida bankka 1–5 ball beriladi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Sifat omillarini, jumladan boshqaruv sifatini hisobga oladi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Tekshiruvlar oralig‘ida eskiradi, bashorat elementi yo‘q</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Signallar usuli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chegaradan o‘tganda signal beriladi, chegara xatolar nisbati bo‘yicha tanlanadi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natijasi oson talqin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alohida baholanadi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bashorat modellari (logit, probit)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ehtimoli bir nechta ko‘rsatkich orqali baholanadi (AQSh Federal rezerv tizimidagi FIMS modeli)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Ehtimol shaklidagi miqdoriy natija beradi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va buxgalteriya ko‘rsatkichlari (Z-score)</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daromadlilikning tebranuvchanlikka nisbati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Kam ma’lumot talab qiladi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asosidagi tizim (taklif)</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 qiymatiga qarab bank uch zonadan biriga kiritiladi, har bir zona uchun choralar belgilanadi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Bashorat kuchini bloklar bo‘yicha sabab tahlili bilan birlashtiradi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muntazam qayta tekshirilishi lozim</w:t>
            </w:r>
          </w:p>
        </w:tc>
      </w:tr>
    </w:tbl>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w:t>
      </w:r>
      <w:r>
        <w:rPr/>
        <w:t xml:space="preserve">yo‘qotishi,</w:t>
      </w:r>
      <w:r>
        <w:t xml:space="preserve">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r>
      <w:r>
        <w:t xml:space="preserve">davrda xususiy banklar ham faoliyatni kengaytirish maqsadida kapitalini oshirgan. Hisob-kitoblar 3.3-paragrafda shakllantirilgan 25 ta bank paneli </w:t>
      </w:r>
      <w:r>
        <w:rPr/>
        <w:t xml:space="preserve">va integral indeksning shu panel uchun milliy hisobot ma’lumotlari asosida hisoblanadigan 8 ko‘rsatkichli choraklik varianti (3.2-paragrafda kiritilgan MBII-8) bo‘yicha</w:t>
      </w:r>
      <w:r>
        <w:t xml:space="preserve">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 zararining kapitalga nisbati, %</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bl>
    <w:p w:rsidR="005603EC" w:rsidRDefault="00AB61AC">
      <w:pPr>
        <w:pStyle w:val="af"/>
        <w:spacing w:after="0" w:line="360" w:lineRule="auto"/>
        <w:ind w:firstLine="709"/>
        <w:jc w:val="both"/>
      </w:pPr>
      <w: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w:t>
      </w:r>
      <w:r>
        <w:rPr/>
        <w:t xml:space="preserve">banki”), xususiylashtirilgan “Ipoteka-bank” ATB da va kichik xususiy “Garant bank”</w:t>
      </w:r>
      <w:r>
        <w:t xml:space="preserve">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r>
      <w:r>
        <w:t xml:space="preserve">aniqlanadi. To‘rt chorak muddat nazorat organi va bank rahbariyatiga tuzatish choralarini ko‘rish uchun yetarli vaqtni ta’minlaydi. Tahlil davri </w:t>
      </w:r>
      <w:r>
        <w:rPr/>
        <w:t xml:space="preserve">2021–2025-yillarni qamraydi. Bunda muammo hodisalari</w:t>
      </w:r>
      <w:r>
        <w:t xml:space="preserve">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w:t>
      </w:r>
      <w:r>
        <w:rPr/>
        <w:t xml:space="preserve">foizi,</w:t>
      </w:r>
      <w:r>
        <w:t xml:space="preserve"> muammo hodisasidan oldingi davrga to‘g‘ri keladi. Ko‘rsatkichlarning bashorat kuchi ROC egri chizig‘i ostidagi maydon (AUC) bilan o‘lchandi</w:t>
      </w:r>
      <w:r>
        <w:rPr>
          <w:rStyle w:val="aff8"/>
        </w:rPr>
        <w:footnoteReference w:id="491"/>
      </w:r>
      <w:r>
        <w:t xml:space="preserve">. Bu ko‘rsatkich tasodifiy tanlangan muammoli bankning ko‘rsatkichi tasodifiy tanlangan sog‘lom bankning ko‘rsatkichidan yomonroq bo‘lish </w:t>
      </w:r>
      <w:r>
        <w:rPr/>
        <w:t xml:space="preserve">ehtimolini bildiradi. Bunda 0,5 qiymat</w:t>
      </w:r>
      <w:r>
        <w:t xml:space="preserve">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Shundan hodisadan oldingi</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AUC</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0,895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 – 0,96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0,862</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0,94</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 – 0,86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0,751</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 – 0,85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 – 0,69</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 – 0,55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r>
      <w:r>
        <w:t xml:space="preserve">Jadvaldan ko‘rinib turibdiki, integral indeks muammo hodisalarini </w:t>
      </w:r>
      <w:r>
        <w:rPr/>
        <w:t xml:space="preserve">yaxshi bashorat qiladi. Xususan, uning AUC</w:t>
      </w:r>
      <w:r>
        <w:t xml:space="preserve"> qiymati 0,864 ni tashkil etib, ishonch oralig‘ining quyi chegarasi </w:t>
      </w:r>
      <w:r>
        <w:rPr/>
        <w:t xml:space="preserve">(0,76) ham qoniqarli daraja hisoblangan 0,7</w:t>
      </w:r>
      <w:r>
        <w:t xml:space="preserve">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w:t>
      </w:r>
      <w:r>
        <w:rPr/>
        <w:t xml:space="preserve">manbaini</w:t>
      </w:r>
      <w:r>
        <w:t xml:space="preserve"> bloklar bo‘yicha ko‘rsatish va bir vaqtning o‘zida daromadlilik va likvidlik holatini hisobga olishdadir. Ko‘rsatkichlarning bashorat kuchidagi farq 4.1.1-rasmda yaqqol ko‘rinadi.</w:t>
      </w:r>
    </w:p>
    <w:p w:rsidR="005603EC" w:rsidRDefault="00AB61AC">
      <w:pPr>
        <w:pStyle w:val="af"/>
        <w:spacing w:after="0" w:line="360" w:lineRule="auto"/>
        <w:ind w:firstLine="709"/>
        <w:jc w:val="both"/>
      </w:pPr>
      <w:r>
        <w:rPr/>
        <w:t xml:space="preserve">4.1.1-rasmdan </w:t>
      </w:r>
      <w:r>
        <w:t xml:space="preserve">ko‘rinib turibdiki, integral indeks va muammoli kreditlar ulushining ROC egri chiziqlari tasodifiy bashorat chizig‘idan ancha yuqorida joylashgan. Masalan, noto‘g‘ri signallar ulushi 10 foiz bo‘lganda integral indeks muammo hodisalarining </w:t>
      </w:r>
      <w:r>
        <w:rPr/>
        <w:t xml:space="preserve">73 foizini</w:t>
      </w:r>
      <w:r>
        <w:t xml:space="preserve"> oldindan aniqlaydi. Z-score ning egri chizig‘i esa tasodifiy bashorat chizig‘i atrofida va ayrim qismlarda undan pastda joylashgan. Bu holatni 3.3-paragrafda aniqlangan </w:t>
      </w:r>
      <w:r>
        <w:rPr/>
        <w:t xml:space="preserve">omil izohlaydi. Gap shundaki, Z-score</w:t>
      </w:r>
      <w:r>
        <w:t xml:space="preserv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342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6"/>
      </w:r>
    </w:p>
    <w:p w:rsidR="005603EC" w:rsidRDefault="00AB61AC">
      <w:pPr>
        <w:pStyle w:val="af"/>
        <w:spacing w:after="0" w:line="360" w:lineRule="auto"/>
        <w:ind w:firstLine="709"/>
        <w:jc w:val="both"/>
      </w:pPr>
      <w:r>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xml:space="preserve">. Taqqoslash maqsadida Z-score asosidagi, indeks bloklari asosidagi va davlat </w:t>
      </w:r>
      <w:r>
        <w:rPr/>
        <w:t xml:space="preserve">banklari uchun fiktiv o‘zgaruvchi kiritilgan</w:t>
      </w:r>
      <w:r>
        <w:t xml:space="preserve">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5-model</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 (3,18)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(2,31)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19,14*** (5,99)</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(1,92)</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12,29*** (3,99)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(1,12)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−7,05*** (1,88)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−4,49*** (1,27)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 (0,78)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 (0,53)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 (0,50)</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(0,79)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Psevdo-R²</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AUC</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0,955</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0,911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w:t>
      </w:r>
      <w:r>
        <w:rPr/>
        <w:t xml:space="preserve">u kiritilgan barcha modellarda (1-, 3- va 5-modellar)</w:t>
      </w:r>
      <w:r>
        <w:t xml:space="preserve">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w:t>
      </w:r>
      <w:r>
        <w:rPr/>
        <w:t xml:space="preserve">qiziqarli natija beradi. Unga ko‘ra, integral indeks</w:t>
      </w:r>
      <w:r>
        <w:t xml:space="preserve"> bir xil bo‘lganda davlat banklarida muammo hodisasi ehtimoli pastroq (koeffitsiyent </w:t>
      </w:r>
      <w:r>
        <w:lastRenderedPageBreak/>
      </w:r>
      <w:r>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spacing w:after="0" w:line="360" w:lineRule="auto"/>
        <w:ind w:firstLine="709"/>
        <w:jc w:val="both"/>
      </w:pPr>
      <w:r>
        <w:rPr/>
        <w:t xml:space="preserve">4.1.2-rasmdan </w:t>
      </w:r>
      <w:r>
        <w:t xml:space="preserve">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w:t>
      </w:r>
      <w:r>
        <w:rPr/>
        <w:t xml:space="preserve">kamida har</w:t>
      </w:r>
      <w:r>
        <w:t xml:space="preserve"> to‘rtinchi bankda bir yil ichida jiddiy zarar kutiladi. Shu sababli erta ogohlantirish tizimining chegaralarini aynan shu ikki nuqta atrofida belgilash maqsadga muvofiq. Chegaralarni aniqlash uchun G. Kaminsky va C. Reinhart</w:t>
      </w:r>
      <w:r>
        <w:rPr/>
        <w:t xml:space="preserve">ning</w:t>
      </w:r>
      <w:r>
        <w:t xml:space="preserve"> signallar usuli qo‘llandi</w:t>
      </w:r>
      <w:r>
        <w:rPr>
          <w:rStyle w:val="aff8"/>
        </w:rPr>
        <w:footnoteReference w:id="500"/>
      </w:r>
      <w:r>
        <w:rPr/>
        <w:t xml:space="preserve">. Bunda har bir chegara uchun ikki turdagi xato</w:t>
      </w:r>
      <w:r>
        <w:t xml:space="preserve"> hisoblandi. I tur xato muammo hodisasidan oldin signal berilmagan holatlar ulushini, II tur xato esa </w:t>
      </w:r>
      <w:r>
        <w:lastRenderedPageBreak/>
      </w:r>
      <w:r>
        <w:t xml:space="preserve">muammo yuz bermagan holatda berilgan noto‘g‘ri signallar ulushini bildiradi (</w:t>
      </w:r>
      <w:r>
        <w:rPr/>
        <w:t xml:space="preserve">4.1.5-jadval, to‘liq jadval 6-ilovada keltirilgan</w:t>
      </w:r>
      <w:r>
        <w:t xml:space="preserve">).</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1"/>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MBII-8</w:t>
            </w:r>
            <w:r>
              <w:rPr>
                <w:rFonts w:ascii="Times New Roman" w:hAnsi="Times New Roman" w:eastAsia="Times New Roman" w:cs="Times New Roman"/>
                <w:b/>
                <w:sz w:val="24"/>
                <w:szCs w:val="24"/>
              </w:rPr>
              <w:t xml:space="preserve"> chegarasi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w:t>
      </w:r>
      <w:r>
        <w:rPr/>
        <w:t xml:space="preserve">2,85 ballni tashkil etadi. Bunda muammo</w:t>
      </w:r>
      <w:r>
        <w:t xml:space="preserve"> hodisalarining 69 foizi oldindan aniqlanadi, sog‘lom kuzatuvlarning faqat 8,2 foizida noto‘g‘ri signal beriladi, shovqin/signal nisbati esa 0,12 ga teng. </w:t>
      </w:r>
      <w:r>
        <w:rPr/>
        <w:t xml:space="preserve">Jadvaldagi chegaralar ichida 2,75 ballik chegarada shovqin/signal nisbati eng past (0,09), ya’ni signal eng ishonchli bo‘ladi (undan past chegaralarda bu nisbat yanada kamayadi, biroq I tur xato 38 foizdan oshadi – 6-ilova)</w:t>
      </w:r>
      <w:r>
        <w:t xml:space="preserve">.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w:t>
      </w:r>
      <w:r>
        <w:rPr/>
        <w:t xml:space="preserve">maqsadga muvofiq. Jumladan, 3,25 ballik chegara</w:t>
      </w:r>
      <w:r>
        <w:t xml:space="preserve">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w:t>
      </w:r>
      <w:r>
        <w:rPr/>
        <w:t xml:space="preserve">sinov o‘tkazildi. Bunda logit model</w:t>
      </w:r>
      <w:r>
        <w:t xml:space="preserve"> faqat 2021-yil IV choragidan 2022-yil IV choragigacha bo‘lgan 113 ta kuzatuv asosida baholandi va 2023–2024-yillardagi 195 ta kuzatuvga qo‘llandi. Sinov davrida 18 ta kuzatuv muammo hodisasidan oldingi davrga to‘g‘ri </w:t>
      </w:r>
      <w:r>
        <w:lastRenderedPageBreak/>
      </w:r>
      <w:r>
        <w:t xml:space="preserve">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w:t>
      </w:r>
      <w:r>
        <w:rPr/>
        <w:t xml:space="preserve">o‘qitish davri (2021-yil IV choragi – 2022-yil IV choragi)</w:t>
      </w:r>
      <w:r>
        <w:t xml:space="preserve">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 xml:space="preserve">Natijalarning barqarorligi qo‘shimcha ravishda uch yo‘nalishda tekshirildi. Birinchidan, bir bankka tegishli kuzatuvlar o‘zaro bog‘liq </w:t>
      </w:r>
      <w:r>
        <w:rPr/>
        <w:t xml:space="preserve">bo‘lgani va</w:t>
      </w:r>
      <w:r>
        <w:rPr/>
        <w:t xml:space="preserve">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xml:space="preserve">. Bunda integral indeks AUC qiymatining 95 foizlik ishonch oralig‘i 0,65–0,96 ni tashkil </w:t>
      </w:r>
      <w:r>
        <w:rPr/>
        <w:t xml:space="preserve">etib,</w:t>
      </w:r>
      <w:r>
        <w:rPr/>
        <w:t xml:space="preserve"> kengaydi, biroq quyi chegarasi tasodifiy bashorat darajasidan (0,5) yuqori qoldi. Z-score bilan umumiy kuzatuvlarda integral indeksning ustunligi klasterlangan </w:t>
      </w:r>
      <w:r>
        <w:rPr/>
        <w:t xml:space="preserve">bootstrapda ham tasdiqlandi, chunki AUC farqining</w:t>
      </w:r>
      <w:r>
        <w:rPr/>
        <w:t xml:space="preserve"> ishonch oralig‘i 0,19–0,98 ni tashkil etib, noldan katta. Muammoli kreditlar ulushi bilan farq esa −0,10 dan +0,07 gacha oraliqda bo‘lib, statistik ahamiyatsiz. Ikkinchidan, muammo hodisasining </w:t>
      </w:r>
      <w:r>
        <w:rPr/>
        <w:t xml:space="preserve">muqobil ta’riflari qo‘llandi. Xususan, chorak zararining</w:t>
      </w:r>
      <w:r>
        <w:rPr/>
        <w:t xml:space="preserve">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r>
      <w:r>
        <w:rPr/>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 xml:space="preserve">Integral indeksning erta ogohlantirish signalini qanday berganini tadqiqotning asosiy </w:t>
      </w:r>
      <w:r>
        <w:rPr/>
        <w:t xml:space="preserve">obyektlaridan</w:t>
      </w:r>
      <w:r>
        <w:t xml:space="preserve"> bo‘lgan “Mikrokreditbank” ATB va “O‘zsanoatqurilishbank” ATB misolida ko‘rib chiqish mumkin. Dastlab “Mikrokreditbank” ATB ning integral indeksi dinamikasini ko‘rib chiqamiz (</w:t>
      </w:r>
      <w:r>
        <w:rPr/>
        <w:t xml:space="preserve">4.1.3-rasm; barcha banklar bo‘yicha choraklik indeks qiymatlari 4-ilovada keltirilgan</w:t>
      </w:r>
      <w:r>
        <w:t xml:space="preserve">).</w:t>
      </w:r>
    </w:p>
    <w:p w:rsidR="005603EC" w:rsidRDefault="00AB61AC">
      <w:pPr>
        <w:pStyle w:val="af"/>
        <w:spacing w:after="0" w:line="360" w:lineRule="auto"/>
        <w:ind w:firstLine="709"/>
        <w:jc w:val="both"/>
      </w:pPr>
      <w:r>
        <w:rPr/>
        <w:t xml:space="preserve">4.1.3-rasmdan </w:t>
      </w:r>
      <w:r>
        <w:t xml:space="preserve">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w:t>
      </w:r>
      <w:r>
        <w:rPr/>
        <w:t xml:space="preserve">(MBII-13) esa butun davr mobaynida 2,18–2,47 ball bilan qizil zonada, ya’ni milliy indeksdan 0,4–0,6 ball pastda bo‘lgan (bir xil tarkibdagi MBII-13 bo‘yicha ham farq 0,43–0,66 ballni tashkil etadi, 3.1.3-rasm)</w:t>
      </w:r>
      <w:r>
        <w:t xml:space="preserve">. Bunga aktivlar sifati bloki (1,28–1,53 ball) va daromadlilik bloki (1,00–1,64 ball) sabab bo‘lgan</w:t>
      </w:r>
      <w:r>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w:t>
      </w:r>
      <w:r>
        <w:rPr/>
        <w:t xml:space="preserve">2024-yil I choragigacha chegara atrofida tebranib, kuchli signalni faqat zarardan ikki chorak oldin</w:t>
      </w:r>
      <w:r>
        <w:t xml:space="preserve"> bergan. Xuddi shunday manzara 2024-yilda kapitalining 48 foizini yo‘qotgan “Biznesni rivojlantirish banki” </w:t>
      </w:r>
      <w:r>
        <w:rPr/>
        <w:t xml:space="preserve">ATB da ham kuzatilgan. Chunonchi, uning indeksi</w:t>
      </w:r>
      <w:r>
        <w:t xml:space="preserve"> 2023-yil </w:t>
      </w:r>
      <w:r>
        <w:rPr/>
        <w:t xml:space="preserve">II choragidan boshlab qizil zonada bo‘lib, 2023-yil IV choragida 2,44 ballgacha va 2024-yil I choragida 2,20 ballgacha pasaygan, ya’ni har ikki zarardan kamida uch chorak oldin signal bergan</w:t>
      </w:r>
      <w:r>
        <w:t xml:space="preserve">. Shunga o‘xshash signal “Garant bank” ATB da (2024-yil II–III choraklarida 2,55–2,57 ball), “Ipoteka-bank” ATB da (2024-yil III choragida 2,50 ball) va “Xalq banki” ATB da (2022-yilda 2,35–2,51 ball) ham kuzatilgan. Integral indeks </w:t>
      </w:r>
      <w:r>
        <w:rPr/>
        <w:t xml:space="preserve">2022-yilda yashil zonada bo‘lgan xususiy banklardagi (“Anor bank”, “Invest Finance bank”, “Tibisi bank”) hodisalarni oldindan aniqlamagan, ulardan eng yirigi “Tibisi bank” ATB ning zararlaridir (kapitalning 12–15 foizi). O‘sha paytda, ya’ni bank faoliyatining dastlabki bosqichida, yuqori daromadlilik va kam muammoli kreditlar hisobiga uning indeksi 3,83 ballni tashkil etgan, zarar esa yangi bank xarajatlari va kredit portfelining jadal kengayishi bilan bog‘liq bo‘lishi mumkin (2022-yilda bank kreditlari qariyb 4,4 barobar oshgan)</w:t>
      </w:r>
      <w:r>
        <w:t xml:space="preserve">.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w:t>
      </w:r>
      <w:r>
        <w:rPr/>
        <w:t xml:space="preserve">(MBII-8) va 3.2-paragrafda MHXS hisobotlari asosida hisoblangan yillik indeks (MBII-13)</w:t>
      </w:r>
      <w:r>
        <w:t xml:space="preserve"> sifatida taqqoslandi (4.1.4-rasm).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rPr/>
        <w:t xml:space="preserve">4.1.4-rasmdan ko‘rinib</w:t>
      </w:r>
      <w:r>
        <w:t xml:space="preserve"> turibdiki, milliy hisobot ma’lumotlari asosidagi indeks 2021–2025-yillarda 3,17–3,61 ball oralig‘ida bo‘lib, bank asosan yashil </w:t>
      </w:r>
      <w:r>
        <w:rPr/>
        <w:t xml:space="preserve">zonada joylashgan, 2022-yil IV choragidan 2024-yil II choragigacha bo‘lgan davrda esa indeks yashil va sariq zonalar chegarasi atrofida (3,17–3,36 ball) tebrangan</w:t>
      </w:r>
      <w:r>
        <w:t xml:space="preserve">.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w:t>
      </w:r>
      <w:r>
        <w:rPr/>
        <w:t xml:space="preserve">0,45–0,80 ballni tashkil etgan. Bu farqning bir qismi indekslar tarkibidagi farq bilan bog‘liq, chunki milliy hisobot bo‘yicha MBII-8, MHXS bo‘yicha esa MBII-13 qo‘llangan. Bir xil tarkibdagi MBII-13 bo‘yicha farq 0,23–0,46 ballni, jumladan 2025-yilda 0,46 ballni (3,27 va 2,81) tashkil etadi (3.1.3-rasm). Farqning</w:t>
      </w:r>
      <w:r>
        <w:rPr/>
        <w:t xml:space="preserve"> asosiy sababi 2.3-paragrafda aniqlangan </w:t>
      </w:r>
      <w:r>
        <w:rPr/>
        <w:t xml:space="preserve">holat bilan izohlanadi, ya’ni 2025-yil yakunida</w:t>
      </w:r>
      <w:r>
        <w:t xml:space="preserve">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spacing w:after="0" w:line="360" w:lineRule="auto"/>
        <w:ind w:firstLine="709"/>
        <w:jc w:val="both"/>
      </w:pPr>
      <w:r>
        <w:rPr/>
        <w:t xml:space="preserve">4.1.6-jadvaldan </w:t>
      </w:r>
      <w:r>
        <w:t xml:space="preserve">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w:t>
      </w:r>
      <w:r>
        <w:rPr/>
        <w:t xml:space="preserve">sinflari bilan muvofiqlashtirilgan. Xususan, yashil zona</w:t>
      </w:r>
      <w:r>
        <w:lastRenderedPageBreak/>
      </w:r>
      <w:r>
        <w:t xml:space="preserve"> I sinfga, sariq </w:t>
      </w:r>
      <w:r>
        <w:rPr/>
        <w:t xml:space="preserve">zona II sinfning yuqori qismiga (2,75–3,25 ball), qizil zona esa II sinfning quyi qismi (2,50–2,75 ball)</w:t>
      </w:r>
      <w:r>
        <w:t xml:space="preserve"> hamda III–IV sinflarga to‘g‘ri keladi. Shu bilan birga, tizim faqat indeks qiymatiga </w:t>
      </w:r>
      <w:r>
        <w:rPr/>
        <w:t xml:space="preserve">tayanmasligi kerak. Shu bois sariq yoki</w:t>
      </w:r>
      <w:r>
        <w:t xml:space="preserve">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Bir yil ichida muammo ehtimoli (logit model)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Tahlil davrida kuzatilgan hodisalar ulushi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Nazorat organining choralari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rahbariyatining choralari</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va undan yuqori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 dan past</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(200 kuzatuvdan 4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Odatiy masofaviy monitoring, yiliga bir marta indeks bloklarini tahlil qilish</w:t>
            </w:r>
          </w:p>
        </w:tc>
        <w:tc>
          <w:tcPr>
            <w:tcW w:w="215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Odatiy risklarni boshqarish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 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5–27 %</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6,8 % (74 kuzatuvdan 5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dan past</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 dan yuqori</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50,0 % (34 kuzatuvdan 17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w:t>
      </w:r>
      <w:r>
        <w:rPr/>
        <w:t xml:space="preserve">ma’lumotlar asosidagi MBII-8 ga tayanadi, Markaziy bank esa banklarning prudensial hisobotlari asosida uni kapital monandligi, likvidlik, valyuta riski ko‘rsatkichlari va MHXS 9 bo‘yicha kreditlar bosqichlari bilan to‘ldirib, to‘liq MBII-13 ni qo‘llashi</w:t>
      </w:r>
      <w:r>
        <w:t xml:space="preserve"> mumkin.</w:t>
      </w:r>
    </w:p>
    <w:p w:rsidR="005603EC" w:rsidRDefault="00AB61AC">
      <w:pPr>
        <w:pStyle w:val="af"/>
        <w:spacing w:after="0" w:line="360" w:lineRule="auto"/>
        <w:ind w:firstLine="709"/>
        <w:jc w:val="both"/>
      </w:pPr>
      <w:r>
        <w:t xml:space="preserve">Shunday qilib, tahlil natijalari 3.1-paragrafda taklif etilgan integral indeksning </w:t>
      </w:r>
      <w:r>
        <w:rPr/>
        <w:t xml:space="preserve">(ochiq choraklik ma’lumotlar asosidagi MBII-8 varianti) tijorat</w:t>
      </w:r>
      <w:r>
        <w:t xml:space="preserve"> banklarida moliyaviy muammolarni bir yil oldin yuqori aniqlik bilan </w:t>
      </w:r>
      <w:r>
        <w:rPr/>
        <w:t xml:space="preserve">bashorat qilishini ko‘rsatdi. Xususan, uning AUC</w:t>
      </w:r>
      <w:r>
        <w:t xml:space="preserve">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w:t>
      </w:r>
      <w:r>
        <w:rPr/>
        <w:t xml:space="preserve">manbaiga</w:t>
      </w:r>
      <w:r>
        <w:t xml:space="preserve">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xml:space="preserve">. Bazel qo‘mitasining stress-test tamoyillari ham ssenariylar </w:t>
      </w:r>
      <w:r>
        <w:rPr/>
        <w:t xml:space="preserve">yetarlicha </w:t>
      </w:r>
      <w:r>
        <w:rPr/>
        <w:t xml:space="preserve">jiddiy bo‘lishi</w:t>
      </w:r>
      <w:r>
        <w:rPr/>
        <w:t xml:space="preserve">, biroq ehtimoldan yiroq bo‘lmasligi hamda modellar va ularning</w:t>
      </w:r>
      <w:r>
        <w:t xml:space="preserve"> natijalari muntazam tekshirilishi lozimligini talab qiladi</w:t>
      </w:r>
      <w:r>
        <w:rPr>
          <w:rStyle w:val="aff8"/>
        </w:rPr>
        <w:footnoteReference w:id="510"/>
      </w:r>
      <w:r>
        <w:t xml:space="preserve">. O‘zbekistonda esa bu yo‘nalishdagi ilmiy ishlar alohida ko‘rsatkichlarni prognoz qilish </w:t>
      </w:r>
      <w:r>
        <w:rPr/>
        <w:t xml:space="preserve">bilan cheklangan. Masalan, B.T. Berdiyarov</w:t>
      </w:r>
      <w:r>
        <w:t xml:space="preserve">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2026-yil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2027-yil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2028-yil</w:t>
            </w:r>
          </w:p>
        </w:tc>
        <w:tc>
          <w:tcPr>
            <w:tcW w:w="476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Ssenariyning asosi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2021–2025-yillardagi o‘rtacha o‘sish sur’ati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Ijobiy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Tahlil davridagi eng yuqori o‘sish sur’ati (2021-yil)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Keskin 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w:t>
      </w:r>
      <w:r>
        <w:rPr/>
        <w:t xml:space="preserve">inflyatsiya,</w:t>
      </w:r>
      <w:r>
        <w:t xml:space="preserve"> alohida modellashtirilmadi, chunki </w:t>
      </w:r>
      <w:r>
        <w:rPr/>
        <w:t xml:space="preserve">asosiy stavka va inflyatsiya YaIM o‘sishi bilan kuchli bog‘langan (korrelyatsiya koeffitsiyenti mos ravishda −0,76 va −0,68), 3.3-paragrafda esa asosiy stavkaning ta’siri faqat 5–10 foiz darajada, so‘m kursiniki faqat Pooled modelda ahamiyatli, inflyatsiyaniki esa ahamiyatsiz</w:t>
      </w:r>
      <w:r>
        <w:rPr/>
        <w:t xml:space="preserve"> bo‘lgan</w:t>
      </w:r>
      <w:r>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xml:space="preserve">. Bu kreditlar bo‘yicha to‘lovlarni kechiktirish choralari tugaganidan keyin yashirin muammolar yuzaga chiqqanini ko‘rsatadi. YaIM o‘sishining turli laglari bilan baholangan modellar ichida eng yaxshi natijani to‘rt chorak </w:t>
      </w:r>
      <w:r>
        <w:rPr/>
        <w:t xml:space="preserve">lagli model bergan. Xususan, uning Akaike</w:t>
      </w:r>
      <w:r>
        <w:t xml:space="preserve"> axborot mezoni eng past (33,3), YaIM koeffitsiyenti esa 1 foiz darajada ahamiyatli. Lagsiz modelda esa YaIM koeffitsiyenti ahamiyatsiz va hatto musbat. </w:t>
      </w:r>
      <w:r>
        <w:rPr/>
        <w:t xml:space="preserve">Muammoli kreditlar ulushi va to‘rt chorak oldingi YaIM o‘sishi o‘rtasidagi bog‘liqlik 4.2.1-rasmda keltirilgan.</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3240000"/>
            <wp:effectExtent l="0" t="0" r="0" b="0"/>
            <wp:docPr id="9701" name="4.2.1-rasm"/>
            <wp:cNvGraphicFramePr/>
            <a:graphic>
              <a:graphicData uri="http://schemas.openxmlformats.org/drawingml/2006/chart">
                <c:chart r:id="rId34"/>
              </a:graphicData>
            </a:graphic>
          </wp:inline>
        </w:drawing>
      </w:r>
    </w:p>
    <w:p w:rsidR="005603EC" w:rsidRDefault="00AB61AC">
      <w:pPr>
        <w:pStyle w:val="af"/>
        <w:spacing w:line="240" w:lineRule="auto"/>
        <w:jc w:val="both"/>
      </w:pPr>
      <w:r>
        <w:rPr>
          <w:sz w:val="24"/>
        </w:rPr>
        <w:t xml:space="preserve">Izoh: har bir nuqta – bir chorak; regressiya chizig‘i y = 5,14 − 0,172x (R² = 0,28, n = 20); oldingi chorak darajasi hisobga olingan baho (−0,151) 4.2.2-jadvalda.</w:t>
      </w:r>
    </w:p>
    <w:p w:rsidR="005603EC" w:rsidRDefault="00AB61AC">
      <w:pPr>
        <w:pStyle w:val="af"/>
        <w:spacing w:before="120" w:after="240" w:line="240" w:lineRule="auto"/>
        <w:jc w:val="center"/>
      </w:pPr>
      <w:r>
        <w:rPr>
          <w:b/>
        </w:rPr>
        <w:t xml:space="preserve">4.2.1-rasm. Muammoli kreditlar ulushi va to‘rt chorak oldingi YaIM o‘sish sur’ati o‘rtasidagi bog‘liqlik, 2021–2025-yillar</w:t>
      </w:r>
      <w:r>
        <w:rPr>
          <w:rStyle w:val="aff8"/>
        </w:rPr>
        <w:footnoteReference w:id="514"/>
      </w:r>
    </w:p>
    <w:p w:rsidR="005603EC" w:rsidRDefault="00AB61AC">
      <w:pPr>
        <w:pStyle w:val="af"/>
        <w:spacing w:after="0" w:line="360" w:lineRule="auto"/>
        <w:ind w:firstLine="709"/>
        <w:jc w:val="both"/>
      </w:pPr>
      <w:r>
        <w:rPr/>
        <w:t xml:space="preserve">Rasmdan ko‘rinib turibdiki, nuqtalar manfiy qiyalikka ega regressiya chizig‘i atrofida joylashgan, ya’ni YaIM o‘sishi sekinlashgan davrdan to‘rt chorak o‘tib muammoli kreditlar ulushi oshadi. Ikki ko‘rsatkich o‘rtasidagi korrelyatsiya koeffitsiyenti −0,53 ga teng bo‘lib, YaIM o‘sishining 1 foiz punktga sekinlashuvi muammoli kreditlar ulushini o‘rtacha 0,17 foiz punktga oshiradi. Eng yuqori qiymatlar 2020-yildagi pandemiya shokidan keyingi 2021-yil choraklariga to‘g‘ri keladi. Shu bilan birga, nuqtalarning chiziqdan sezilarli og‘ishi muammoli kreditlar darajasiga YaIM o‘sishidan tashqari boshqa omillar ham ta’sir qilishini ko‘rsatadi, shu sababli tizim darajasidagi modelga muammoli kreditlar ulushining oldingi chorakdagi qiymati ham kiritildi.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tizim, 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bank paneli, muammoli kreditlar ulushi</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 bank paneli, ROA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0,494*** (0,134)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0,684*** (0,100)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−0,151*** (0,059)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−0,153** (0,060)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−0,201*** (0,076)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2,983*** (0,874)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2,049*** (0,536)</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3,353*** (0,266)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effektlari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 chorak – 2025-y. IV chorak (YaIM laglari 2020-yildan)</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2022-y. I</w:t>
            </w:r>
            <w:r>
              <w:rPr>
                <w:rFonts w:ascii="Times New Roman" w:hAnsi="Times New Roman" w:eastAsia="Times New Roman" w:cs="Times New Roman"/>
                <w:sz w:val="24"/>
                <w:szCs w:val="24"/>
              </w:rPr>
              <w:t xml:space="preserve"> chorak – 2025-y. IV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rsidTr="005603EC">
        <w:trPr>
          <w:cantSplit/>
        </w:trPr>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 (bank ichidagi)</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 (bank ichidagi)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o‘sishining 1 foiz punktga barqaror pasayishining uzoq muddatli ta’siri, foiz punkt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qavs ichida standart xatolar (1-modelda – Newey–West, 2- va 3-modellarda – bank bo‘yicha klasterlangan); ***, **, * – koeffitsiyent mos ravishda 1, 5 va 10 foiz darajada statistik </w:t>
      </w:r>
      <w:r>
        <w:rPr>
          <w:sz w:val="24"/>
        </w:rPr>
        <w:t xml:space="preserve">ahamiyatli. 3-modelda choraklik ROA oldingi chorak ma’lumotini talab qilgani sababli kuzatuvlar 2022-yil I choragidan boshlanadi.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w:t>
      </w:r>
      <w:r>
        <w:rPr/>
        <w:t xml:space="preserve">bir xil natija bergan. Jumladan, tizim darajasidagi</w:t>
      </w:r>
      <w:r>
        <w:t xml:space="preserve">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t xml:space="preserve">Ta’kidlash joizki, 3</w:t>
      </w:r>
      <w:r>
        <w:rPr/>
        <w:t xml:space="preserve">.3-paragrafdagi satellit modelda olingan ancha yuqori baho (1,4–1,9 foiz punkt) faqat sakkiz chorakni va o‘zaro kuchli bog‘langan makroiqtisodiy omillarni qamragani sababli prognozda qo‘llanmadi</w:t>
      </w:r>
      <w:r>
        <w:t xml:space="preserve">. Muammoli kreditlar ulushi sezilarli inersiyaga ega (0,49–0,68), shu sababli shokning ta’siri bir necha chorak </w:t>
      </w:r>
      <w:r>
        <w:rPr/>
        <w:t xml:space="preserve">davomida saqlanadi. Natijada YaIM o‘sishining</w:t>
      </w:r>
      <w:r>
        <w:t xml:space="preserve"> 1 foiz punktga barqaror pasayishi uzoq muddatda muammoli kreditlar ulushini 0,30–0,48 foiz punktga oshiradi. Uchinchi model kredit riskining daromadlilikka </w:t>
      </w:r>
      <w:r>
        <w:rPr/>
        <w:t xml:space="preserve">ta’sirini baholaydi. Unga ko‘ra, muammoli kreditlar</w:t>
      </w:r>
      <w:r>
        <w:t xml:space="preserve">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6"/>
      </w:r>
      <w:r>
        <w:rPr>
          <w:rStyle w:val="aff8"/>
        </w:rPr>
        <w:footnoteReference w:id="517"/>
      </w:r>
      <w:r>
        <w:t>. Buning sababi 2.3-paragrafda aniqlangan holat bo‘lib, milliy tasnif qayta tuzilgan va muddati uzaytirilgan kreditlarni muammoli deb tan olmaydi, natijada kredit riskining bir qismi milliy ko‘rsatkichda aks etmaydi.</w:t>
      </w:r>
      <w:r>
        <w:rPr/>
        <w:t xml:space="preserve"> Kredit riski va daromadlilik o‘rtasidagi bog‘liqlik bank darajasida 4.2.2-rasmda keltirilgan.</w:t>
      </w:r>
    </w:p>
    <w:p w:rsidR="005603EC" w:rsidRDefault="00AB61AC">
      <w:pPr>
        <w:pStyle w:val="af"/>
        <w:spacing w:after="0" w:line="360" w:lineRule="auto"/>
        <w:ind w:firstLine="709"/>
        <w:jc w:val="both"/>
      </w:pPr>
      <w:r>
        <w:rPr/>
        <w:t xml:space="preserve">4.2.2-rasmdan </w:t>
      </w:r>
      <w:r>
        <w:rPr/>
        <w:t xml:space="preserve">ko‘rinib turibdiki, nuqtalar keng sochilgan bo‘lsa-da, muammoli kreditlar ulushi yuqori bo‘lgan kuzatuvlarda aktivlar rentabelligi past (korrelyatsiya koeffitsiyenti −0,46). Xususan, muammoli kreditlar ulushi 6 foizdan yuqori bo‘lgan 46 ta kuzatuvda aktivlar rentabelligi o‘rtacha −0,05 foizni, 3 foizdan past bo‘lgan 210 ta kuzatuvda esa 3,78 foizni tashkil etgan. Davlat ulushi mavjud banklarning nuqtalari asosan rasmning o‘ng-pastki qismida joylashgan, ya’ni ularda muammoli kreditlar ulushi o‘rtacha 4,59 foiz, aktivlar rentabelligi esa 0,81 foiz bo‘lgan, boshqa banklarda bu ko‘rsatkichlar mos ravishda 2,83 va 3,76 foizni tashkil etgan. Barcha kuzatuvlar bo‘yicha regressiya chizig‘ining qiyaligi (−0,49) 3-modeldagi bahodan (−0,20) yuqori, chunki u banklar o‘rtasidagi doimiy farqlarni ham o‘z ichiga oladi. Shu sababli prognozda har bir bankning o‘ziga xos xususiyatlari hisobga olingan 3-model bahosi qo‘llandi.</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3240000"/>
            <wp:effectExtent l="0" t="0" r="0" b="0"/>
            <wp:docPr id="9702" name="4.2.2-rasm"/>
            <wp:cNvGraphicFramePr/>
            <a:graphic>
              <a:graphicData uri="http://schemas.openxmlformats.org/drawingml/2006/chart">
                <c:chart r:id="rId52"/>
              </a:graphicData>
            </a:graphic>
          </wp:inline>
        </w:drawing>
      </w:r>
    </w:p>
    <w:p w:rsidR="005603EC" w:rsidRDefault="00AB61AC">
      <w:pPr>
        <w:pStyle w:val="af"/>
        <w:spacing w:line="240" w:lineRule="auto"/>
        <w:jc w:val="both"/>
      </w:pPr>
      <w:r>
        <w:rPr>
          <w:sz w:val="24"/>
        </w:rPr>
        <w:t xml:space="preserve">Izoh: har bir nuqta – bir bankning bir choragi; ko‘rsatkichlar 1 va 99 foizlik chegaralarda vinzorlangan; regressiya chizig‘i barcha kuzatuvlar bo‘yicha y = 4,35 − 0,49x (R² = 0,21); bank effektlari hisobga olingan baho (−0,201) 4.2.2-jadvalda.</w:t>
      </w:r>
    </w:p>
    <w:p w:rsidR="005603EC" w:rsidRDefault="00AB61AC">
      <w:pPr>
        <w:pStyle w:val="af"/>
        <w:spacing w:before="120" w:after="240" w:line="240" w:lineRule="auto"/>
        <w:jc w:val="center"/>
      </w:pPr>
      <w:r>
        <w:rPr>
          <w:b/>
        </w:rPr>
        <w:t xml:space="preserve">4.2.2-rasm. Tanlangan 25 ta bankda muammoli kreditlar ulushi va aktivlar rentabelligi o‘rtasidagi bog‘liqlik, 2022–2025-yillar</w:t>
      </w:r>
      <w:r>
        <w:rPr>
          <w:rStyle w:val="aff8"/>
        </w:rPr>
        <w:footnoteReference w:id="518"/>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r>
      <w:r>
        <w:t xml:space="preserve">esa bankning zaxiralar bilan qoplanish darajasini hisobga olgan holda hisoblandi. To‘rtinchidan, qolgan ko‘rsatkichlar 2025-yil oxiridagi darajada saqlangan holda har bir bank uchun panel integral indeksi </w:t>
      </w:r>
      <w:r>
        <w:rPr/>
        <w:t xml:space="preserve">(MBII-8) va</w:t>
      </w:r>
      <w:r>
        <w:t xml:space="preserve"> 4.1-paragrafdagi erta ogohlantirish zonasi aniqlandi. Prognoz qilishdan oldin usulning ishonchliligi orqaga tekshiruv orqali </w:t>
      </w:r>
      <w:r>
        <w:rPr/>
        <w:t xml:space="preserve">sinovdan o‘tkazildi. Bunda model ketma-ket</w:t>
      </w:r>
      <w:r>
        <w:t xml:space="preserve">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Prognoz qilingan yil</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Haqiqiy qiymat (I–IV chorak), %</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etilgan usul bo‘yicha prognoz,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taklif etilgan usul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o‘zgarishsiz holat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o‘rtachaga qaytuvchi model</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3,38; 3,73; 3,53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 3,84; 3,77; 3,65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0,21</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4,52; 4,05; 4,18; 3,97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3,40; 3,43; 3,48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0,65</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0,33</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 3,80; 3,65; 2,99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 3,98; 3,99; 3,98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t xml:space="preserve">Shu bilan birga,</w:t>
      </w:r>
      <w:r>
        <w:t xml:space="preserve"> taklif etilgan usul o‘zgarishsiz holat prognozidan </w:t>
      </w:r>
      <w:r>
        <w:rPr/>
        <w:t xml:space="preserve">aniqroq emas, chunki 2023 va 2024-yillarda uning xatosi biroz yuqori (0,21 va 0,73 ga nisbatan 0,12 va 0,65), 2025-yilda esa teng bo‘lgan</w:t>
      </w:r>
      <w:r>
        <w:t xml:space="preserve">. Bank darajasida ham 2025-yil uchun prognoz qilingan integral indeks bo‘yicha erta ogohlantirish zonasi 25 ta bankdan 19 tasida to‘g‘ri aniqlangan, indeksning o‘rtacha xatosi esa 0,21 ballni tashkil </w:t>
      </w:r>
      <w:r>
        <w:rPr/>
        <w:t xml:space="preserve">etgan, biroq o‘zgarishsiz holat prognozi ham xuddi shunday natija beradi (19 ta bank, 0,21 ball)</w:t>
      </w:r>
      <w:r>
        <w:t xml:space="preserve">.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t xml:space="preserve">.</w:t>
      </w:r>
      <w:r>
        <w:t xml:space="preserve"> Bazel qo‘mitasining tamoyillari ham stress-test natijalarini aynan shu ma’noda talqin qilishni tavsiya etadi</w:t>
      </w:r>
      <w:r>
        <w:rPr>
          <w:rStyle w:val="aff8"/>
        </w:rPr>
        <w:footnoteReference w:id="520"/>
      </w:r>
      <w:r>
        <w:t xml:space="preserve">. Bank tizimida muammoli kreditlar ulushining ssenariylar bo‘yicha prognozi </w:t>
      </w:r>
      <w:r>
        <w:rPr/>
        <w:t xml:space="preserve">4.2.3-rasm</w:t>
      </w:r>
      <w:r>
        <w:t xml:space="preserve">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 xml:space="preserve">4.2.3-rasm</w:t>
      </w:r>
      <w:r>
        <w:rPr>
          <w:b/>
        </w:rPr>
        <w:t xml:space="preserve">. Bank tizimida muammoli kreditlar ulushining haqiqiy dinamikasi (2021–2025-yillar) va ssenariylar bo‘yicha prognozi (2026–2028-yillar), %</w:t>
      </w:r>
      <w:r>
        <w:rPr>
          <w:rStyle w:val="aff8"/>
        </w:rPr>
        <w:footnoteReference w:id="521"/>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w:t>
      </w:r>
      <w:r>
        <w:rPr/>
        <w:t xml:space="preserve">mos ravishda 2023–2024-yillardagi va 2022-yildagi</w:t>
      </w:r>
      <w:r>
        <w:t xml:space="preserve"> darajaga to‘g‘ri keladi. </w:t>
      </w:r>
      <w:r>
        <w:lastRenderedPageBreak/>
      </w:r>
      <w:r>
        <w:t xml:space="preserve">2028-yilda iqtisodiy o‘sish tiklanishi bilan muammoli kreditlar ulushi 3,7 foizgacha pasaya boshlaydi. </w:t>
      </w:r>
      <w:r>
        <w:rPr/>
        <w:t xml:space="preserve">Tizim darajasidagi prognoz har bir tijorat bankiga qo‘llanilganda ssenariylarning ta’siri banklar kesimida turlicha namoyon bo‘ladi. Ikkinchi bobda batafsil tahlil qilingan uch bank bo‘yicha natijalar 4.2.4-rasmda keltirilgan.</w:t>
      </w:r>
    </w:p>
    <w:p w:rsidR="005603EC" w:rsidRDefault="00AB61AC">
      <w:pPr>
        <w:pStyle w:val="af"/>
        <w:keepNext/>
        <w:spacing w:before="0" w:after="0" w:line="240" w:lineRule="auto"/>
        <w:jc w:val="center"/>
      </w:pPr>
      <w:r>
        <w:rPr>
          <w:b/>
          <w:sz w:val="24"/>
        </w:rPr>
        <w:t xml:space="preserve">a) “O‘zsanoatqurilishbank” ATB</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1800000"/>
            <wp:effectExtent l="0" t="0" r="0" b="0"/>
            <wp:docPr id="9801" name="4.2.4-rasm a"/>
            <wp:cNvGraphicFramePr/>
            <a:graphic>
              <a:graphicData uri="http://schemas.openxmlformats.org/drawingml/2006/chart">
                <c:chart r:id="rId53"/>
              </a:graphicData>
            </a:graphic>
          </wp:inline>
        </w:drawing>
      </w:r>
    </w:p>
    <w:p w:rsidR="005603EC" w:rsidRDefault="00AB61AC">
      <w:pPr>
        <w:pStyle w:val="af"/>
        <w:keepNext/>
        <w:spacing w:before="0" w:after="0" w:line="240" w:lineRule="auto"/>
        <w:jc w:val="center"/>
      </w:pPr>
      <w:r>
        <w:rPr>
          <w:b/>
          <w:sz w:val="24"/>
        </w:rPr>
        <w:t xml:space="preserve">b) “Mikrokreditbank” ATB</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1800000"/>
            <wp:effectExtent l="0" t="0" r="0" b="0"/>
            <wp:docPr id="9802" name="4.2.4-rasm b"/>
            <wp:cNvGraphicFramePr/>
            <a:graphic>
              <a:graphicData uri="http://schemas.openxmlformats.org/drawingml/2006/chart">
                <c:chart r:id="rId54"/>
              </a:graphicData>
            </a:graphic>
          </wp:inline>
        </w:drawing>
      </w:r>
    </w:p>
    <w:p w:rsidR="005603EC" w:rsidRDefault="00AB61AC">
      <w:pPr>
        <w:pStyle w:val="af"/>
        <w:keepNext/>
        <w:spacing w:before="0" w:after="0" w:line="240" w:lineRule="auto"/>
        <w:jc w:val="center"/>
      </w:pPr>
      <w:r>
        <w:rPr>
          <w:b/>
          <w:sz w:val="24"/>
        </w:rPr>
        <w:t xml:space="preserve">v) “Aloqabank” ATB</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376000"/>
            <wp:effectExtent l="0" t="0" r="0" b="0"/>
            <wp:docPr id="9803" name="4.2.4-rasm v"/>
            <wp:cNvGraphicFramePr/>
            <a:graphic>
              <a:graphicData uri="http://schemas.openxmlformats.org/drawingml/2006/chart">
                <c:chart r:id="rId55"/>
              </a:graphicData>
            </a:graphic>
          </wp:inline>
        </w:drawing>
      </w:r>
    </w:p>
    <w:p w:rsidR="005603EC" w:rsidRDefault="00AB61AC">
      <w:pPr>
        <w:pStyle w:val="af"/>
        <w:spacing w:line="240" w:lineRule="auto"/>
        <w:jc w:val="both"/>
      </w:pPr>
      <w:r>
        <w:rPr>
          <w:sz w:val="24"/>
        </w:rPr>
        <w:t xml:space="preserve">Izoh: haqiqiy qiymatlar – choraklik, milliy hisobot; prognoz – tizim modeli (4.2.2-jadval, 1-model) bo‘yicha og‘ishning bankning 2025-yil IV choragidagi muammoli kreditlar ulushiga proporsional taqsimlanishi.</w:t>
      </w:r>
    </w:p>
    <w:p w:rsidR="005603EC" w:rsidRDefault="00AB61AC">
      <w:pPr>
        <w:pStyle w:val="af"/>
        <w:spacing w:before="120" w:after="240" w:line="240" w:lineRule="auto"/>
        <w:jc w:val="center"/>
      </w:pPr>
      <w:r>
        <w:rPr>
          <w:b/>
        </w:rPr>
        <w:t xml:space="preserve">4.2.4-rasm. Tanlangan tijorat banklarida muammoli kreditlar ulushining haqiqiy dinamikasi (2021–2025-yillar) va ssenariylar bo‘yicha prognozi (2026–2028-yillar), %</w:t>
      </w:r>
      <w:r>
        <w:rPr>
          <w:rStyle w:val="aff8"/>
        </w:rPr>
        <w:footnoteReference w:id="522"/>
      </w:r>
    </w:p>
    <w:p w:rsidR="005603EC" w:rsidRDefault="00AB61AC">
      <w:pPr>
        <w:pStyle w:val="af"/>
        <w:spacing w:after="0" w:line="360" w:lineRule="auto"/>
        <w:ind w:firstLine="709"/>
        <w:jc w:val="both"/>
      </w:pPr>
      <w:r>
        <w:rPr/>
        <w:t xml:space="preserve">Rasmdan ko‘rinib turibdiki, “O‘zsanoatqurilishbank” va “Aloqabank” ATBlarda muammoli kreditlar ulushi 2025-yil oxirida deyarli bir xil (2,53 va 2,54 foiz) bo‘lib, keskin salbiy ssenariyda 2027-yil oxirida 3,99–4,00 foizgacha oshadi, ya’ni 5 foizlik erta ogohlantirish chegarasidan past qoladi. “Mikrokreditbank” ATB da esa ulush 2025-yilning o‘zida 4,41 foizni tashkil etib, salbiy ssenariyda 5,74 foizga, keskin salbiy ssenariyda 6,95 foizga yetadi va chegaradan sezilarli oshadi. Asosiy va ijobiy ssenariylarda esa uch bankning birortasida ham ulush 5 foizdan oshmaydi. Demak, bir xil makroiqtisodiy shok kredit portfeli sifati past bo‘lgan bankda ancha kuchli ta’sir ko‘rsatadi.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2028</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 soni: yashil / sariq / qizil zona</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 9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 8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 7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 9 / 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9 / 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 9 / 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8 / 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aktivlari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bl>
    <w:p w:rsidR="005603EC" w:rsidRDefault="00AB61AC">
      <w:pPr>
        <w:pStyle w:val="af"/>
        <w:spacing w:line="240" w:lineRule="auto"/>
        <w:jc w:val="both"/>
      </w:pPr>
      <w:r>
        <w:rPr>
          <w:sz w:val="24"/>
        </w:rPr>
        <w:t xml:space="preserve">Izoh: muammoli kreditlar ulushi va ROA aktivlar bo‘yicha tortilgan </w:t>
      </w:r>
      <w:r>
        <w:rPr>
          <w:sz w:val="24"/>
        </w:rPr>
        <w:t xml:space="preserve">o‘rtacha; MBII – 8 ko‘rsatkichli panel indeksi (MBII-8); aktivlar ulushi tanlangan 25 ta bank jami aktivlariga nisbatan (2025-yil oxirida ular bank tizimi aktivlarining 96,9 foizini tashkil etgan);</w:t>
      </w:r>
      <w:r>
        <w:rPr>
          <w:sz w:val="24"/>
        </w:rPr>
        <w:t xml:space="preserve">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w:t>
      </w:r>
      <w:r>
        <w:rPr/>
        <w:t xml:space="preserve">deyarli o‘zgarmaydi, ya’ni integral indeks</w:t>
      </w:r>
      <w:r>
        <w:t xml:space="preserve"> medianasi 3,39–3,42 ball darajasida saqlanadi, birorta ham bank qizil zonaga tushmaydi. Salbiy ssenariyda 2027-yilda ikki bank qizil zonaga tushib, ular </w:t>
      </w:r>
      <w:r>
        <w:rPr/>
        <w:t xml:space="preserve">tanlangan banklar</w:t>
      </w:r>
      <w:r>
        <w:t xml:space="preserve"> aktivlarining 5,9 foizini tashkil etadi. Keskin salbiy ssenariyda esa vaziyat </w:t>
      </w:r>
      <w:r>
        <w:rPr/>
        <w:t xml:space="preserve">sezilarli yomonlashadi. Bunda aktivlar rentabelligi</w:t>
      </w:r>
      <w:r>
        <w:t xml:space="preserve"> 1,69 foizdan 1,35 foizgacha pasayadi, integral indeks medianasi 3,18 ballgacha tushadi, qizil zonadagi banklar soni to‘rttaga yetib, ularning </w:t>
      </w:r>
      <w:r>
        <w:rPr/>
        <w:t xml:space="preserve">tanlangan banklar aktivlaridagi ulushi 24,3 foizni tashkil etadi, sariq va qizil zonadagi banklarning</w:t>
      </w:r>
      <w:r>
        <w:t xml:space="preserve"> ulushi esa 45,9 foizga yetadi. Eng muhim natija shundaki, ikkala salbiy ssenariyda ham qizil zonaga faqat davlat banklari tushadi: keskin salbiy ssenariyda bular “Agrobank”, “Asaka bank”, “Mikrokreditbank” va “Turonbank” </w:t>
      </w:r>
      <w:r>
        <w:rPr/>
        <w:t xml:space="preserve">ATBlaridir (banklar kesimidagi natijalar 7-ilovada keltirilgan)</w:t>
      </w:r>
      <w:r>
        <w:t xml:space="preserve">. Davlat banklarida integral indeks medianasi keskin salbiy ssenariyda 3,15 dan 2,81 ballgacha, ya’ni sariq zonaning quyi </w:t>
      </w:r>
      <w:r>
        <w:rPr/>
        <w:t xml:space="preserve">chegarasiga yaqin darajagacha</w:t>
      </w:r>
      <w:r>
        <w:t xml:space="preserve"> pasayadi, </w:t>
      </w:r>
      <w:r>
        <w:rPr/>
        <w:t xml:space="preserve">boshqa</w:t>
      </w:r>
      <w:r>
        <w:t xml:space="preserve"> banklarda esa 3,61 dan 3,50 ballgacha, ya’ni yashil zonada qoladi. Bu</w:t>
      </w:r>
      <w:r>
        <w:rPr/>
        <w:t xml:space="preserve"> holat</w:t>
      </w:r>
      <w:r>
        <w:t xml:space="preserve"> 3.3-paragrafda </w:t>
      </w:r>
      <w:r>
        <w:lastRenderedPageBreak/>
      </w:r>
      <w:r>
        <w:t xml:space="preserve">aniqlangan </w:t>
      </w:r>
      <w:r>
        <w:rPr/>
        <w:t xml:space="preserve">omillar bilan izohlanadi. Xususan, davlat banklarida</w:t>
      </w:r>
      <w:r>
        <w:t xml:space="preserve"> daromadlilik past (aktivlar bo‘yicha tortilgan ROA 1,0 foiz), shu sababli muammoli kreditlarning </w:t>
      </w:r>
      <w:r>
        <w:rPr/>
        <w:t>nisbatan kichik oshishi ham ularning daromadliligini sezilarli pasaytiradi (ROA 1,0 foizdan 0,6 foizgacha)</w:t>
      </w:r>
      <w:r>
        <w:t xml:space="preserve">, </w:t>
      </w:r>
      <w:r>
        <w:rPr/>
        <w:t xml:space="preserve">boshqa</w:t>
      </w:r>
      <w:r>
        <w:t xml:space="preserve"> banklarda esa yuqori foiz marjasi zarar uchun bufer vazifasini bajaradi.</w:t>
      </w:r>
    </w:p>
    <w:p w:rsidR="005603EC" w:rsidRDefault="00AB61AC">
      <w:pPr>
        <w:pStyle w:val="af"/>
        <w:spacing w:after="0" w:line="360" w:lineRule="auto"/>
        <w:ind w:firstLine="709"/>
        <w:jc w:val="both"/>
      </w:pPr>
      <w:r>
        <w:rPr/>
        <w:t xml:space="preserve">Prognoz natijalari tanlangan usulga bog‘liq emasligini tekshirish uchun muammoli kreditlar ulushi har bir bank uchun bevosita 4.2.2-jadvaldagi 2-model (25 ta bank paneli) asosida ham prognoz qilindi. Bu modelda YaIM o‘sishining ta’siri o‘sha chorakning o‘zida namoyon bo‘ladi va barcha banklarda bir xil foiz punktga teng bo‘ladi, asosiy usulda esa tizim bo‘yicha og‘ish to‘rt chorakdan keyin namoyon bo‘lib, banklarga ularning ulushiga proporsional taqsimlanadi. Natijalar 4.2.5-jadvalda keltirilgan.</w:t>
      </w:r>
    </w:p>
    <w:p w:rsidR="005603EC" w:rsidRDefault="00AB61AC">
      <w:pPr>
        <w:pStyle w:val="af"/>
        <w:spacing w:after="0" w:line="360" w:lineRule="auto"/>
        <w:ind w:firstLine="709"/>
        <w:jc w:val="both"/>
      </w:pPr>
      <w:r>
        <w:rPr/>
        <w:t xml:space="preserve">4.2.5-jadvaldan </w:t>
      </w:r>
      <w:r>
        <w:rPr/>
        <w:t xml:space="preserve">ko‘rinib turibdiki, ikki usul bir xil asosiy natija beradi. Keskin salbiy ssenariyda qizil zonaga ikkala usulda ham aynan bir xil to‘rt bank – “Agrobank”, “Asaka bank”, “Mikrokreditbank” va “Turonbank” ATBlar tushadi, ularning aktivlari ulushi esa 24,3 foizni tashkil etadi. Salbiy ssenariyda ham ikkala usulda “Mikrokreditbank” va “Turonbank” ATBlar qizil zonaga tushadi. Usullar o‘rtasidagi farq asosan vaqtda namoyon bo‘ladi. Bank modelida shok o‘sha yilning o‘zida (2026-yil), asosiy usulda esa bir yildan keyin (2027-yil) eng yuqori ta’sir ko‘rsatadi. Demak, erta ogohlantirish zonalari bo‘yicha xulosalar prognoz usuliga bog‘liq emas, ya’ni barqaror hisoblanadi.</w:t>
      </w:r>
    </w:p>
    <w:p w:rsidR="005603EC" w:rsidRDefault="00AB61AC">
      <w:pPr>
        <w:pStyle w:val="af"/>
        <w:keepNext/>
        <w:spacing w:before="120" w:after="0" w:line="360" w:lineRule="auto"/>
        <w:jc w:val="right"/>
      </w:pPr>
      <w:r>
        <w:rPr>
          <w:i/>
        </w:rPr>
        <w:t xml:space="preserve">4.2.5-jadval</w:t>
      </w:r>
    </w:p>
    <w:p w:rsidR="005603EC" w:rsidRDefault="00AB61AC">
      <w:pPr>
        <w:pStyle w:val="af"/>
        <w:keepNext/>
        <w:spacing w:line="240" w:lineRule="auto"/>
        <w:jc w:val="center"/>
      </w:pPr>
      <w:r>
        <w:rPr>
          <w:b/>
          <w:bCs/>
        </w:rPr>
        <w:t xml:space="preserve">Bank darajasidagi prognozning ikki usul bo‘yicha natijalari: salbiy va keskin salbiy ssenariylar</w:t>
      </w:r>
      <w:r>
        <w:rPr>
          <w:rStyle w:val="aff8"/>
        </w:rPr>
        <w:footnoteReference w:id="5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700"/>
        <w:gridCol w:w="2200"/>
        <w:gridCol w:w="2000"/>
        <w:gridCol w:w="2400"/>
      </w:tblGrid>
      <w:tr>
        <w:trPr>
          <w:tblHeader/>
        </w:trPr>
        <w:tc>
          <w:tcPr>
            <w:tcW w:type="dxa" w:w="3642"/>
            <w:vAlign w:val="center"/>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 yil</w:t>
            </w:r>
          </w:p>
        </w:tc>
        <w:tc>
          <w:tcPr>
            <w:tcW w:type="dxa" w:w="3642"/>
            <w:vAlign w:val="center"/>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w:t>
            </w:r>
          </w:p>
        </w:tc>
        <w:tc>
          <w:tcPr>
            <w:tcW w:type="dxa" w:w="3642"/>
            <w:vAlign w:val="center"/>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Qizil zonadagi banklar soni</w:t>
            </w:r>
          </w:p>
        </w:tc>
        <w:tc>
          <w:tcPr>
            <w:tcW w:type="dxa" w:w="3642"/>
            <w:vAlign w:val="center"/>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Qizil zonadagi banklar aktivlari ulushi, %</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Salbiy, 2026</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2,98 / 4,15</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0 / 2</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0,0 / 5,9</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Salbiy, 2027</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3,82 / 4,03</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 / 2</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5,9 / 5,9</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Salbiy, 2028</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3,60 / 3,48</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1 / 0</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 / 0,0</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Keskin salbiy, 2026</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2,98 / 5,24</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0 / 4</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0,0 / 24,3</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Keskin salbiy, 2027</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4,63 / 4,27</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4 / 3</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24,3 / 17,4</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Keskin salbiy, 2028</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3,65 / 3,53</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 / 0</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5,9 / 0,0</w:t>
            </w:r>
          </w:p>
        </w:tc>
      </w:tr>
      <w:tr>
        <w:tc>
          <w:tcPr>
            <w:tcW w:type="dxa" w:w="3642"/>
          </w:tcPr>
          <w:p>
            <w:pPr>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Eng yuqori ulush (keskin salbiy), %</w:t>
            </w:r>
          </w:p>
        </w:tc>
        <w:tc>
          <w:tcPr>
            <w:tcW w:type="dxa" w:w="10926"/>
            <w:gridSpan w:val="3"/>
          </w:tcPr>
          <w:p>
            <w:pPr>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“O‘zsanoatqurilishbank”: 3,99 / 4,83; “Mikrokreditbank”: 6,95 / 6,71; “Aloqabank”: 4,00 / 4,84</w:t>
            </w:r>
          </w:p>
        </w:tc>
      </w:tr>
    </w:tbl>
    <w:p w:rsidR="005603EC" w:rsidRDefault="00AB61AC">
      <w:pPr>
        <w:pStyle w:val="af"/>
        <w:spacing w:line="240" w:lineRule="auto"/>
        <w:jc w:val="both"/>
      </w:pPr>
      <w:r>
        <w:rPr>
          <w:sz w:val="24"/>
        </w:rPr>
        <w:t xml:space="preserve">Izoh: har bir katakda – asosiy usul / bank modeli bo‘yicha natija; asosiy usul – tizim modeli bo‘yicha og‘ishning banklarga proporsional taqsimlanishi (4.2.4-jadval), bank modeli – 4.2.2-jadvaldagi 2-model; muammoli kreditlar ulushi – 25 ta bank bo‘yicha aktivlar bilan tortilgan o‘rtacha; asosiy va ijobiy ssenariylarda ikkala usulda ham qizil zonada bank yo‘q.</w:t>
      </w:r>
    </w:p>
    <w:p w:rsidR="005603EC" w:rsidRDefault="00AB61AC">
      <w:pPr>
        <w:pStyle w:val="af"/>
        <w:spacing w:after="0" w:line="360" w:lineRule="auto"/>
        <w:ind w:firstLine="709"/>
        <w:jc w:val="both"/>
      </w:pPr>
      <w:r>
        <w:rPr/>
        <w:t xml:space="preserve">Mazkur natijalarni yaqqol ifodalash maqsadida s</w:t>
      </w:r>
      <w:r>
        <w:t xml:space="preserve">senariylar bo‘yicha banklarning erta ogohlantirish zonalari o‘rtasida taqsimlanishi </w:t>
      </w:r>
      <w:r>
        <w:rPr/>
        <w:t xml:space="preserve">4.2.5-rasm</w:t>
      </w:r>
      <w:r>
        <w:t xml:space="preserve">da ko‘rsatilgan.</w:t>
      </w:r>
    </w:p>
    <w:p w:rsidR="005603EC" w:rsidRDefault="00AB61AC">
      <w:pPr>
        <w:pStyle w:val="af"/>
        <w:spacing w:after="0" w:line="360" w:lineRule="auto"/>
        <w:ind w:firstLine="709"/>
        <w:jc w:val="both"/>
      </w:pPr>
      <w:r>
        <w:rPr/>
        <w:t xml:space="preserve">4.2.5-rasmdan </w:t>
      </w:r>
      <w:r>
        <w:t xml:space="preserve">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w:t>
      </w:r>
      <w:r>
        <w:rPr/>
        <w:t xml:space="preserve">tanlangan banklar</w:t>
      </w:r>
      <w:r>
        <w:t xml:space="preserve"> aktivlaridagi ulushi 2025-yildagi 33,8 foizdan keskin salbiy ssenariyda 45,9 foizgacha oshadi, ya’ni bank tizimi aktivlarining deyarli yarmi kuchaytirilgan nazorat talab qiladigan banklarga to‘g‘ri keladi. Ssenariylarning davlat banklari va boshqa banklarga ta’siri </w:t>
      </w:r>
      <w:r>
        <w:rPr/>
        <w:t xml:space="preserve">4.2.6-jadval</w:t>
      </w:r>
      <w:r>
        <w:t xml:space="preserve">da solishtirilgan.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 xml:space="preserve">4.2.5-rasm</w:t>
      </w:r>
      <w:r>
        <w:rPr>
          <w:b/>
        </w:rPr>
        <w:t xml:space="preserve">. Tanlangan 25 ta bankning </w:t>
      </w:r>
      <w:r>
        <w:rPr>
          <w:b/>
        </w:rPr>
        <w:t xml:space="preserve">erta ogohlantirish zonalari bo‘yicha taqsimlanishi: 2025-yil (haqiqiy) va 2027-yil oxiri (ssenariylar bo‘yicha prognoz)</w:t>
      </w:r>
      <w:r>
        <w:rPr>
          <w:b/>
        </w:rPr>
        <w:t xml:space="preserve">, banklar soni</w:t>
      </w:r>
      <w:r>
        <w:rPr>
          <w:rStyle w:val="aff8"/>
        </w:rPr>
        <w:footnoteReference w:id="525"/>
      </w:r>
    </w:p>
    <w:p w:rsidR="005603EC" w:rsidRDefault="00AB61AC">
      <w:pPr>
        <w:pStyle w:val="af"/>
        <w:keepNext/>
        <w:spacing w:before="120" w:after="0" w:line="360" w:lineRule="auto"/>
        <w:jc w:val="right"/>
      </w:pPr>
      <w:r>
        <w:rPr>
          <w:i/>
        </w:rPr>
        <w:lastRenderedPageBreak/>
      </w:r>
      <w:r>
        <w:rPr>
          <w:i/>
        </w:rPr>
        <w:t xml:space="preserve">4.2.6-jadval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20" w:firstRow="1" w:lastRow="0" w:firstColumn="0" w:lastColumn="0" w:noHBand="0" w:noVBand="0"/>
      </w:tblPr>
      <w:tblGrid>
        <w:gridCol w:w="3118"/>
        <w:gridCol w:w="1644"/>
        <w:gridCol w:w="1077"/>
        <w:gridCol w:w="879"/>
        <w:gridCol w:w="879"/>
        <w:gridCol w:w="879"/>
        <w:gridCol w:w="8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18"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644"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Guruh</w:t>
            </w:r>
          </w:p>
        </w:tc>
        <w:tc>
          <w:tcPr>
            <w:tcW w:w="1077"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879"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w:t>
            </w:r>
          </w:p>
        </w:tc>
        <w:tc>
          <w:tcPr>
            <w:tcW w:w="879"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w:t>
            </w:r>
          </w:p>
        </w:tc>
        <w:tc>
          <w:tcPr>
            <w:tcW w:w="879"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w:t>
            </w:r>
          </w:p>
        </w:tc>
        <w:tc>
          <w:tcPr>
            <w:tcW w:w="879"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4,13</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r>
      <w:tr w:rsidR="005603EC" w:rsidTr="005603EC">
        <w:trPr>
          <w:cantSplit/>
        </w:trPr>
        <w:tc>
          <w:tcPr>
            <w:tcW w:w="311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r>
    </w:tbl>
    <w:p w:rsidR="005603EC" w:rsidRDefault="00AB61AC">
      <w:pPr>
        <w:pStyle w:val="af"/>
        <w:spacing w:line="240" w:lineRule="auto"/>
        <w:jc w:val="both"/>
      </w:pPr>
      <w:r>
        <w:rPr>
          <w:sz w:val="24"/>
        </w:rPr>
        <w:t xml:space="preserve">Izoh: muammoli kreditlar ulushi va ROA aktivlar bo‘yicha tortilgan </w:t>
      </w:r>
      <w:r>
        <w:rPr>
          <w:sz w:val="24"/>
        </w:rPr>
        <w:t xml:space="preserve">o‘rtacha; MBII – 8 ko‘rsatkichli panel indeksi (MBII-8)</w:t>
      </w:r>
      <w:r>
        <w:rPr>
          <w:sz w:val="24"/>
        </w:rPr>
        <w:t xml:space="preserve">.</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 xml:space="preserve">Milliy hisobot asosidagi prognoz kredit riskini </w:t>
      </w:r>
      <w:r>
        <w:rPr/>
        <w:t xml:space="preserve">kamaytirib</w:t>
      </w:r>
      <w:r>
        <w:t xml:space="preserve"> ko‘rsatishini hisobga olgan holda, </w:t>
      </w:r>
      <w:r>
        <w:rPr/>
        <w:t xml:space="preserve">tadqiqot obyektlari bo‘lgan uch</w:t>
      </w:r>
      <w:r>
        <w:t xml:space="preserve"> bank uchun prognoz milliy va MHXS hisobotlari asosida alohida amalga oshirildi. MHXS varianti uchun muammoli kreditlar ulushining o‘zgarishi 2.3-paragrafda taklif etilgan yashirin kredit riski </w:t>
      </w:r>
      <w:r>
        <w:rPr/>
        <w:t xml:space="preserve">koeffitsiyentiga ko‘paytirildi. Bu koeffitsiyent</w:t>
      </w:r>
      <w:r>
        <w:t xml:space="preserve"> 2025-yilda “O‘zsanoatqurilishbank” ATB uchun 2,96 ni, “Mikrokreditbank” ATB uchun 2,80 </w:t>
      </w:r>
      <w:r>
        <w:rPr/>
        <w:t xml:space="preserve">ni, “Aloqabank” ATB uchun 2,83 ni tashkil etgan. Dastlabki ikki bank bo‘yicha natijalar </w:t>
      </w:r>
      <w:r>
        <w:rPr/>
        <w:t xml:space="preserve">4.2.7-jadval</w:t>
      </w:r>
      <w:r>
        <w:rPr/>
        <w:t xml:space="preserve">da keltirilgan</w:t>
      </w:r>
      <w:r>
        <w:t xml:space="preserve">.</w:t>
      </w:r>
    </w:p>
    <w:p w:rsidR="005603EC" w:rsidRDefault="00AB61AC">
      <w:pPr>
        <w:pStyle w:val="af"/>
        <w:keepNext/>
        <w:spacing w:before="120" w:after="0" w:line="360" w:lineRule="auto"/>
        <w:jc w:val="right"/>
      </w:pPr>
      <w:r>
        <w:rPr>
          <w:i/>
        </w:rPr>
        <w:lastRenderedPageBreak/>
      </w:r>
      <w:r>
        <w:rPr>
          <w:i/>
        </w:rPr>
        <w:t xml:space="preserve">4.2.7-jadval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w:t>
            </w:r>
          </w:p>
        </w:tc>
        <w:tc>
          <w:tcPr>
            <w:tcW w:w="1474"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474"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474"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417"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417"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r>
      <w:tr w:rsidR="005603EC" w:rsidTr="005603EC">
        <w:trPr>
          <w:cantSplit/>
        </w:trPr>
        <w:tc>
          <w:tcPr>
            <w:tcW w:w="2041"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2,5 %)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2,7 %)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 2,5 %)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 3,3 %)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 4,0 %)</w:t>
            </w:r>
          </w:p>
        </w:tc>
      </w:tr>
      <w:tr w:rsidR="005603EC" w:rsidTr="005603EC">
        <w:trPr>
          <w:cantSplit/>
        </w:trPr>
        <w:tc>
          <w:tcPr>
            <w:tcW w:w="2041"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 7,5 %)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(sariq; 8,1 %)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(sariq; 7,3 %)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 9,7 %)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(qizil; 11,8 %)</w:t>
            </w:r>
          </w:p>
        </w:tc>
      </w:tr>
      <w:tr w:rsidR="005603EC" w:rsidTr="005603EC">
        <w:trPr>
          <w:cantSplit/>
        </w:trPr>
        <w:tc>
          <w:tcPr>
            <w:tcW w:w="2041"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 4,4 %)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2,84 (sariq; </w:t>
            </w:r>
            <w:r>
              <w:rPr>
                <w:rFonts w:ascii="Times New Roman" w:hAnsi="Times New Roman" w:eastAsia="Times New Roman" w:cs="Times New Roman"/>
                <w:sz w:val="24"/>
                <w:szCs w:val="24"/>
              </w:rPr>
              <w:t xml:space="preserve">4,7</w:t>
            </w:r>
            <w:r>
              <w:rPr>
                <w:rFonts w:ascii="Times New Roman" w:hAnsi="Times New Roman" w:eastAsia="Times New Roman" w:cs="Times New Roman"/>
                <w:sz w:val="24"/>
                <w:szCs w:val="24"/>
              </w:rPr>
              <w:t xml:space="preserve">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 4,3 %)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 5,7 %)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2,58 (qizil; </w:t>
            </w:r>
            <w:r>
              <w:rPr>
                <w:rFonts w:ascii="Times New Roman" w:hAnsi="Times New Roman" w:eastAsia="Times New Roman" w:cs="Times New Roman"/>
                <w:sz w:val="24"/>
                <w:szCs w:val="24"/>
              </w:rPr>
              <w:t xml:space="preserve">6,9</w:t>
            </w:r>
            <w:r>
              <w:rPr>
                <w:rFonts w:ascii="Times New Roman" w:hAnsi="Times New Roman" w:eastAsia="Times New Roman" w:cs="Times New Roman"/>
                <w:sz w:val="24"/>
                <w:szCs w:val="24"/>
              </w:rPr>
              <w:t xml:space="preserve">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 (qizil; 12,3 %)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(qizil; 13,3 %)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 (qizil; 12,0 %)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16,1 %)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w:t>
      </w:r>
      <w:r>
        <w:rPr/>
        <w:t xml:space="preserve">ko‘ra,</w:t>
      </w:r>
      <w:r>
        <w:t xml:space="preserve">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w:t>
      </w:r>
      <w:r>
        <w:rPr/>
        <w:t xml:space="preserve">yetadi. Xuddi shu usulda hisoblangan “Aloqabank” ATB bo‘yicha natijalar ham shunga o‘xshash. Milliy hisobot bo‘yicha bank 2027-yilda ijobiy ssenariyda yashil zonada (3,27 ball), qolgan ssenariylarda sariq zonada (3,04–3,24 ball) bo‘lsa, MHXS bo‘yicha asosiy ssenariyda sariq va qizil zonalar chegarasida (2,75 ball) joylashib, salbiy ssenariylarda qizil zonaga (2,58–2,66 ball) tushadi, 3-bosqich kreditlari ulushi esa 7,2 foizdan 11,3 foizgacha oshadi.</w:t>
      </w:r>
      <w:r>
        <w:t xml:space="preserve"> </w:t>
      </w:r>
      <w:r>
        <w:rPr/>
        <w:t xml:space="preserve">Dastlabki ikki bank bo‘yicha bu</w:t>
      </w:r>
      <w:r>
        <w:t xml:space="preserve"> farqlar </w:t>
      </w:r>
      <w:r>
        <w:rPr/>
        <w:t xml:space="preserve">4.2.6-rasm</w:t>
      </w:r>
      <w:r>
        <w:t xml:space="preserve">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 xml:space="preserve">4.2.6-rasm</w:t>
      </w:r>
      <w:r>
        <w:rPr>
          <w:b/>
        </w:rPr>
        <w:t xml:space="preserve">. “O‘zsanoatqurilishbank” ATB va “Mikrokreditbank” ATB integral indeksining ssenariylar bo‘yicha 2027-yilga prognozi: milliy va MHXS hisobotlari asosida, ball</w:t>
      </w:r>
      <w:r>
        <w:rPr>
          <w:rStyle w:val="aff8"/>
        </w:rPr>
        <w:footnoteReference w:id="528"/>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t xml:space="preserve">. Jumladan,</w:t>
      </w:r>
      <w:r>
        <w:t xml:space="preserve"> “O‘zsanoatqurilishbank” ATB da </w:t>
      </w:r>
      <w:r>
        <w:rPr/>
        <w:t xml:space="preserve">farq </w:t>
      </w:r>
      <w:r>
        <w:rPr/>
        <w:t xml:space="preserve">0,80–0</w:t>
      </w:r>
      <w:r>
        <w:rPr/>
        <w:t xml:space="preserve">,90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w:t>
      </w:r>
      <w:r>
        <w:rPr/>
        <w:t xml:space="preserve">oshirib ko‘rsatadi. </w:t>
      </w:r>
      <w:r>
        <w:rPr/>
        <w:t xml:space="preserve">Xususan</w:t>
      </w:r>
      <w:r>
        <w:rPr/>
        <w:t xml:space="preserve">, “O‘zsanoatqurilishbank” ATB misolida</w:t>
      </w:r>
      <w:r>
        <w:t xml:space="preserve">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w:t>
      </w:r>
      <w:r>
        <w:rPr/>
        <w:t xml:space="preserve">qarorlar,</w:t>
      </w:r>
      <w:r>
        <w:t xml:space="preserve">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w:t>
      </w:r>
      <w:r>
        <w:rPr/>
        <w:t xml:space="preserve">tanlangan banklar</w:t>
      </w:r>
      <w:r>
        <w:t xml:space="preserve"> aktivlaridagi ulushi 24,3 foizga yetadi. Milliy hisobot ma’lumotlari asosidagi prognoz bu riskni </w:t>
      </w:r>
      <w:r>
        <w:rPr/>
        <w:t xml:space="preserve">kamaytirib</w:t>
      </w:r>
      <w:r>
        <w:t xml:space="preserve"> ko‘rsatadi, MHXS ma’lumotlari asosida esa </w:t>
      </w:r>
      <w:r>
        <w:rPr/>
        <w:t xml:space="preserve">tadqiqot obyektlari bo‘lgan “O‘zsanoatqurilishbank” va “Aloqabank” ATBlari</w:t>
      </w:r>
      <w:r>
        <w:t xml:space="preserve">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t xml:space="preserve">ning</w:t>
      </w:r>
      <w:r>
        <w:t xml:space="preserve">, ayniqsa davlat </w:t>
      </w:r>
      <w:r>
        <w:rPr/>
        <w:t xml:space="preserve">banklarining,</w:t>
      </w:r>
      <w:r>
        <w:t xml:space="preserve"> kapital monandligi minimal talabdan pastga tushadi</w:t>
      </w:r>
      <w:r>
        <w:rPr>
          <w:rStyle w:val="aff8"/>
        </w:rPr>
        <w:footnoteReference w:id="529"/>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30"/>
      </w:r>
      <w:r>
        <w:t xml:space="preserve">. Salbiy ssenariyda tizim kapital monandligi 9,9 foizgacha pasayib, kapital yetishmovchiligi 48 trln so‘mni (YaIMning 2,2 foizi) tashkil etadi, boshlang‘ich kapital </w:t>
      </w:r>
      <w:r>
        <w:rPr/>
        <w:t xml:space="preserve">monandligi to‘liq aks ettirilmagan muammoli kreditlarga tuzatilib, subordinar qarzlar chegirilganda</w:t>
      </w:r>
      <w:r>
        <w:t xml:space="preserve"> esa monandlik 7,7 foizgacha pasayib, yetishmovchilik 79 trln so‘mga (YaIMning 3,6 foizi) yetadi</w:t>
      </w:r>
      <w:r>
        <w:rPr>
          <w:rStyle w:val="aff8"/>
        </w:rPr>
        <w:footnoteReference w:id="531"/>
      </w:r>
      <w:r>
        <w:t xml:space="preserve">. Hatto asosiy ssenariyda ham to‘qqizta davlat bankidan beshtasi, jumladan ikkita tizimli ahamiyatga molik </w:t>
      </w:r>
      <w:r>
        <w:rPr/>
        <w:t xml:space="preserve">bank,</w:t>
      </w:r>
      <w:r>
        <w:t xml:space="preserve"> minimal talabdan pastga tushadi</w:t>
      </w:r>
      <w:r>
        <w:rPr>
          <w:rStyle w:val="aff8"/>
        </w:rPr>
        <w:footnoteReference w:id="532"/>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w:t>
      </w:r>
      <w:r>
        <w:rPr/>
        <w:t xml:space="preserve">35 ta chora sakkiz yo‘nalish bo‘yicha guruhlangan bo‘lib, ularning asosiylari qonunchilikni takomillashtirish, prudensial talablarni kuchaytirish, korporativ boshqaruv, risklarni boshqarish va litsenziyalash talablarini takomillashtirish, Markaziy bankning nazorat jarayonlarini takomillashtirish, banklarni sanatsiya qilish, tugatish va omonatlarni sug‘urtalash tizimini rivojlantirish hamda moliyaviy barqarorlikni ta’minlash choralarini kuchaytirishdan iborat</w:t>
      </w:r>
      <w:r>
        <w:lastRenderedPageBreak/>
      </w:r>
      <w:r>
        <w:rPr>
          <w:rStyle w:val="aff8"/>
        </w:rPr>
        <w:footnoteReference w:id="533"/>
      </w:r>
      <w:r>
        <w:t xml:space="preserve">. Moliyaviy barqarorlikni baholash nuqtai nazaridan ulardan eng muhimlari quyidagilardir: aktivlarni tasniflash va </w:t>
      </w:r>
      <w:r>
        <w:rPr/>
        <w:t xml:space="preserve">zaxiralarni</w:t>
      </w:r>
      <w:r>
        <w:t xml:space="preserve"> shakllantirish talablarini Bazel standartlari va MHXS 9 asosida qayta ko‘rib chiqish, jumladan muammoli kreditlar ta’rifini 3-bosqich aktivlarini to‘liq qamraydigan qilib kengaytirish va qayta tuzilgan aktivlar ta’rifini </w:t>
      </w:r>
      <w:r>
        <w:rPr/>
        <w:t xml:space="preserve">Bazel standartidagi “forborne exposures” ta’rifiga</w:t>
      </w:r>
      <w:r>
        <w:t xml:space="preserve">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4"/>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Yo‘nalish</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FSAP tavsiyasi va “yo‘l xaritasi” chorasi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Tadqiqot natijasi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 taklifi</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to‘g‘ri aks ettirish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uch bankda 1,65–4,90; SQB da 2025-yilda</w:t>
            </w:r>
            <w:r>
              <w:rPr>
                <w:rFonts w:ascii="Times New Roman" w:hAnsi="Times New Roman" w:eastAsia="Times New Roman" w:cs="Times New Roman"/>
                <w:sz w:val="24"/>
                <w:szCs w:val="24"/>
              </w:rPr>
              <w:t xml:space="preserve"> 3-bosqich kreditlarining 57,2 % milliy tasnifda “standart” yoki “substandart”</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Yangi nizom kuchga kirgunga qadar va o‘tish davrida milliy muammoli kreditlar ko‘rsatkichini yashirin kredit riski koeffitsiyenti bilan tuzatgan holda integral indeksga kiritish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5-chora: oshkor qilishga minimal talablar; 19-chora: MHXS asosidagi nazorat hisobotlari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3.2-§: ochiq ma’lumotlarda </w:t>
            </w:r>
            <w:r>
              <w:rPr>
                <w:rFonts w:ascii="Times New Roman" w:hAnsi="Times New Roman" w:eastAsia="Times New Roman" w:cs="Times New Roman"/>
                <w:sz w:val="24"/>
                <w:szCs w:val="24"/>
              </w:rPr>
              <w:t xml:space="preserve">milliy tasnif va MHXS 9 bosqichlari kesishmasi faqat ayrim banklarda oshkor qilinadi, bank kesimidagi prudensial ko‘rsatkichlar esa</w:t>
            </w:r>
            <w:r>
              <w:rPr>
                <w:rFonts w:ascii="Times New Roman" w:hAnsi="Times New Roman" w:eastAsia="Times New Roman" w:cs="Times New Roman"/>
                <w:sz w:val="24"/>
                <w:szCs w:val="24"/>
              </w:rPr>
              <w:t xml:space="preserve"> yo‘q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va MHXS 9 bosqichlari kesishma jadvalini hamda bank kesimidagi choraklik prudensial ko‘rsatkichlarni majburiy oshkor qilish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Masofaviy baholash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masofaviy nazoratda banklarning risk profilini baholashni takomillashtirish (8-tavsiya)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3.1-§: 5 blok va 13 ko‘rsatkichdan iborat integral indeks; 3.3-§: indeks iqtisodiy omillar bilan ahamiyatli bog‘langan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Markaziy bankning masofaviy monitoringida choraklik reyting vositasi sifatida qo‘llash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va tezkor choralar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 indeksning bashorat kuchi AUC = 0,86; qizil </w:t>
            </w:r>
            <w:r>
              <w:rPr>
                <w:rFonts w:ascii="Times New Roman" w:hAnsi="Times New Roman" w:eastAsia="Times New Roman" w:cs="Times New Roman"/>
                <w:sz w:val="24"/>
                <w:szCs w:val="24"/>
              </w:rPr>
              <w:t xml:space="preserve">zonadagi kuzatuvlarda muammo hodisalari ulushi</w:t>
            </w:r>
            <w:r>
              <w:rPr>
                <w:rFonts w:ascii="Times New Roman" w:hAnsi="Times New Roman" w:eastAsia="Times New Roman" w:cs="Times New Roman"/>
                <w:sz w:val="24"/>
                <w:szCs w:val="24"/>
              </w:rPr>
              <w:t xml:space="preserve"> 50 %, yashil zonada 2 %</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indeksga asoslangan uch zonali tizim va har bir zona uchun nazorat choralari</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FSAP: stress-test ma’lumotlarini qoidalardagi bo‘shliqlarga tuzatish (1-tavsiya); “yo‘l xaritasi”, 7, </w:t>
            </w:r>
            <w:r>
              <w:rPr>
                <w:rFonts w:ascii="Times New Roman" w:hAnsi="Times New Roman" w:eastAsia="Times New Roman" w:cs="Times New Roman"/>
                <w:sz w:val="24"/>
                <w:szCs w:val="24"/>
              </w:rPr>
              <w:t xml:space="preserve">12, 31-choralar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4.2-§: salbiy ssenariylarda qizil zonaga faqat davlat banklari tushadi; SQB </w:t>
            </w:r>
            <w:r>
              <w:rPr>
                <w:rFonts w:ascii="Times New Roman" w:hAnsi="Times New Roman" w:eastAsia="Times New Roman" w:cs="Times New Roman"/>
                <w:sz w:val="24"/>
                <w:szCs w:val="24"/>
              </w:rPr>
              <w:t xml:space="preserve">keskin salbiy ssenariyda milliy</w:t>
            </w:r>
            <w:r>
              <w:rPr>
                <w:rFonts w:ascii="Times New Roman" w:hAnsi="Times New Roman" w:eastAsia="Times New Roman" w:cs="Times New Roman"/>
                <w:sz w:val="24"/>
                <w:szCs w:val="24"/>
              </w:rPr>
              <w:t xml:space="preserve"> hisobot bo‘yicha yashil, MHXS bo‘yicha qizil zonada</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Stress-testlarni MHXS asosidagi integral indeks bilan o‘tkazish va natijalarini erta ogohlantirish zonalari bilan bog‘lash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ishtirokidagi banklar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 MKB ning davlat ko‘magisiz bahosi 1,72 ball; 3.3-§: davlat banklarining indeksi </w:t>
            </w:r>
            <w:r>
              <w:rPr>
                <w:rFonts w:ascii="Times New Roman" w:hAnsi="Times New Roman" w:eastAsia="Times New Roman" w:cs="Times New Roman"/>
                <w:sz w:val="24"/>
                <w:szCs w:val="24"/>
              </w:rPr>
              <w:t xml:space="preserve">boshqa banklarnikidan 0</w:t>
            </w:r>
            <w:r>
              <w:rPr>
                <w:rFonts w:ascii="Times New Roman" w:hAnsi="Times New Roman" w:eastAsia="Times New Roman" w:cs="Times New Roman"/>
                <w:sz w:val="24"/>
                <w:szCs w:val="24"/>
              </w:rPr>
              <w:t xml:space="preserve">,69 ball past, farqning yarmi moliyalashtirish modeli bilan izohlanadi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ko‘magisiz bahoni majburiy qilish; qayta kapitallashtirishni restrukturizatsiya rejasi va indeks ko‘rsatkichlariga bog‘lash; resurs bazasini diversifikatsiya qilish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Banklarning ichki baholashi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7-chora: tizimli banklarda ICAAP</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3.3, 4.1-§: likvidlik bloki eng zaif; aktivlar sifati bloki eng kuchli signal beradi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r>
      <w:r>
        <w:t xml:space="preserve">qilishi mumkin. Shu bilan birga, ayrim takliflar, xususan, integral indeks, milliy va MHXS hisobotlari asosidagi indekslar farqini o‘lchash, davlat ko‘magisiz baho va kreditlar o‘sishini bank darajasida </w:t>
      </w:r>
      <w:r>
        <w:rPr/>
        <w:t xml:space="preserve">kuzatish,</w:t>
      </w:r>
      <w:r>
        <w:t xml:space="preserve">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6"/>
      </w:r>
      <w:r>
        <w:t xml:space="preserve">. Integral indeks bu jarayonga yagona, takrorlanuvchan va empirik tekshirilgan miqdoriy asos beradi. Uni Markaziy bankka taqdim etiladigan prudensial hisobotlar asosida har chorakda hisoblash mumkin, bunda </w:t>
      </w:r>
      <w:r>
        <w:rPr/>
        <w:t xml:space="preserve">3.3–4.2-paragraflarda</w:t>
      </w:r>
      <w:r>
        <w:t xml:space="preserve">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w:t>
      </w:r>
      <w:r>
        <w:rPr/>
        <w:t xml:space="preserve">tendensiyaga ham mos keladi. Xususan, AQShda</w:t>
      </w:r>
      <w:r>
        <w:rPr/>
        <w:t xml:space="preserve">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7"/>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8"/>
      </w:r>
      <w:r>
        <w:t xml:space="preserve">. 4.1-paragrafda taklif etilgan uch zonali tizim bu </w:t>
      </w:r>
      <w:r>
        <w:rPr/>
        <w:t xml:space="preserve">bo‘shliqni to‘ldiradi, chunki uning chegaralari</w:t>
      </w:r>
      <w:r>
        <w:lastRenderedPageBreak/>
      </w:r>
      <w:r>
        <w:t xml:space="preserve">, ya’ni 2,75 va 3,25 ball, 2021–2025-yillardagi ma’lumotlar asosida tekshirilgan va tahlil davrida qizil zonadagi </w:t>
      </w:r>
      <w:r>
        <w:rPr/>
        <w:t xml:space="preserve">kuzatuvlarning yarmidan keyin</w:t>
      </w:r>
      <w:r>
        <w:t xml:space="preserve">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9"/>
      </w:r>
      <w:r>
        <w:t xml:space="preserve">. Yevropa bank boshqarmasining nazorat tekshiruvi va baholash jarayoni (SREP) bo‘yicha yo‘riqnomasida esa bankning biznes-modeli, boshqaruvi, kapital va likvidlik risklari 1–4 ballik shkalada baholanib, yakuniy ball asosida nazorat choralari, jumladan erta aralashuv </w:t>
      </w:r>
      <w:r>
        <w:rPr/>
        <w:t xml:space="preserve">choralari,</w:t>
      </w:r>
      <w:r>
        <w:t xml:space="preserve"> belgilanadi</w:t>
      </w:r>
      <w:r>
        <w:rPr>
          <w:rStyle w:val="aff8"/>
        </w:rPr>
        <w:footnoteReference w:id="540"/>
      </w:r>
      <w:r>
        <w:t xml:space="preserve">. Taklif etilayotgan tizim bu ikki </w:t>
      </w:r>
      <w:r>
        <w:rPr/>
        <w:t xml:space="preserve">yondashuvni birlashtiradi, ya’ni SREP kabi</w:t>
      </w:r>
      <w:r>
        <w:t xml:space="preserve"> bir nechta blok bo‘yicha integral ballga tayanadi, AQSh tizimi kabi esa har bir zonaga aniq choralarni bog‘laydi. Uning afzalligi shundaki, zonalar chegaralari faqat kapital ko‘rsatkichiga emas, balki aktivlar sifati, likvidlik va daromadlilikka ham asoslanadi, 4.1-paragrafda esa aynan </w:t>
      </w:r>
      <w:r>
        <w:rPr/>
        <w:t xml:space="preserve">kapitalning aktivlarga nisbati</w:t>
      </w:r>
      <w:r>
        <w:t xml:space="preserve">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41"/>
      </w:r>
      <w: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w:t>
      </w:r>
      <w:r>
        <w:rPr/>
        <w:t xml:space="preserve">hamda “Aloqabank” ATB misolida</w:t>
      </w:r>
      <w:r>
        <w:t xml:space="preserve">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milliy, %</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3-bosqich kreditlari ulushi: MHXS, %</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Yashirin kredit riski koeffitsiyenti</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MBII-8: milliy hisobot</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MBII-13: MHXS hisoboti</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milliy hisobot</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MHXS hisoboti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bl>
    <w:p w:rsidR="005603EC" w:rsidRDefault="00AB61AC">
      <w:pPr>
        <w:pStyle w:val="af"/>
        <w:spacing w:after="0" w:line="360" w:lineRule="auto"/>
        <w:ind w:firstLine="709"/>
        <w:jc w:val="both"/>
      </w:pPr>
      <w:r>
        <w:lastRenderedPageBreak/>
      </w:r>
      <w:r>
        <w:t xml:space="preserve">Jadvaldan ko‘rinib turibdiki, MHXS ma’lumotlariga o‘tish beshta bankdan uchtasining erta ogohlantirish zonasini yomon </w:t>
      </w:r>
      <w:r>
        <w:rPr/>
        <w:t xml:space="preserve">tomonga o‘zgartiradi. Xususan, “O‘zsanoatqurilishbank”</w:t>
      </w:r>
      <w:r>
        <w:t xml:space="preserve"> ATB va “Ipoteka-bank” ATB yashil zonadan sariq zonaga, “Mikrokreditbank” ATB esa sariq zonadan qizil zonaga o‘tadi.</w:t>
      </w:r>
      <w:r>
        <w:rPr/>
        <w:t xml:space="preserve"> Oltinchi bank – “Aloqabank” ATB da ham xuddi shunday </w:t>
      </w:r>
      <w:r>
        <w:rPr/>
        <w:t xml:space="preserve">holat kuzatiladi, chunki u milliy</w:t>
      </w:r>
      <w:r>
        <w:rPr/>
        <w:t xml:space="preserve"> hisobot bo‘yicha yashil zonada (3,26 ball), MHXS bo‘yicha esa sariq zonada (2,78 ball) joylashadi, ya’ni oltita bankdan to‘rttasining zonasi yomonlashadi.</w:t>
      </w:r>
      <w:r>
        <w:t xml:space="preserve"> Yashirin kredit riski koeffitsiyenti banklar o‘rtasida </w:t>
      </w:r>
      <w:r>
        <w:rPr/>
        <w:t xml:space="preserve">keskin farq qiladi. Masalan, “Xalq banki”</w:t>
      </w:r>
      <w:r>
        <w:t xml:space="preserve">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w:t>
      </w:r>
      <w:r>
        <w:rPr/>
        <w:t xml:space="preserve">milliy indeksdan biroz yuqori, chunki 3-bosqich</w:t>
      </w:r>
      <w:r>
        <w:t xml:space="preserve"> kreditlari ulushi yuqori bo‘lsa-da, 2-bosqich kreditlari ulushi nisbatan past (11,0 foiz), MHXS bo‘yicha kapital rentabelligi 16,3 foizni tashkil etib, milliy hisobotdagi 9,6 foizdan yuqori, </w:t>
      </w:r>
      <w:r>
        <w:rPr/>
        <w:t xml:space="preserve">8 ko‘rsatkichli panel indeksida mavjud bo‘lmagan valyuta riski bloki esa yuqori ball (3,96) olgan. Demak, MHXS ma’lumotlariga va to‘liq indeksga o‘tish faqat aktivlar sifatini emas, balki boshqa bloklarni ham</w:t>
      </w:r>
      <w:r>
        <w:t xml:space="preserve"> o‘zgartiradi va uning ta’siri har bir bank uchun alohida baholanishi lozim.</w:t>
      </w:r>
      <w:r>
        <w:rPr/>
        <w:t xml:space="preserve"> Ta’kidlash lozimki, jadvaldagi </w:t>
      </w:r>
      <w:r>
        <w:rPr/>
        <w:t xml:space="preserve">“MBII-8:</w:t>
      </w:r>
      <w:r>
        <w:rPr/>
        <w:t xml:space="preserve"> milliy hisobot” ustunida 4.1-paragrafdagi 8 ko‘rsatkichli choraklik panel indeksi keltirilgan</w:t>
      </w:r>
      <w:r>
        <w:rPr/>
        <w:t xml:space="preserve">. </w:t>
      </w:r>
      <w:r>
        <w:rPr/>
        <w:t xml:space="preserve">13 ko‘rsatkichli to‘liq indeks (MBII-13)</w:t>
      </w:r>
      <w:r>
        <w:rPr/>
        <w:t xml:space="preserve"> bo‘yicha milliy hisobot asosidagi qiymatlar 3.1.5-jadvalda berilgan (“O‘zsanoatqurilishbank” ATB – 3,27, “Mikrokreditbank” ATB – 3,13</w:t>
      </w:r>
      <w:r>
        <w:rPr/>
        <w:t xml:space="preserve">, “Aloqabank” ATB – 3,248</w:t>
      </w:r>
      <w:r>
        <w:rPr/>
        <w:t xml:space="preserve">) va ular </w:t>
      </w:r>
      <w:r>
        <w:rPr/>
        <w:t xml:space="preserve">“O‘zsanoatqurilishbank” ATB hamda “Mikrokreditbank” ATB bo‘yicha zonalar o‘zgarishi to‘g‘risidagi xulosani o‘zgartirmaydi. “Aloqabank” ATB ning MBII-13 bo‘yicha milliy indeksi esa yashil zona chegarasidan 0,002 ball past bo‘lgani sababli bank ikkala variantda ham sariq zonada qoladi, biroq MHXS ma’lumotlariga o‘tishda indeks 0,47 ballga pasayib, qizil zona chegarasiga yaqinlashadi</w:t>
      </w:r>
      <w:r>
        <w:rPr/>
        <w:t xml:space="preserve">.</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43"/>
      </w:r>
      <w:r>
        <w:t xml:space="preserve">. Dissertatsiya davomida bu muammo </w:t>
      </w:r>
      <w:r>
        <w:rPr/>
        <w:t xml:space="preserve">amaliy jihatdan tasdiqlandi. Xususan, ochiq</w:t>
      </w:r>
      <w:r>
        <w:t xml:space="preserve"> ma’lumotlarda bank kesimidagi kapital monandligi koeffitsiyentlari, likvidlik </w:t>
      </w:r>
      <w:r>
        <w:lastRenderedPageBreak/>
      </w:r>
      <w:r>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4"/>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 xml:space="preserve">Beshinchi taklif stress-test amaliyotini takomillashtirishga qaratilgan. 4.2-paragrafda ko‘rsatilganidek, milliy hisobot ma’lumotlari asosidagi stress-test bankning bardoshliligini sezilarli </w:t>
      </w:r>
      <w:r>
        <w:rPr/>
        <w:t xml:space="preserve">oshirib ko‘rsatadi. Masalan, “O‘zsanoatqurilishbank” ATB keskin</w:t>
      </w:r>
      <w:r>
        <w:t xml:space="preserve"> salbiy ssenariyda milliy hisobot bo‘yicha yashil zonada qolsa, MHXS bo‘yicha qizil zonaga tushadi. FSAP ham kapital to‘liq aks ettirilmagan muammoli kreditlarga tuzatilganda stress natijalari ancha yomonlashishini ko‘rsatgan</w:t>
      </w:r>
      <w:r>
        <w:rPr>
          <w:rStyle w:val="aff8"/>
        </w:rPr>
        <w:footnoteReference w:id="545"/>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6"/>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 xml:space="preserve">qariyb 0,17 ballga oshiradi</w:t>
      </w:r>
      <w:r>
        <w:t xml:space="preserve">.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7"/>
      </w:r>
      <w:r>
        <w:t xml:space="preserve">. Bunda bank integral indeks bloklari bo‘yicha ichki maqsadli darajalar va </w:t>
      </w:r>
      <w:r>
        <w:lastRenderedPageBreak/>
      </w:r>
      <w:r>
        <w:t xml:space="preserve">limitlar belgilashi, ularni har chorakda monitoring qilishi va indeks sariq zonaga yaqinlashganda tuzatish choralarini ko‘rishi mumkin. Tahlil natijalariga ko‘ra, banklarning, ayniqsa davlat </w:t>
      </w:r>
      <w:r>
        <w:rPr/>
        <w:t xml:space="preserve">banklarining,</w:t>
      </w:r>
      <w:r>
        <w:t xml:space="preserve">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Jihat</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Amaldagi amaliyot</w:t>
            </w:r>
          </w:p>
        </w:tc>
        <w:tc>
          <w:tcPr>
            <w:tcW w:w="385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tizim</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asosi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Prudensial normativlarga rioya qilish va kuratorlarning asoslangan mulohazasi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bo‘yicha muammoli kreditlar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baholanmaydi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 uchun davlat ko‘magisiz indeks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 va choralar</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Choralar asosan normativ buzilgandan keyin qo‘llanadi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Bashorat elementi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stress-test</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Empirik tekshiruv</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e’lon qilinmaydi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kesimida cheklangan ko‘rsatkichlar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9"/>
      </w:r>
      <w:r>
        <w:t>.</w:t>
      </w:r>
    </w:p>
    <w:p w:rsidR="005603EC" w:rsidRDefault="00AB61AC">
      <w:pPr>
        <w:pStyle w:val="af"/>
        <w:spacing w:after="0" w:line="360" w:lineRule="auto"/>
        <w:ind w:firstLine="709"/>
        <w:jc w:val="both"/>
      </w:pPr>
      <w:r>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50"/>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r>
      <w:r>
        <w:t xml:space="preserve">darajasiga keltiriladi. Ikkinchi bosqichda besh blok bo‘yicha integral </w:t>
      </w:r>
      <w:r>
        <w:rPr/>
        <w:t xml:space="preserve">indeks va MHXS hamda milliy indekslar farqi (ΔMBII)</w:t>
      </w:r>
      <w:r>
        <w:t xml:space="preserve">,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spacing w:after="0" w:line="360" w:lineRule="auto"/>
        <w:ind w:firstLine="709"/>
        <w:jc w:val="both"/>
      </w:pPr>
      <w:r>
        <w:rPr/>
        <w:t xml:space="preserve">4.3.4-jadvaldan </w:t>
      </w:r>
      <w:r>
        <w:t xml:space="preserve">ko‘rinib turibdiki, takliflar “yo‘l xaritasi”ni almashtirmaydi, balki uning choralarini amaliy metodika bilan ta’minlaydi. Birinchi bosqichda </w:t>
      </w:r>
      <w:r>
        <w:rPr/>
        <w:t xml:space="preserve">indeksni hisoblash uchun qo‘shimcha normativ hujjatlar talab qilinmaydi, chunki u Markaziy bankda mavjud prudensial hisobotlar asosida hisoblanishi mumkin, kesishma jadvali esa “yo‘l xaritasi” doirasida ishlab chiqilayotgan oshkor qilish talablariga kiritiladi</w:t>
      </w:r>
      <w:r>
        <w:lastRenderedPageBreak/>
      </w:r>
      <w:r>
        <w:t xml:space="preserve">.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Bosqich</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Chora-tadbirlar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bog‘liq chora</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Natija ko‘rsatkichi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bosqich (2026-yil)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 18,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bosqich (2027-yil)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Iqtisodiyot va moliya vazirligi, banklar</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7, 9, 12, </w:t>
            </w:r>
            <w:r>
              <w:rPr>
                <w:rFonts w:ascii="Times New Roman" w:hAnsi="Times New Roman" w:eastAsia="Times New Roman" w:cs="Times New Roman"/>
                <w:sz w:val="24"/>
                <w:szCs w:val="24"/>
              </w:rPr>
              <w:t xml:space="preserve">17, 31-choralar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bosqich (2028-yil)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 </w:t>
            </w:r>
            <w:r>
              <w:rPr>
                <w:rFonts w:ascii="Times New Roman" w:hAnsi="Times New Roman" w:eastAsia="Times New Roman" w:cs="Times New Roman"/>
                <w:sz w:val="24"/>
                <w:szCs w:val="24"/>
              </w:rPr>
              <w:t xml:space="preserve">19, 31, 35-choralar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koeffitsiyentining birga yaqinlashishi; chegaralar bashorat kuchining qayta tekshiruvi</w:t>
            </w:r>
          </w:p>
        </w:tc>
      </w:tr>
    </w:tbl>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 xml:space="preserve">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w:t>
      </w:r>
      <w:r>
        <w:rPr/>
        <w:t xml:space="preserve">da (48 foiz)</w:t>
      </w:r>
      <w:r>
        <w:t xml:space="preserve"> yuz bergan.</w:t>
      </w:r>
    </w:p>
    <w:p w:rsidR="005603EC" w:rsidRDefault="00AB61AC">
      <w:pPr>
        <w:numPr>
          <w:ilvl w:val="0"/>
          <w:numId w:val="13"/>
        </w:numPr>
        <w:spacing w:after="0" w:line="360" w:lineRule="auto"/>
        <w:ind w:firstLine="709"/>
        <w:jc w:val="both"/>
      </w:pPr>
      <w:r>
        <w:t xml:space="preserve">Taklif etilgan integral indeks muammo hodisalarini to‘rt chorak oldin yuqori aniqlik bilan </w:t>
      </w:r>
      <w:r>
        <w:rPr/>
        <w:t xml:space="preserve">bashorat qiladi. Xususan, uning ROC</w:t>
      </w:r>
      <w:r>
        <w:t xml:space="preserve">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 xml:space="preserve">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w:t>
      </w:r>
      <w:r>
        <w:rPr/>
        <w:t xml:space="preserve">2025-yilda milliy</w:t>
      </w:r>
      <w:r>
        <w:t xml:space="preserve">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r>
      <w:r>
        <w:t xml:space="preserve">2022-yillardagi iqtisodiy o‘sish pasayishi asosida tuzildi. YaIM o‘sishining kredit riskiga ta’siri taxminan to‘rt chorakdan keyin namoyon bo‘lishi aniqlandi, ikki mustaqil model esa deyarli bir xil sezgirlik </w:t>
      </w:r>
      <w:r>
        <w:rPr/>
        <w:t xml:space="preserve">koeffitsiyentini berdi. Natijalarga ko‘ra, YaIM o‘sish</w:t>
      </w:r>
      <w:r>
        <w:t xml:space="preserve">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 xml:space="preserve">Asosiy va ijobiy ssenariylarda bank tizimi barqaror qoladi, keskin salbiy ssenariyda esa 2027-yilda muammoli kreditlar ulushi 2,9 foizdan 4,6 foizgacha oshadi, to‘rtta bank qizil zonaga tushib, ularning </w:t>
      </w:r>
      <w:r>
        <w:rPr/>
        <w:t xml:space="preserve">tanlangan banklar</w:t>
      </w:r>
      <w:r>
        <w:t xml:space="preserve"> aktivlaridagi ulushi 24,3 foizni tashkil etadi. Qizil zonaga tushadigan banklarning barchasi davlat banklari hisoblanadi. Milliy hisobot ma’lumotlari asosidagi stress-test bankning shokka bardoshliligini </w:t>
      </w:r>
      <w:r>
        <w:rPr/>
        <w:t xml:space="preserve">oshirib ko‘rsatadi. Masalan, “O‘zsanoatqurilishbank” ATB keskin</w:t>
      </w:r>
      <w:r>
        <w:t xml:space="preserve"> salbiy ssenariyda milliy hisobot bo‘yicha yashil zonada qolsa, MHXS bo‘yicha qizil zonaga tushadi.</w:t>
      </w:r>
    </w:p>
    <w:p w:rsidR="005603EC" w:rsidRDefault="00AB61AC">
      <w:pPr>
        <w:numPr>
          <w:ilvl w:val="0"/>
          <w:numId w:val="13"/>
        </w:numPr>
        <w:spacing w:after="0" w:line="360" w:lineRule="auto"/>
        <w:ind w:firstLine="709"/>
        <w:jc w:val="both"/>
      </w:pPr>
      <w:r>
        <w:t xml:space="preserve">Xalqaro valyuta jamg‘armasi va Jahon bankining moliya sektorini baholash dasturi (FSAP) natijalari dissertatsiyada aniqlangan </w:t>
      </w:r>
      <w:r>
        <w:rPr/>
        <w:t xml:space="preserve">muammolarni tasdiqladi. Xususan, tizim darajasida</w:t>
      </w:r>
      <w:r>
        <w:t xml:space="preserve">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w:t>
      </w:r>
      <w:r>
        <w:rPr/>
        <w:t xml:space="preserve">kamaytirib</w:t>
      </w:r>
      <w:r>
        <w:t xml:space="preserve">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w:t>
      </w:r>
      <w:r>
        <w:rPr/>
        <w:t xml:space="preserve">bo‘lib qolmoqda, chunki rasmiy muammoli</w:t>
      </w:r>
      <w:r>
        <w:t xml:space="preserve">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 xml:space="preserve">Milliy hisobotdagi muammoli kreditlar ko‘rsatkichining kredit riskini </w:t>
      </w:r>
      <w:r>
        <w:rPr/>
        <w:t xml:space="preserve">kamaytirib</w:t>
      </w:r>
      <w:r>
        <w:t xml:space="preserve"> ko‘rsatish darajasini o‘lchash uchun yashirin kredit riski koeffitsiyenti taklif etildi. U tahlil qilingan banklarda 1,7–5,6 ni, “O‘zsanoatqurilishbank” ATB da 1,65–2,96 ni, “Mikrokreditbank” ATB da </w:t>
      </w:r>
      <w:r>
        <w:rPr/>
        <w:t xml:space="preserve">2,77–3,28</w:t>
      </w:r>
      <w:r>
        <w:t xml:space="preserve">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t xml:space="preserve">(</w:t>
      </w:r>
      <w:r>
        <w:t xml:space="preserve">kapital yetarliligi, aktivlar sifati, likvidlik, daromadlilik va valyuta riskiga sezgirlik</w:t>
      </w:r>
      <w:r>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w:t>
      </w:r>
      <w:r>
        <w:rPr/>
        <w:t xml:space="preserve">empirik jihatdan tekshirildi. Xususan, aktivlar sifati</w:t>
      </w:r>
      <w:r>
        <w:rPr/>
        <w:t xml:space="preserve">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t xml:space="preserve">. Shu bilan birga, banklar tartibi</w:t>
      </w:r>
      <w:r>
        <w:t xml:space="preserve"> vaznlarning oqilona o‘zgarishlariga barqaror </w:t>
      </w:r>
      <w:r>
        <w:rPr/>
        <w:t>(tartib korrelyatsiyasi 0,95–0,98)</w:t>
      </w:r>
      <w:r>
        <w:t xml:space="preserve">. </w:t>
      </w:r>
      <w:r>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w:t>
      </w:r>
      <w:r>
        <w:rPr/>
        <w:t xml:space="preserve">boshqa banklarnikidan 0,69 ballga past</w:t>
      </w:r>
      <w:r>
        <w:t xml:space="preserve">ligini va bu farqning qariyb yarmi moliyalashtirish modeli bilan izohlanishini ko‘rsatdi. Davlat ko‘magi chiqarib tashlangan holda “Mikrokreditbank” ATB ning indeksi 2,47 balldan 1,72 ballgacha, ya’ni nobarqaror sinfgacha pasayadi. An’anaviy Z-score </w:t>
      </w:r>
      <w:r>
        <w:lastRenderedPageBreak/>
      </w:r>
      <w:r>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t xml:space="preserve">Bundan tashqari, i</w:t>
      </w:r>
      <w:r>
        <w:t xml:space="preserve">ntegral indeks bankda jiddiy zarar yuzaga kelishini to‘rt chorak oldin yuqori aniqlik bilan </w:t>
      </w:r>
      <w:r>
        <w:rPr/>
        <w:t xml:space="preserve">bashorat qiladi. Xususan, uning bashorat kuchi</w:t>
      </w:r>
      <w:r>
        <w:t xml:space="preserve">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 xml:space="preserve">2020 va 2022-yillarda kuzatilgan iqtisodiy shoklar asosida tuzilgan 2026–2028-yillarga shartli ssenariy prognozi asosiy va ijobiy ssenariylarda bank tizimi barqaror qolishini, keskin salbiy ssenariyda esa 2027-yilda muammoli kreditlar ulushi 2,9 foizdan 4,6 foizgacha oshib, </w:t>
      </w:r>
      <w:r>
        <w:rPr/>
        <w:t xml:space="preserve">tanlangan banklar</w:t>
      </w:r>
      <w:r>
        <w:t xml:space="preserve">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 xml:space="preserve">Tijorat banklariga: integral indeks bloklarini kapital yetarliligini ichki baholash jarayoniga va risk-appetit tizimiga kiritish, likvidlik bloki bo‘yicha, xususan, kreditlarning depozitlarga nisbati </w:t>
      </w:r>
      <w:r>
        <w:rPr/>
        <w:t xml:space="preserve">bo‘yicha,</w:t>
      </w:r>
      <w:r>
        <w:t xml:space="preserve">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rPr/>
        <w:t xml:space="preserve">57. National Financial Regulatory Administration (2023-yil maygacha – China Banking and Insurance Regulatory Commission). Supervisory Statistics of the Banking and Insurance Sectors (Major regulatory indicators of the banking and insurance sectors): 2021–2025-yillar IV choraklari,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 xml:space="preserve">90.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415 с.</w:t>
      </w:r>
    </w:p>
    <w:p w:rsidR="005603EC" w:rsidRPr="009E01BD" w:rsidRDefault="00AB61AC">
      <w:pPr>
        <w:pStyle w:val="af"/>
        <w:spacing w:after="0" w:line="360" w:lineRule="auto"/>
        <w:ind w:firstLine="709"/>
        <w:jc w:val="both"/>
        <w:rPr>
          <w:lang w:val="ru-RU"/>
        </w:rPr>
      </w:pPr>
      <w:r>
        <w:rPr>
          <w:lang w:val="ru-RU"/>
        </w:rPr>
        <w:t>91.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92.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94.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95.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96.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97.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98.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99. Adrian T., Brunnermeier M.K. CoVaR // American Economic Review. – 2016. – Vol. 106, No. 7. – P. 1705–1741.</w:t>
      </w:r>
    </w:p>
    <w:p w:rsidR="005603EC" w:rsidRDefault="00AB61AC">
      <w:pPr>
        <w:pStyle w:val="af"/>
        <w:spacing w:after="0" w:line="360" w:lineRule="auto"/>
        <w:ind w:firstLine="709"/>
        <w:jc w:val="both"/>
      </w:pPr>
      <w:r>
        <w:t>100.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101.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102.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103.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104.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105.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106.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107.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108.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109. Charoenwong B., Miao M., Ruan T. Nonperforming Loan Disposals Without Resolution // Management Science. – 2025. – Vol. 71, No. 1. – P. 898–916.</w:t>
      </w:r>
    </w:p>
    <w:p w:rsidR="005603EC" w:rsidRDefault="00AB61AC">
      <w:pPr>
        <w:pStyle w:val="af"/>
        <w:spacing w:after="0" w:line="360" w:lineRule="auto"/>
        <w:ind w:firstLine="709"/>
        <w:jc w:val="both"/>
      </w:pPr>
      <w:r>
        <w:t>110.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111.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112.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113.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114. Correia S., Luck S., Verner E. Failing Banks // Quarterly Journal of Economics. – 2026. – Vol. 141, No. 1. – P. 147–204.</w:t>
      </w:r>
    </w:p>
    <w:p w:rsidR="005603EC" w:rsidRDefault="00AB61AC">
      <w:pPr>
        <w:pStyle w:val="af"/>
        <w:spacing w:after="0" w:line="360" w:lineRule="auto"/>
        <w:ind w:firstLine="709"/>
        <w:jc w:val="both"/>
      </w:pPr>
      <w:r>
        <w:t>115.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120. Diamond D.W., Dybvig P.H. Bank Runs, Deposit Insurance, and Liquidity // Journal of Political Economy. – 1983. – Vol. 91, No. 3. – P. 401–419.</w:t>
      </w:r>
    </w:p>
    <w:p w:rsidR="005603EC" w:rsidRDefault="00AB61AC">
      <w:pPr>
        <w:pStyle w:val="af"/>
        <w:spacing w:after="0" w:line="360" w:lineRule="auto"/>
        <w:ind w:firstLine="709"/>
        <w:jc w:val="both"/>
      </w:pPr>
      <w:r>
        <w:rPr/>
        <w:t xml:space="preserve">121. Diamond D.W., Rajan R.G. Liquidity Risk, Liquidity Creation, and Financial Fragility: A Theory of Banking // Journal of Political Economy. – 2001. – Vol. 109, No. 2. – P. 287–327.</w:t>
      </w:r>
    </w:p>
    <w:p w:rsidR="005603EC" w:rsidRDefault="00AB61AC">
      <w:pPr>
        <w:pStyle w:val="af"/>
        <w:spacing w:after="0" w:line="360" w:lineRule="auto"/>
        <w:ind w:firstLine="709"/>
        <w:jc w:val="both"/>
      </w:pPr>
      <w:r>
        <w:t>122. Fawcett T. An introduction to ROC analysis // Pattern Recognition Letters. – 2006. – Vol. 27, No. 8. – P. 861–874.</w:t>
      </w:r>
    </w:p>
    <w:p w:rsidR="005603EC" w:rsidRDefault="00AB61AC">
      <w:pPr>
        <w:pStyle w:val="af"/>
        <w:spacing w:after="0" w:line="360" w:lineRule="auto"/>
        <w:ind w:firstLine="709"/>
        <w:jc w:val="both"/>
      </w:pPr>
      <w:r>
        <w:t>123. Foos D., Norden L., Weber M. Loan growth and riskiness of banks // Journal of Banking &amp; Finance. – 2010. – Vol. 34, No. 12. – P. 2929–2940.</w:t>
      </w:r>
    </w:p>
    <w:p w:rsidR="005603EC" w:rsidRDefault="00AB61AC">
      <w:pPr>
        <w:pStyle w:val="af"/>
        <w:spacing w:after="0" w:line="360" w:lineRule="auto"/>
        <w:ind w:firstLine="709"/>
        <w:jc w:val="both"/>
      </w:pPr>
      <w:r>
        <w:t>124.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125. Hausman J.A. Specification Tests in Econometrics // Econometrica. – 1978. – Vol. 46, No. 6. – P. 1251–1271.</w:t>
      </w:r>
    </w:p>
    <w:p w:rsidR="005603EC" w:rsidRDefault="00AB61AC">
      <w:pPr>
        <w:pStyle w:val="af"/>
        <w:spacing w:after="0" w:line="360" w:lineRule="auto"/>
        <w:ind w:firstLine="709"/>
        <w:jc w:val="both"/>
      </w:pPr>
      <w:r>
        <w:t>126.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129. Kaminsky G., Lizondo S., Reinhart C.M. Leading Indicators of Currency Crises // IMF Staff Papers. – 1998. – Vol. 45, No. 1. – P. 1–48.</w:t>
      </w:r>
    </w:p>
    <w:p w:rsidR="005603EC" w:rsidRDefault="00AB61AC">
      <w:pPr>
        <w:pStyle w:val="af"/>
        <w:spacing w:after="0" w:line="360" w:lineRule="auto"/>
        <w:ind w:firstLine="709"/>
        <w:jc w:val="both"/>
      </w:pPr>
      <w:r>
        <w:t>130.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131. Laeven L., Levine R. Bank governance, regulation and risk taking // Journal of Financial Economics. – 2009. – Vol. 93, No. 2. – P. 259–275.</w:t>
      </w:r>
    </w:p>
    <w:p w:rsidR="005603EC" w:rsidRDefault="00AB61AC">
      <w:pPr>
        <w:pStyle w:val="af"/>
        <w:spacing w:after="0" w:line="360" w:lineRule="auto"/>
        <w:ind w:firstLine="709"/>
        <w:jc w:val="both"/>
      </w:pPr>
      <w:r>
        <w:t>132. Laeven L., Valencia F. Systemic Banking Crises Database II // IMF Economic Review. – 2020. – Vol. 68, No. 2. – P. 307–361.</w:t>
      </w:r>
    </w:p>
    <w:p w:rsidR="005603EC" w:rsidRDefault="00AB61AC">
      <w:pPr>
        <w:pStyle w:val="af"/>
        <w:spacing w:after="0" w:line="360" w:lineRule="auto"/>
        <w:ind w:firstLine="709"/>
        <w:jc w:val="both"/>
      </w:pPr>
      <w:r>
        <w:t>133.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135.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138. Mishkin F.S. Global Financial Instability: Framework, Events, Issues // Journal of Economic Perspectives. – 1999. – Vol. 13, No. 4. – P. 3–20.</w:t>
      </w:r>
    </w:p>
    <w:p w:rsidR="005603EC" w:rsidRDefault="00AB61AC">
      <w:pPr>
        <w:pStyle w:val="af"/>
        <w:spacing w:after="0" w:line="360" w:lineRule="auto"/>
        <w:ind w:firstLine="709"/>
        <w:jc w:val="both"/>
      </w:pPr>
      <w:r>
        <w:t>139. Nickell S. Biases in Dynamic Models with Fixed Effects // Econometrica. – 1981. – Vol. 49, No. 6. – P. 1417–1426.</w:t>
      </w:r>
    </w:p>
    <w:p w:rsidR="005603EC" w:rsidRDefault="00AB61AC">
      <w:pPr>
        <w:pStyle w:val="af"/>
        <w:spacing w:after="0" w:line="360" w:lineRule="auto"/>
        <w:ind w:firstLine="709"/>
        <w:jc w:val="both"/>
      </w:pPr>
      <w:r>
        <w:t>140. Roy A.D. Safety First and the Holding of Assets // Econometrica. – 1952. – Vol. 20, No. 3. – P. 431–449.</w:t>
      </w:r>
    </w:p>
    <w:p w:rsidR="005603EC" w:rsidRDefault="00AB61AC">
      <w:pPr>
        <w:pStyle w:val="af"/>
        <w:spacing w:after="0" w:line="360" w:lineRule="auto"/>
        <w:ind w:firstLine="709"/>
        <w:jc w:val="both"/>
      </w:pPr>
      <w:r>
        <w:t>141.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142. Shannon C.E. A Mathematical Theory of Communication // Bell System Technical Journal. – 1948. – Vol. 27, No. 3. – P. 379–423.</w:t>
      </w:r>
    </w:p>
    <w:p w:rsidR="005603EC" w:rsidRDefault="00AB61AC">
      <w:pPr>
        <w:pStyle w:val="af"/>
        <w:spacing w:after="0" w:line="360" w:lineRule="auto"/>
        <w:ind w:firstLine="709"/>
        <w:jc w:val="both"/>
      </w:pPr>
      <w:r>
        <w:t>143.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150.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151.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152.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153.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154.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155.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156.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157.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158.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159.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160.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161.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162.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163.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164.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165.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166.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167.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168.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169. O‘zbekiston Respublikasi Markaziy banki. Statistik byulleten: 2021-yil. – Toshkent, 2022. – https://cbu.uz/uz/statistics/buleten/.</w:t>
      </w:r>
    </w:p>
    <w:p w:rsidR="005603EC" w:rsidRDefault="00AB61AC">
      <w:pPr>
        <w:pStyle w:val="af"/>
        <w:spacing w:after="0" w:line="360" w:lineRule="auto"/>
        <w:ind w:firstLine="709"/>
        <w:jc w:val="both"/>
      </w:pPr>
      <w:r>
        <w:t>170. O‘zbekiston Respublikasi Markaziy banki. Statistik byulleten: 2026-yil mart. – Toshkent, 2026. – https://cbu.uz/uz/statistics/buleten/.</w:t>
      </w:r>
    </w:p>
    <w:p w:rsidR="005603EC" w:rsidRDefault="00AB61AC">
      <w:pPr>
        <w:pStyle w:val="af"/>
        <w:spacing w:after="0" w:line="360" w:lineRule="auto"/>
        <w:ind w:firstLine="709"/>
        <w:jc w:val="both"/>
      </w:pPr>
      <w:r>
        <w:t>171. O‘zbekiston Respublikasi Markaziy banki. Moliyaviy barqarorlik sharhi: 2022-yil. – Toshkent, 2023.</w:t>
      </w:r>
    </w:p>
    <w:p w:rsidR="005603EC" w:rsidRDefault="00AB61AC">
      <w:pPr>
        <w:pStyle w:val="af"/>
        <w:spacing w:after="0" w:line="360" w:lineRule="auto"/>
        <w:ind w:firstLine="709"/>
        <w:jc w:val="both"/>
      </w:pPr>
      <w:r>
        <w:t xml:space="preserve">172. </w:t>
      </w:r>
      <w:r>
        <w:rPr/>
        <w:t xml:space="preserve">O‘zbekiston Respublikasi Markaziy banki. Moliyaviy barqarorlik sharhi: 2023-yil. – Toshkent, 2024.</w:t>
      </w:r>
    </w:p>
    <w:p w:rsidR="005603EC" w:rsidRDefault="00AB61AC">
      <w:pPr>
        <w:pStyle w:val="af"/>
        <w:spacing w:after="0" w:line="360" w:lineRule="auto"/>
        <w:ind w:firstLine="709"/>
        <w:jc w:val="both"/>
      </w:pPr>
      <w:r>
        <w:t>173. O‘zbekiston Respublikasi Markaziy banki. 2024-yil uchun moliyaviy barqarorlik sharhi. – Toshkent, 2025.</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 (1,79)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(3,03)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221,0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(3,49)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(3,14)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64,9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63,0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62,4 (1,17)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61,2 (1,25)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60,4 (1,64)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(1,30)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(1,83)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 (1,88)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(1,92)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 (1,97)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(1,58)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(1,09)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 (1,07)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(1,16)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71,1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 (1,62)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2,18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2,31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2,22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(3,16)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(1,49)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(1,82)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 (2,37)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(3,69)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 (1,73)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 (1,86)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(3,20)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62,2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47,6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81,0 (1,95)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(3,91)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(3,59)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 (3,47)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2,03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(3,90)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(1,25)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 (2,96)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(2,86)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 (3,89)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(2,17)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(1,99)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448,1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(3,40)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46,8 (3,88)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(2,62)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(2,91)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47,5 (3,83)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 (2,71)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(3,72)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3,32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3,37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 (3,71)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 (3,04)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(2,73)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(3,48)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(2,30)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12,7 (2,54)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123,1 (2,54)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128,0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 (2,20)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(2,82)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57,1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52,2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89,0 (1,55)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45,3 (2,65)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(3,88)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(3,61)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(2,66)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62,6 (1,16)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60,1 (1,33)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69,8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66,0 (1,27)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60,9 (1,61)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3,29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3,14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(2,80)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 (2,57)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 (2,05)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(2,37)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(3,38)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(2,74)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(2,97)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(1,85)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(1,22)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(1,69)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(2,47)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89,7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65,5 (2,72)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(3,46)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(3,42)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2,65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Tarkibiy qismlar</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1-variant: Markaziy bank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2-variant: Bazel III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3-variant: Markaziy bank metodikasi, MHXS</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4-variant: Bazel III metodikasi, MHXS</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va muddatsiz majburiyatlar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Mavjud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74 132,6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78 157,9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72 531,3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76 556,6</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42 221,4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35 639,3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39 837,5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33 613,0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yilgacha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11 317,3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16 926,9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10 852,7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16 152,3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va sud jarayonidagi kreditlar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2 639,0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5 539,9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3 336,9</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vositalar va boshqa nolikvid aktivlar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Balansdan tashqari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Talab qilinadigan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60 647,6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61 255,3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60 700,0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61 355,3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Sof barqaror moliyalashtirish me’yori,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119,5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IV</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vAlign w:val="center"/>
          </w:tcPr>
          <w:p w:rsidR="005603EC" w:rsidRDefault="005603EC">
            <w:pPr>
              <w:jc w:val="center"/>
              <w:rPr>
                <w:rFonts w:ascii="Times New Roman" w:hAnsi="Times New Roman" w:eastAsia="Times New Roman" w:cs="Times New Roman"/>
                <w:sz w:val="24"/>
                <w:szCs w:val="24"/>
              </w:rPr>
            </w:pP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ln(Z)</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ln(aktivlar)</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Kredit o‘sishi (t−4)</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Depozit/aktiv</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NIM</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Davlat</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YaIM o‘sishi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Inflyatsiya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stavka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USD kursi</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(t−4)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Depozit/aktiv</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NIM</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USD kursi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Chegara (</w:t>
            </w:r>
            <w:r>
              <w:rPr>
                <w:rFonts w:ascii="Times New Roman" w:hAnsi="Times New Roman" w:eastAsia="Times New Roman" w:cs="Times New Roman"/>
                <w:b/>
                <w:sz w:val="24"/>
                <w:szCs w:val="24"/>
              </w:rPr>
              <w:t xml:space="preserve">MBII-8</w:t>
            </w:r>
            <w:r>
              <w:rPr>
                <w:rFonts w:ascii="Times New Roman" w:hAnsi="Times New Roman" w:eastAsia="Times New Roman" w:cs="Times New Roman"/>
                <w:b/>
                <w:sz w:val="24"/>
                <w:szCs w:val="24"/>
              </w:rPr>
              <w:t xml:space="preserve">)</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58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“signalsiz”</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Youden indeksi, %</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98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243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2025 → keskin salbiy 2027, %</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 5,2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 7,5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 5,7</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 7,1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 → 5,1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 → 7,8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 1,3</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5,6</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 0,0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6,9</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 0,2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 9,0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 → 5,4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 → 0,8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 4,8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vazni</w:t>
            </w:r>
          </w:p>
        </w:tc>
        <w:tc>
          <w:tcPr>
            <w:tcW w:w="606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0,193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0,207</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0,062</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0,084</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92,8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93,0 / 55,8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92,3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86,0 / 50,5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95,2 / 62,2</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 63,2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77,9 / 55,5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81,4 / 49,9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81,2 / 50,9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56,2 / 43,1</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 / 48,2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99,6 / 80,6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 60,8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 / 47,3</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87,2 / 63,7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92,9 / 55,0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59,2 /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74,5 / 70,6</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72,5 / 58,5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77,1 / 60,3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83,2 / 62,4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73,1 / 41,2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2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mamlakat</w:t>
            </w:r>
          </w:p>
        </w:tc>
        <w:tc>
          <w:tcPr>
            <w:tcW w:w="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Yil</w:t>
            </w:r>
          </w:p>
        </w:tc>
        <w:tc>
          <w:tcPr>
            <w:tcW w:w="63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Rasmiy hisobotlarda qayd etilgan sabablar</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N</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F</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L</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D</w:t>
            </w:r>
          </w:p>
        </w:tc>
        <w:tc>
          <w:tcPr>
            <w:tcW w:w="133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Manba</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Greensill Bank AG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2021</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Balansdagi GFG Alliance guruhi debitorlik qarzlari mavjudligini tasdiqlay olmaslik (kredit konsentratsiyasi); balansni soxtalashtirish bo‘yicha jinoiy ariza</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Silicon Valley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tez o‘sish va konsentratsiya risklarini nazorat qilmagan; foiz stavkasi riski xedjlari olib tashlangan; 40 mlrd dollarlik depozitlar oqimi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2023-SR-B-013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Signature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favqulodda moliyalashtirish mexanizmlarining yetarli emasligi; boshqaruvning risk menejmenti amaliyoti zaif</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EVAL-24-02</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Republic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Sug‘urtalanmagan depozitlar konsentratsiyasi, aktiv va passivlar muddatlarining nomutanosibligi, foiz stavkasi riski; boshqa banklar inqirozining yuqumli ta’siri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Heartland Tri-State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direktorning firibgarlik bilan bog‘liq 47,1 mln dollarlik pul o‘tkazmalari; ichki nazoratning buzilishi va rahbarning hukmron mavqei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2024-SR-B-004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Citizens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Kengash va boshqaruvning sust kreditlash amaliyoti; yirik yuk tashish kompaniyalari kreditlarining yomonlashuvi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AEC 24-01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North Channel Bank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Surunkali zarar va barqaror biznes modelining yo‘qligi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SVB UK (Buyuk Britaniya)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bank inqirozi sababli depozitlar oqimi va likvidlik tanqisligi; mijozlar bazasining texnologiya sohasida konsentratsiyasi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Angliya banki</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Republic First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Muddatigacha saqlanadigan qimmatli qog‘ozlar bo‘yicha zararlarni tan olish (foiz stavkasi riski); kengash va boshqaruvning samarasizligi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EVAL-25-01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National Bank of Lindsay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 va likvid aktivlarga ta’sir qilgan firibgarlik</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OIG-25-024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Pulaski Savings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Kapitalning qadrsizlanishi: buxgalteriya tizimida aks ettirilmagan 20,7 mln dollarlik depozit sertifikatlari; kengash va boshqaruv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REV-25-02, EVAL-26-01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Santa Anna National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portfeliga ta’sir qilgan firibgarlik; kengash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OIG-26-023</w:t>
            </w:r>
          </w:p>
        </w:tc>
      </w:tr>
      <w:tr>
        <w:trPr>
          <w:cantSplit/>
        </w:trPr>
        <w:tc>
          <w:tcPr>
            <w:tcW w:w="6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2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Jami, %</w:t>
            </w:r>
          </w:p>
        </w:tc>
        <w:tc>
          <w:tcPr>
            <w:tcW w:w="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63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12 ta bank bo‘yicha ulush</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58</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17</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25</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8</w:t>
            </w:r>
          </w:p>
        </w:tc>
        <w:tc>
          <w:tcPr>
            <w:tcW w:w="1330" w:type="dxa"/>
            <w:shd w:val="clear" w:color="auto" w:fill="DEEBF7"/>
          </w:tcPr>
          <w:p>
            <w:pP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w:t>
      </w:r>
      <w:r>
        <w:rPr/>
        <w:t xml:space="preserve">O‘zbekiston Respublikasi Markaziy banki. Moliyaviy barqarorlik sharhi: 2025-yil. – Toshkent,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w:t>
      </w:r>
      <w:r>
        <w:rPr/>
        <w:t xml:space="preserve">Tadqiqotlar jarayonida muallif tomonidan tuzilgan.</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rPr/>
        <w:t xml:space="preserve">Tadqiqotlar jarayonida muallif tomonidan tuzilgan.</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rPr/>
        <w:t xml:space="preserve">Tadqiqotlar jarayonida muallif tomonidan tuzilgan.</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w:t>
      </w:r>
      <w:r>
        <w:rPr>
          <w:lang w:val="ru-RU"/>
        </w:rPr>
        <w:t xml:space="preserve">Финансы и статистика, 1999. – С. 17; </w:t>
      </w:r>
      <w:r w:rsidRPr="009E01BD">
        <w:rPr>
          <w:lang w:val="ru-RU"/>
        </w:rPr>
        <w:t xml:space="preserve">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Default="00AB61AC">
      <w:pPr>
        <w:pStyle w:val="aff9"/>
      </w:pPr>
      <w:r>
        <w:rPr>
          <w:rStyle w:val="aff8"/>
        </w:rPr>
        <w:footnoteRef/>
      </w:r>
      <w:r>
        <w:rPr/>
        <w:t xml:space="preserve">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35–37.</w:t>
      </w:r>
    </w:p>
  </w:footnote>
  <w:footnote w:id="61">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2">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3">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5">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7">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9">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70">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1">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2">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3">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4">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5">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6">
    <w:p w:rsidR="00AB61AC" w:rsidRDefault="00AB61AC">
      <w:pPr>
        <w:pStyle w:val="aff9"/>
      </w:pPr>
      <w:r>
        <w:rPr>
          <w:rStyle w:val="aff8"/>
        </w:rPr>
        <w:footnoteRef/>
      </w:r>
      <w:r>
        <w:t xml:space="preserve"> Tadqiqot natijasida muallif tomonidan ishlab chiqildi.</w:t>
      </w:r>
    </w:p>
  </w:footnote>
  <w:footnote w:id="7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8">
    <w:p w:rsidR="00AB61AC" w:rsidRPr="009E01BD" w:rsidRDefault="00AB61AC">
      <w:pPr>
        <w:pStyle w:val="aff9"/>
        <w:rPr>
          <w:lang w:val="ru-RU"/>
        </w:rPr>
      </w:pPr>
      <w:r>
        <w:rPr>
          <w:rStyle w:val="aff8"/>
        </w:rPr>
        <w:footnoteRef/>
      </w:r>
      <w:r w:rsidRPr="009E01BD">
        <w:rPr>
          <w:lang w:val="ru-RU"/>
        </w:rPr>
        <w:t xml:space="preserve"> </w:t>
      </w:r>
      <w:r>
        <w:rPr/>
        <w:t xml:space="preserve">Tadqiqotlar jarayonida muallif tomonidan tuzilgan.</w:t>
      </w:r>
    </w:p>
  </w:footnote>
  <w:footnote w:id="7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4">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5">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6">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7">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8">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90">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1">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3">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4">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6">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7">
    <w:p w:rsidR="00AB61AC" w:rsidRDefault="00AB61AC">
      <w:pPr>
        <w:pStyle w:val="aff9"/>
      </w:pPr>
      <w:r>
        <w:rPr>
          <w:rStyle w:val="aff8"/>
        </w:rPr>
        <w:footnoteRef/>
      </w:r>
      <w:r>
        <w:t xml:space="preserve"> Roy A.D. Safety First and the Holding of Assets // Econometrica. – 1952. – Vol. 20, No. 3. – P. 431–449.</w:t>
      </w:r>
    </w:p>
  </w:footnote>
  <w:footnote w:id="98">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9">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100">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1">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2">
    <w:p w:rsidR="00AB61AC" w:rsidRDefault="00AB61AC">
      <w:pPr>
        <w:pStyle w:val="aff9"/>
      </w:pPr>
      <w:r>
        <w:rPr>
          <w:rStyle w:val="aff8"/>
        </w:rPr>
        <w:footnoteRef/>
      </w:r>
      <w:r>
        <w:t xml:space="preserve"> Adrian T., Brunnermeier M.K. CoVaR // American Economic Review. – 2016. – Vol. 106, No. 7. – P. 1705–1741.</w:t>
      </w:r>
    </w:p>
  </w:footnote>
  <w:footnote w:id="103">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4">
    <w:p w:rsidR="00AB61AC" w:rsidRDefault="00AB61AC">
      <w:pPr>
        <w:pStyle w:val="aff9"/>
      </w:pPr>
      <w:r>
        <w:rPr>
          <w:rStyle w:val="aff8"/>
        </w:rPr>
        <w:footnoteRef/>
      </w:r>
      <w:r>
        <w:t xml:space="preserve"> IFRS 9 Financial Instruments. – London: International Accounting Standards Board, 2014.</w:t>
      </w:r>
    </w:p>
  </w:footnote>
  <w:footnote w:id="105">
    <w:p w:rsidR="00AB61AC" w:rsidRDefault="00AB61AC">
      <w:pPr>
        <w:pStyle w:val="aff9"/>
      </w:pPr>
      <w:r>
        <w:rPr>
          <w:rStyle w:val="aff8"/>
        </w:rPr>
        <w:footnoteRef/>
      </w:r>
      <w:r>
        <w:t xml:space="preserve"> </w:t>
      </w:r>
      <w:r>
        <w:rPr/>
        <w:t xml:space="preserve">Tadqiqotlar jarayonida muallif tomonidan tuzilgan.</w:t>
      </w:r>
    </w:p>
  </w:footnote>
  <w:footnote w:id="106">
    <w:p w:rsidR="00AB61AC" w:rsidRDefault="00AB61AC">
      <w:pPr>
        <w:pStyle w:val="aff9"/>
      </w:pPr>
      <w:r>
        <w:rPr>
          <w:rStyle w:val="aff8"/>
        </w:rPr>
        <w:footnoteRef/>
      </w:r>
      <w:r>
        <w:t xml:space="preserve"> Tadqiqot natijasida muallif tomonidan ishlab chiqildi.</w:t>
      </w:r>
    </w:p>
  </w:footnote>
  <w:footnote w:id="107">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9">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10">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1">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3">
    <w:p w:rsidR="00AB61AC" w:rsidRDefault="00AB61AC">
      <w:pPr>
        <w:pStyle w:val="aff9"/>
      </w:pPr>
      <w:r>
        <w:rPr>
          <w:rStyle w:val="aff8"/>
        </w:rPr>
        <w:footnoteRef/>
      </w:r>
      <w:r w:rsidRPr="009E01BD">
        <w:rPr>
          <w:lang w:val="ru-RU"/>
        </w:rPr>
        <w:t xml:space="preserve"> </w:t>
      </w:r>
      <w:r>
        <w:rPr/>
        <w:t xml:space="preserve">Tadqiqotlar jarayonida muallif tomonidan tuzilgan.</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20">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1">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3">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4">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5">
    <w:p w:rsidR="00AB61AC" w:rsidRDefault="00AB61AC">
      <w:pPr>
        <w:pStyle w:val="aff9"/>
      </w:pPr>
      <w:r>
        <w:rPr>
          <w:rStyle w:val="aff8"/>
        </w:rPr>
        <w:footnoteRef/>
      </w:r>
      <w:r>
        <w:t xml:space="preserve"> </w:t>
      </w:r>
      <w:r>
        <w:rPr/>
        <w:t xml:space="preserve">Tadqiqotlar jarayonida muallif tomonidan tuzilgan.</w:t>
      </w:r>
    </w:p>
  </w:footnote>
  <w:footnote w:id="126">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7">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3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3">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4">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w:t>
      </w:r>
      <w:r>
        <w:rPr/>
        <w:t xml:space="preserve">Tadqiqotlar jarayonida muallif tomonidan tuzilgan.</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2">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w:t>
      </w:r>
      <w:r>
        <w:rPr/>
        <w:t xml:space="preserve">Tadqiqotlar jarayonida muallif tomonidan tuzilgan.</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6">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7">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50">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1">
    <w:p w:rsidR="00AB61AC" w:rsidRDefault="00AB61AC">
      <w:pPr>
        <w:pStyle w:val="aff9"/>
      </w:pPr>
      <w:r>
        <w:rPr>
          <w:rStyle w:val="aff8"/>
        </w:rPr>
        <w:footnoteRef/>
      </w:r>
      <w:r>
        <w:t xml:space="preserve"> Basel Committee on Banking Supervision. Basel III: The Net Stable Funding Ratio. – Basel: BIS, October 2014.</w:t>
      </w:r>
    </w:p>
  </w:footnote>
  <w:footnote w:id="152">
    <w:p w:rsidR="00AB61AC" w:rsidRDefault="00AB61AC">
      <w:pPr>
        <w:pStyle w:val="aff9"/>
      </w:pPr>
      <w:r>
        <w:rPr>
          <w:rStyle w:val="aff8"/>
        </w:rPr>
        <w:footnoteRef/>
      </w:r>
      <w:r>
        <w:t xml:space="preserve"> </w:t>
      </w:r>
      <w:r>
        <w:rPr/>
        <w:t xml:space="preserve">Tadqiqotlar jarayonida muallif tomonidan tuzilgan.</w:t>
      </w:r>
    </w:p>
  </w:footnote>
  <w:footnote w:id="153">
    <w:p w:rsidR="00AB61AC" w:rsidRDefault="00AB61AC">
      <w:pPr>
        <w:pStyle w:val="aff9"/>
      </w:pPr>
      <w:r>
        <w:rPr>
          <w:rStyle w:val="aff8"/>
        </w:rPr>
        <w:footnoteRef/>
      </w:r>
      <w:r>
        <w:t xml:space="preserve"> Basel Committee on Banking Supervision. Basel III: Finalising post-crisis reforms. – Basel: BIS, December 2017.</w:t>
      </w:r>
    </w:p>
  </w:footnote>
  <w:footnote w:id="154">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8">
    <w:p w:rsidR="00AB61AC" w:rsidRDefault="00AB61AC">
      <w:pPr>
        <w:pStyle w:val="aff9"/>
      </w:pPr>
      <w:r>
        <w:rPr>
          <w:rStyle w:val="aff8"/>
        </w:rPr>
        <w:footnoteRef/>
      </w:r>
      <w:r>
        <w:t xml:space="preserve"> IFRS 9 Financial Instruments. – London: International Accounting Standards Board, 2014.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t xml:space="preserve"> </w:t>
      </w:r>
      <w:r>
        <w:rPr/>
        <w:t xml:space="preserve">Tadqiqotlar jarayonida muallif tomonidan tuzilgan.</w:t>
      </w:r>
    </w:p>
  </w:footnote>
  <w:footnote w:id="163">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4">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5">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6">
    <w:p w:rsidR="00AB61AC" w:rsidRDefault="00AB61AC">
      <w:pPr>
        <w:pStyle w:val="aff9"/>
      </w:pPr>
      <w:r>
        <w:rPr>
          <w:rStyle w:val="aff8"/>
        </w:rPr>
        <w:footnoteRef/>
      </w:r>
      <w:r>
        <w:t xml:space="preserve"> </w:t>
      </w:r>
      <w:r>
        <w:rPr/>
        <w:t xml:space="preserve">Tadqiqotlar jarayonida muallif tomonidan tuzilgan.</w:t>
      </w:r>
    </w:p>
  </w:footnote>
  <w:footnote w:id="167">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Tadqiqot natijasida muallif tomonidan ishlab chiqildi.</w:t>
      </w:r>
    </w:p>
  </w:footnote>
  <w:footnote w:id="170">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1">
    <w:p w:rsidR="00AB61AC" w:rsidRDefault="00AB61AC">
      <w:pPr>
        <w:pStyle w:val="aff9"/>
      </w:pPr>
      <w:r>
        <w:rPr>
          <w:rStyle w:val="aff8"/>
        </w:rPr>
        <w:footnoteRef/>
      </w:r>
      <w:r>
        <w:t xml:space="preserve"> </w:t>
      </w:r>
      <w:r>
        <w:rPr/>
        <w:t xml:space="preserve">Tadqiqotlar jarayonida muallif tomonidan tuzilgan.</w:t>
      </w:r>
    </w:p>
  </w:footnote>
  <w:footnote w:id="172">
    <w:p w:rsidR="00AB61AC" w:rsidRDefault="00AB61AC">
      <w:pPr>
        <w:pStyle w:val="aff9"/>
      </w:pPr>
      <w:r>
        <w:rPr>
          <w:rStyle w:val="aff8"/>
        </w:rPr>
        <w:footnoteRef/>
      </w:r>
      <w:r>
        <w:t xml:space="preserve"> </w:t>
      </w:r>
      <w:r>
        <w:rPr/>
        <w:t xml:space="preserve">Tadqiqotlar jarayonida muallif tomonidan tuzilgan.</w:t>
      </w:r>
    </w:p>
  </w:footnote>
  <w:footnote w:id="173">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6">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7">
    <w:p w:rsidR="00AB61AC" w:rsidRDefault="00AB61AC">
      <w:pPr>
        <w:pStyle w:val="aff9"/>
      </w:pPr>
      <w:r>
        <w:rPr>
          <w:rStyle w:val="aff8"/>
        </w:rPr>
        <w:footnoteRef/>
      </w:r>
      <w:r>
        <w:t xml:space="preserve"> </w:t>
      </w:r>
      <w:r>
        <w:rPr/>
        <w:t xml:space="preserve">Tadqiqotlar jarayonida muallif tomonidan tuzilgan.</w:t>
      </w:r>
    </w:p>
  </w:footnote>
  <w:footnote w:id="178">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1">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3">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4">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5">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6">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7">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8">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9">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90">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1">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2">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3">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4">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200">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2">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3">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5">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7">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8">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9">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10">
    <w:p w:rsidR="00AB61AC" w:rsidRDefault="00AB61AC">
      <w:pPr>
        <w:pStyle w:val="aff9"/>
      </w:pPr>
      <w:r>
        <w:rPr>
          <w:rStyle w:val="aff8"/>
        </w:rPr>
        <w:footnoteRef/>
      </w:r>
      <w:r>
        <w:t xml:space="preserve"> European Banking Authority. 2025 EU-wide stress test: Results. – Paris: EBA, 1 August 2025.</w:t>
      </w:r>
    </w:p>
  </w:footnote>
  <w:footnote w:id="211">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21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6">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217">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8">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9">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20">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1">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2">
    <w:p w:rsidR="00AB61AC" w:rsidRDefault="00AB61AC">
      <w:pPr>
        <w:pStyle w:val="aff9"/>
      </w:pPr>
      <w:r>
        <w:rPr>
          <w:rStyle w:val="aff8"/>
        </w:rPr>
        <w:footnoteRef/>
      </w:r>
      <w:r>
        <w:t xml:space="preserve"> Basel Committee on Banking Supervision. Report on the 2023 banking turmoil. – Basel: BIS, October 2023.</w:t>
      </w:r>
    </w:p>
  </w:footnote>
  <w:footnote w:id="22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4">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5">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6">
    <w:p w:rsidR="00AB61AC" w:rsidRDefault="00AB61AC">
      <w:pPr>
        <w:pStyle w:val="aff9"/>
      </w:pPr>
      <w:r>
        <w:rPr>
          <w:rStyle w:val="aff8"/>
        </w:rPr>
        <w:footnoteRef/>
      </w:r>
      <w:r w:rsidRPr="00E65E68">
        <w:rPr>
          <w:lang w:val="ru-RU"/>
        </w:rPr>
        <w:t xml:space="preserve"> </w:t>
      </w:r>
      <w:r>
        <w:rPr/>
        <w:t xml:space="preserve">Tadqiqotlar jarayonida muallif tomonidan tuzilgan.</w:t>
      </w:r>
    </w:p>
  </w:footnote>
  <w:footnote w:id="22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30">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1">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2">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3">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5">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6">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7">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9">
    <w:p w:rsidR="00AB61AC" w:rsidRDefault="00AB61AC">
      <w:pPr>
        <w:pStyle w:val="aff9"/>
      </w:pPr>
      <w:r>
        <w:rPr>
          <w:rStyle w:val="aff8"/>
        </w:rPr>
        <w:footnoteRef/>
      </w:r>
      <w:r>
        <w:t xml:space="preserve"> </w:t>
      </w:r>
      <w:r>
        <w:rPr/>
        <w:t xml:space="preserve">Tadqiqotlar jarayonida muallif tomonidan tuzilgan.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40">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1">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6">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6–8, 12–14-tadbirlar</w:t>
      </w:r>
      <w:r>
        <w:t xml:space="preserve">;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w:t>
      </w:r>
      <w:r>
        <w:rPr/>
        <w:t xml:space="preserve">Tadqiqotlar jarayonida muallif tomonidan tuzilgan.</w:t>
      </w:r>
    </w:p>
  </w:footnote>
  <w:footnote w:id="248">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9">
    <w:p w:rsidR="00AB61AC" w:rsidRDefault="00AB61AC">
      <w:pPr>
        <w:pStyle w:val="aff9"/>
      </w:pPr>
      <w:r>
        <w:rPr>
          <w:rStyle w:val="aff8"/>
        </w:rPr>
        <w:footnoteRef/>
      </w:r>
      <w:r>
        <w:t xml:space="preserve"> </w:t>
      </w:r>
      <w:r>
        <w:rPr/>
        <w:t xml:space="preserve">Tadqiqot natijasida muallif tomonidan ishlab chiqildi.</w:t>
      </w:r>
    </w:p>
  </w:footnote>
  <w:footnote w:id="250">
    <w:p w:rsidR="00AB61AC" w:rsidRDefault="00AB61AC">
      <w:pPr>
        <w:pStyle w:val="aff9"/>
      </w:pPr>
      <w:r>
        <w:rPr>
          <w:rStyle w:val="aff8"/>
        </w:rPr>
        <w:footnoteRef/>
      </w:r>
      <w:r>
        <w:t xml:space="preserve"> </w:t>
      </w:r>
      <w:r>
        <w:rPr/>
        <w:t xml:space="preserve">Tadqiqotlar jarayonida muallif tomonidan tuzilgan.</w:t>
      </w:r>
    </w:p>
  </w:footnote>
  <w:footnote w:id="251">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2">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3">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4">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5">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13-tadbir</w:t>
      </w:r>
      <w:r>
        <w:t xml:space="preserve">.</w:t>
      </w:r>
    </w:p>
  </w:footnote>
  <w:footnote w:id="256">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7">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13-tadbir</w:t>
      </w:r>
      <w:r>
        <w:t xml:space="preserve">.</w:t>
      </w:r>
    </w:p>
  </w:footnote>
  <w:footnote w:id="258">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9">
    <w:p w:rsidR="00AB61AC" w:rsidRDefault="00AB61AC">
      <w:pPr>
        <w:pStyle w:val="aff9"/>
      </w:pPr>
      <w:r>
        <w:rPr>
          <w:rStyle w:val="aff8"/>
        </w:rPr>
        <w:footnoteRef/>
      </w:r>
      <w:r>
        <w:t xml:space="preserve"> 2026-yil uchun mahalliy tizimli ahamiyatga molik banklar belgilandi // O‘zbekiston Respublikasi Markaziy banki.</w:t>
      </w:r>
    </w:p>
  </w:footnote>
  <w:footnote w:id="260">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1">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w:t>
      </w:r>
      <w:r>
        <w:rPr/>
        <w:t xml:space="preserve">O‘zbekiston Respublikasi Markaziy banki. Moliyaviy barqarorlik sharhi: 2025-yil. – Toshkent, 2026.</w:t>
      </w:r>
    </w:p>
  </w:footnote>
  <w:footnote w:id="26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w:t>
      </w:r>
      <w:r>
        <w:rPr/>
        <w:t xml:space="preserve">O‘zbekiston Respublikasi Markaziy banki. Moliyaviy barqarorlik sharhi: 2025-yil. – Toshkent, 2026.</w:t>
      </w:r>
    </w:p>
  </w:footnote>
  <w:footnote w:id="263">
    <w:p w:rsidR="00AB61AC" w:rsidRDefault="00AB61AC">
      <w:pPr>
        <w:pStyle w:val="aff9"/>
      </w:pPr>
      <w:r>
        <w:rPr>
          <w:rStyle w:val="aff8"/>
        </w:rPr>
        <w:footnoteRef/>
      </w:r>
      <w:r>
        <w:t xml:space="preserve"> </w:t>
      </w:r>
      <w:r>
        <w:rPr/>
        <w:t xml:space="preserve">O‘zbekiston Respublikasi Markaziy banki. Moliyaviy barqarorlik sharhi: 2025-yil. – Toshkent, 2026.</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t xml:space="preserve">Tadqiqotlar jarayonida muallif tomonidan tuzilgan.</w:t>
      </w:r>
    </w:p>
  </w:footnote>
  <w:footnote w:id="266">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t xml:space="preserve">Tadqiqotlar jarayonida muallif tomonidan tuzilgan.</w:t>
      </w:r>
    </w:p>
  </w:footnote>
  <w:footnote w:id="268">
    <w:p w:rsidR="00AB61AC" w:rsidRDefault="00AB61AC">
      <w:pPr>
        <w:pStyle w:val="aff9"/>
      </w:pPr>
      <w:r>
        <w:rPr>
          <w:rStyle w:val="aff8"/>
        </w:rPr>
        <w:footnoteRef/>
      </w:r>
      <w:r>
        <w:t xml:space="preserve"> </w:t>
      </w:r>
      <w:r>
        <w:rPr/>
        <w:t xml:space="preserve">Tadqiqot natijasida muallif tomonidan ishlab chiqildi.</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3-tadbir</w:t>
      </w:r>
      <w:r>
        <w:t xml:space="preserve">.</w:t>
      </w:r>
    </w:p>
  </w:footnote>
  <w:footnote w:id="272">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5, 19-tadbirlar</w:t>
      </w:r>
      <w:r>
        <w:t xml:space="preserve">.</w:t>
      </w:r>
    </w:p>
  </w:footnote>
  <w:footnote w:id="273">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7, 16-tadbirlar</w:t>
      </w:r>
      <w:r>
        <w:t xml:space="preserve">.</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9-tadbir</w:t>
      </w:r>
      <w:r>
        <w:t xml:space="preserve">.</w:t>
      </w:r>
    </w:p>
  </w:footnote>
  <w:footnote w:id="277">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31-tadbir</w:t>
      </w:r>
      <w:r>
        <w:t xml:space="preserve">.</w:t>
      </w:r>
    </w:p>
  </w:footnote>
  <w:footnote w:id="278">
    <w:p w:rsidR="00AB61AC" w:rsidRPr="00E65E68" w:rsidRDefault="00AB61AC">
      <w:pPr>
        <w:pStyle w:val="aff9"/>
        <w:rPr>
          <w:lang w:val="ru-RU"/>
        </w:rPr>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2–4, 7, 9-tadbirlar</w:t>
      </w:r>
      <w:r w:rsidRPr="00E65E68">
        <w:rPr>
          <w:lang w:val="ru-RU"/>
        </w:rPr>
        <w:t xml:space="preserve">.</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w:t>
      </w:r>
      <w:r>
        <w:rPr/>
        <w:t xml:space="preserve">Tadqiqotlar jarayonida muallif tomonidan tuzilgan.</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w:t>
      </w:r>
      <w:r>
        <w:rPr/>
        <w:t xml:space="preserve">O‘zbekiston Respublikasi Markaziy banki. Moliyaviy barqarorlik sharhi: 2025-yil. – Toshkent, 2026.</w:t>
      </w:r>
    </w:p>
  </w:footnote>
  <w:footnote w:id="295">
    <w:p w:rsidR="00AB61AC" w:rsidRDefault="00AB61AC">
      <w:pPr>
        <w:pStyle w:val="aff9"/>
      </w:pPr>
      <w:r>
        <w:rPr>
          <w:rStyle w:val="aff8"/>
        </w:rPr>
        <w:footnoteRef/>
      </w:r>
      <w:r>
        <w:t xml:space="preserve"> </w:t>
      </w:r>
      <w:r>
        <w:rPr/>
        <w:t xml:space="preserve">Tadqiqotlar jarayonida muallif tomonidan tuzilgan.</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w:t>
      </w:r>
      <w:r>
        <w:rPr/>
        <w:t xml:space="preserve">O‘zbekiston Respublikasi Markaziy banki. Moliyaviy barqarorlik sharhi: 2025-yil. – Toshkent,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w:t>
      </w:r>
      <w:r>
        <w:rPr/>
        <w:t xml:space="preserve">2.2.1-jadval ma’lumotlari asosida ishlab chiqildi.</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2">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9">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rPr/>
        <w:t xml:space="preserve">Tadqiqotlar jarayonida muallif tomonidan tuzilgan.</w:t>
      </w:r>
    </w:p>
  </w:footnote>
  <w:footnote w:id="32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6">
    <w:p w:rsidR="00AB61AC" w:rsidRPr="00E65E68" w:rsidRDefault="00AB61AC">
      <w:pPr>
        <w:pStyle w:val="aff9"/>
        <w:rPr>
          <w:lang w:val="ru-RU"/>
        </w:rPr>
      </w:pPr>
      <w:r>
        <w:rPr>
          <w:rStyle w:val="aff8"/>
        </w:rPr>
        <w:footnoteRef/>
      </w:r>
      <w:r w:rsidRPr="00E65E68">
        <w:rPr>
          <w:lang w:val="ru-RU"/>
        </w:rPr>
        <w:t xml:space="preserve"> </w:t>
      </w:r>
      <w:r>
        <w:rPr/>
        <w:t xml:space="preserve">Tadqiqotlar jarayonida muallif tomonidan tuzilgan.</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w:t>
      </w:r>
      <w:r>
        <w:rPr/>
        <w:t xml:space="preserve">Tadqiqotlar jarayonida muallif tomonidan tuzilgan.</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w:t>
      </w:r>
      <w:r>
        <w:rPr/>
        <w:t xml:space="preserve">Tadqiqotlar jarayonida muallif tomonidan tuzilgan.</w:t>
      </w:r>
    </w:p>
  </w:footnote>
  <w:footnote w:id="347">
    <w:p w:rsidR="00AB61AC" w:rsidRDefault="00AB61AC">
      <w:pPr>
        <w:pStyle w:val="aff9"/>
      </w:pPr>
      <w:r>
        <w:rPr>
          <w:rStyle w:val="aff8"/>
        </w:rPr>
        <w:footnoteRef/>
      </w:r>
      <w:r>
        <w:t xml:space="preserve"> </w:t>
      </w:r>
      <w:r>
        <w:rPr/>
        <w:t xml:space="preserve">Tadqiqotlar jarayonida muallif tomonidan tuzilgan.</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Default="00AB61AC">
      <w:pPr>
        <w:pStyle w:val="aff9"/>
      </w:pPr>
      <w:r>
        <w:rPr>
          <w:rStyle w:val="aff8"/>
        </w:rPr>
        <w:footnoteRef/>
      </w:r>
      <w:r>
        <w:t xml:space="preserve"> </w:t>
      </w:r>
      <w:r>
        <w:rPr/>
        <w:t xml:space="preserve">Tadqiqotlar jarayonida muallif tomonidan tuzilgan.</w:t>
      </w:r>
    </w:p>
  </w:footnote>
  <w:footnote w:id="351">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rPr/>
        <w:t xml:space="preserve">Tadqiqotlar jarayonida muallif tomonidan tuzilgan.</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rPr/>
        <w:t xml:space="preserve">Tadqiqotlar jarayonida muallif tomonidan tuzilgan.</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w:t>
      </w:r>
      <w:r>
        <w:rPr/>
        <w:t xml:space="preserve">Tadqiqotlar jarayonida muallif tomonidan tuzilgan.</w:t>
      </w:r>
    </w:p>
  </w:footnote>
  <w:footnote w:id="366">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w:t>
      </w:r>
      <w:r>
        <w:rPr/>
        <w:t xml:space="preserve">2.3.2- va 2.3.4-jadvallar ma’lumotlari</w:t>
      </w:r>
      <w:r>
        <w:t xml:space="preserve"> asosida ishlab chiqildi.</w:t>
      </w:r>
    </w:p>
  </w:footnote>
  <w:footnote w:id="368">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t xml:space="preserve"> </w:t>
      </w:r>
      <w:r>
        <w:rPr/>
        <w:t xml:space="preserve">Tadqiqotlar jarayonida muallif tomonidan tuzilgan.</w:t>
      </w:r>
    </w:p>
  </w:footnote>
  <w:footnote w:id="371">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w:t>
      </w:r>
      <w:r>
        <w:rPr/>
        <w:t xml:space="preserve">Tadqiqotlar jarayonida muallif tomonidan tuzilgan.</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2">
    <w:p w:rsidR="00AB61AC" w:rsidRDefault="00AB61AC">
      <w:pPr>
        <w:pStyle w:val="aff9"/>
      </w:pPr>
      <w:r>
        <w:rPr>
          <w:rStyle w:val="aff8"/>
        </w:rPr>
        <w:footnoteRef/>
      </w:r>
      <w:r>
        <w:t xml:space="preserve"> Tadqiqot natijasida muallif tomonidan 3.1.2-jadval asosida ishlab chiqildi.</w:t>
      </w:r>
    </w:p>
  </w:footnote>
  <w:footnote w:id="40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6">
    <w:p w:rsidR="00AB61AC" w:rsidRDefault="00AB61AC">
      <w:pPr>
        <w:pStyle w:val="aff9"/>
      </w:pPr>
      <w:r>
        <w:rPr>
          <w:rStyle w:val="aff8"/>
        </w:rPr>
        <w:footnoteRef/>
      </w:r>
      <w:r w:rsidRPr="00E65E68">
        <w:rPr>
          <w:lang w:val="ru-RU"/>
        </w:rPr>
        <w:t xml:space="preserve"> </w:t>
      </w:r>
      <w:r>
        <w:rPr/>
        <w:t xml:space="preserve">Tadqiqotlar jarayonida muallif tomonidan tuzilgan.</w:t>
      </w:r>
    </w:p>
  </w:footnote>
  <w:footnote w:id="407">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9">
    <w:p w:rsidR="00AB61AC" w:rsidRDefault="00AB61AC">
      <w:pPr>
        <w:pStyle w:val="aff9"/>
      </w:pPr>
      <w:r>
        <w:rPr>
          <w:rStyle w:val="aff8"/>
        </w:rPr>
        <w:footnoteRef/>
      </w:r>
      <w:r>
        <w:t xml:space="preserve"> </w:t>
      </w:r>
      <w:r>
        <w:rPr/>
        <w:t xml:space="preserve">Tadqiqotlar jarayonida muallif tomonidan tuzilgan.</w:t>
      </w:r>
    </w:p>
  </w:footnote>
  <w:footnote w:id="410">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1">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412">
    <w:p w:rsidR="00AB61AC" w:rsidRDefault="00AB61AC">
      <w:pPr>
        <w:pStyle w:val="aff9"/>
      </w:pPr>
      <w:r>
        <w:rPr>
          <w:rStyle w:val="aff8"/>
        </w:rPr>
        <w:footnoteRef/>
      </w:r>
      <w:r>
        <w:rPr/>
        <w:t xml:space="preserve"> </w:t>
      </w:r>
      <w:r>
        <w:rPr/>
        <w:t xml:space="preserve">Tadqiqotlar jarayonida muallif tomonidan tuzilgan.</w:t>
      </w:r>
    </w:p>
  </w:footnote>
  <w:footnote w:id="413">
    <w:p w:rsidR="00AB61AC" w:rsidRDefault="00AB61AC">
      <w:pPr>
        <w:pStyle w:val="aff9"/>
      </w:pPr>
      <w:r>
        <w:rPr>
          <w:rStyle w:val="aff8"/>
        </w:rPr>
        <w:footnoteRef/>
      </w:r>
      <w:r>
        <w:rPr/>
        <w:t xml:space="preserve"> </w:t>
      </w:r>
      <w:r>
        <w:rPr/>
        <w:t xml:space="preserve">Tadqiqotlar jarayonida muallif tomonidan tuzilgan.</w:t>
      </w:r>
    </w:p>
  </w:footnote>
  <w:footnote w:id="414">
    <w:p w:rsidR="00AB61AC" w:rsidRDefault="00AB61AC">
      <w:pPr>
        <w:pStyle w:val="aff9"/>
      </w:pPr>
      <w:r>
        <w:rPr>
          <w:rStyle w:val="aff8"/>
        </w:rPr>
        <w:footnoteRef/>
      </w:r>
      <w:r>
        <w:t xml:space="preserve"> Tadqiqot natijasida muallif tomonidan 3.1.3 va 3.1.5-jadvallar ma’lumotlari asosida hisoblandi.</w:t>
      </w:r>
    </w:p>
  </w:footnote>
  <w:footnote w:id="415">
    <w:p w:rsidR="00AB61AC" w:rsidRDefault="00AB61AC">
      <w:pPr>
        <w:pStyle w:val="aff9"/>
      </w:pPr>
      <w:r>
        <w:rPr>
          <w:rStyle w:val="aff8"/>
        </w:rPr>
        <w:footnoteRef/>
      </w:r>
      <w:r>
        <w:t xml:space="preserve"> </w:t>
      </w:r>
      <w:r>
        <w:rPr/>
        <w:t xml:space="preserve">Tadqiqotlar jarayonida muallif tomonidan tuzilgan.</w:t>
      </w:r>
    </w:p>
  </w:footnote>
  <w:footnote w:id="41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w:t>
      </w:r>
      <w:r>
        <w:rPr/>
        <w:t xml:space="preserve">Tadqiqotlar jarayonida muallif tomonidan tuzilgan.</w:t>
      </w:r>
    </w:p>
  </w:footnote>
  <w:footnote w:id="42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w:t>
      </w:r>
      <w:r>
        <w:rPr/>
        <w:t xml:space="preserve">Tadqiqotlar jarayonida muallif tomonidan tuzilgan.</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w:t>
      </w:r>
      <w:r>
        <w:rPr/>
        <w:t xml:space="preserve">Tadqiqotlar jarayonida muallif tomonidan tuzilgan.</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w:t>
      </w:r>
      <w:r>
        <w:rPr/>
        <w:t xml:space="preserve">Tadqiqotlar jarayonida muallif tomonidan tuzilgan.</w:t>
      </w:r>
    </w:p>
  </w:footnote>
  <w:footnote w:id="434">
    <w:p w:rsidR="00AB61AC" w:rsidRDefault="00AB61AC">
      <w:pPr>
        <w:pStyle w:val="aff9"/>
      </w:pPr>
      <w:r>
        <w:rPr>
          <w:rStyle w:val="aff8"/>
        </w:rPr>
        <w:footnoteRef/>
      </w:r>
      <w:r>
        <w:t xml:space="preserve"> </w:t>
      </w:r>
      <w:r>
        <w:rPr/>
        <w:t xml:space="preserve">Tadqiqotlar jarayonida muallif tomonidan tuzilgan.</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w:t>
      </w:r>
      <w:r>
        <w:rPr/>
        <w:t xml:space="preserve">Tadqiqotlar jarayonida muallif tomonidan tuzilgan.</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Tadqiqot natijasida muallif tomonidan </w:t>
      </w:r>
      <w:r>
        <w:rPr/>
        <w:t xml:space="preserve">ishlab chiqildi; gipotezalarning nazariy asoslari jadvaldan keyingi matnda keltirilgan manbalarga tayanadi.</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w:t>
      </w:r>
      <w:r>
        <w:rPr/>
        <w:t xml:space="preserve">Tadqiqotlar jarayonida muallif tomonidan tuzilgan.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w:t>
      </w:r>
      <w:r>
        <w:rPr/>
        <w:t xml:space="preserve">Tadqiqotlar jarayonida muallif tomonidan tuzilgan.</w:t>
      </w:r>
    </w:p>
  </w:footnote>
  <w:footnote w:id="490">
    <w:p w:rsidR="00AB61AC" w:rsidRDefault="00AB61AC">
      <w:pPr>
        <w:pStyle w:val="aff9"/>
      </w:pPr>
      <w:r>
        <w:rPr>
          <w:rStyle w:val="aff8"/>
        </w:rPr>
        <w:footnoteRef/>
      </w:r>
      <w:r>
        <w:t xml:space="preserve"> </w:t>
      </w:r>
      <w:r>
        <w:rPr/>
        <w:t xml:space="preserve">Tadqiqotlar jarayonida muallif tomonidan tuzilgan.</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Tadqiqot natijasida muallif tomonidan 4.1.2-jadvalda ko‘rsatilgan manbalar ma’lumotlari asosida hisoblandi.</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506">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w:t>
      </w:r>
      <w:r>
        <w:rPr/>
        <w:t xml:space="preserve">O‘zbekiston Respublikasi Markaziy banki statistik byulleteni (2026-yil mart, 1.1-jadval) ma’lumotlari asosida ishlab chiqildi</w:t>
      </w:r>
      <w:r>
        <w:t xml:space="preserve">.</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w:t>
      </w:r>
      <w:r>
        <w:rPr/>
        <w:t xml:space="preserve">1.1-jadval</w:t>
      </w:r>
      <w:r>
        <w:t xml:space="preserve">. – https://cbu.uz/uz/statistics/buleten/</w:t>
      </w:r>
    </w:p>
  </w:footnote>
  <w:footnote w:id="514">
    <w:p w:rsidR="00AB61AC" w:rsidRDefault="00AB61AC">
      <w:pPr>
        <w:pStyle w:val="aff9"/>
      </w:pPr>
      <w:r>
        <w:rPr>
          <w:rStyle w:val="aff8"/>
        </w:rPr>
        <w:footnoteRef/>
      </w:r>
      <w:r>
        <w:rPr/>
        <w:t xml:space="preserve"> Tadqiqotlar jarayonida muallif tomonidan tuzilgan.</w:t>
      </w:r>
    </w:p>
  </w:footnote>
  <w:footnote w:id="515">
    <w:p w:rsidR="00AB61AC" w:rsidRDefault="00AB61AC">
      <w:pPr>
        <w:pStyle w:val="aff9"/>
      </w:pPr>
      <w:r>
        <w:rPr>
          <w:rStyle w:val="aff8"/>
        </w:rPr>
        <w:footnoteRef/>
      </w:r>
      <w:r>
        <w:t xml:space="preserve"> </w:t>
      </w:r>
      <w:r>
        <w:rPr/>
        <w:t xml:space="preserve">Tadqiqotlar jarayonida muallif tomonidan tuzilgan.</w:t>
      </w:r>
    </w:p>
  </w:footnote>
  <w:footnote w:id="51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8">
    <w:p w:rsidR="00AB61AC" w:rsidRDefault="00AB61AC">
      <w:pPr>
        <w:pStyle w:val="aff9"/>
      </w:pPr>
      <w:r>
        <w:rPr>
          <w:rStyle w:val="aff8"/>
        </w:rPr>
        <w:footnoteRef/>
      </w:r>
      <w:r>
        <w:rPr/>
        <w:t xml:space="preserve"> Tadqiqotlar jarayonida muallif tomonidan tuzilgan.</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Basel Committee on Banking Supervision. Stress testing principles. – Basel: BIS, October 2018.</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rPr/>
        <w:t xml:space="preserve"> Tadqiqotlar jarayonida muallif tomonidan tuzilgan.</w:t>
      </w:r>
    </w:p>
  </w:footnote>
  <w:footnote w:id="523">
    <w:p w:rsidR="00AB61AC" w:rsidRDefault="00AB61AC">
      <w:pPr>
        <w:pStyle w:val="aff9"/>
      </w:pPr>
      <w:r>
        <w:rPr>
          <w:rStyle w:val="aff8"/>
        </w:rPr>
        <w:footnoteRef/>
      </w:r>
      <w:r>
        <w:t xml:space="preserve"> Tadqiqot natijasida muallif tomonidan 4.2.2-jadvalda ko‘rsatilgan manbalar ma’lumotlari asosida hisoblandi.</w:t>
      </w:r>
    </w:p>
  </w:footnote>
  <w:footnote w:id="524">
    <w:p w:rsidR="00AB61AC" w:rsidRDefault="00AB61AC">
      <w:pPr>
        <w:pStyle w:val="aff9"/>
      </w:pPr>
      <w:r>
        <w:rPr>
          <w:rStyle w:val="aff8"/>
        </w:rPr>
        <w:footnoteRef/>
      </w:r>
      <w:r>
        <w:rPr/>
        <w:t xml:space="preserve"> Tadqiqotlar jarayonida muallif tomonidan tuzilgan.</w:t>
      </w:r>
    </w:p>
  </w:footnote>
  <w:footnote w:id="525">
    <w:p w:rsidR="00AB61AC" w:rsidRDefault="00AB61AC">
      <w:pPr>
        <w:pStyle w:val="aff9"/>
      </w:pPr>
      <w:r>
        <w:rPr>
          <w:rStyle w:val="aff8"/>
        </w:rPr>
        <w:footnoteRef/>
      </w:r>
      <w:r>
        <w:t xml:space="preserve"> Tadqiqot natijasida muallif tomonidan 4.2.2-jadvalda ko‘rsatilgan manbalar ma’lumotlari asosida hisoblandi.</w:t>
      </w:r>
    </w:p>
  </w:footnote>
  <w:footnote w:id="526">
    <w:p w:rsidR="00AB61AC" w:rsidRDefault="00AB61AC">
      <w:pPr>
        <w:pStyle w:val="aff9"/>
      </w:pPr>
      <w:r>
        <w:rPr>
          <w:rStyle w:val="aff8"/>
        </w:rPr>
        <w:footnoteRef/>
      </w:r>
      <w:r>
        <w:t xml:space="preserve"> Tadqiqot natijasida muallif tomonidan 4.2.2-jadvalda ko‘rsatilgan manbalar ma’lumotlari asosida hisoblandi.</w:t>
      </w:r>
    </w:p>
  </w:footnote>
  <w:footnote w:id="527">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528">
    <w:p w:rsidR="00AB61AC" w:rsidRDefault="00AB61AC">
      <w:pPr>
        <w:pStyle w:val="aff9"/>
      </w:pPr>
      <w:r>
        <w:rPr>
          <w:rStyle w:val="aff8"/>
        </w:rPr>
        <w:footnoteRef/>
      </w:r>
      <w:r>
        <w:t xml:space="preserve"> Tadqiqot natijasida muallif tomonidan </w:t>
      </w:r>
      <w:r>
        <w:rPr/>
        <w:t xml:space="preserve">4.2.7-jadval</w:t>
      </w:r>
      <w:r>
        <w:t xml:space="preserve"> ma’lumotlari asosida ishlab chiqildi.</w:t>
      </w:r>
    </w:p>
  </w:footnote>
  <w:footnote w:id="5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3">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w:t>
      </w:r>
    </w:p>
  </w:footnote>
  <w:footnote w:id="534">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3, 5, 7, 9, 12, 19-tadbirlar</w:t>
      </w:r>
      <w:r>
        <w:t xml:space="preserve">.</w:t>
      </w:r>
    </w:p>
  </w:footnote>
  <w:footnote w:id="535">
    <w:p w:rsidR="00AB61AC" w:rsidRDefault="00AB61AC">
      <w:pPr>
        <w:pStyle w:val="aff9"/>
      </w:pPr>
      <w:r>
        <w:rPr>
          <w:rStyle w:val="aff8"/>
        </w:rPr>
        <w:footnoteRef/>
      </w:r>
      <w:r>
        <w:t xml:space="preserve"> </w:t>
      </w:r>
      <w:r>
        <w:rPr/>
        <w:t xml:space="preserve">Tadqiqotlar jarayonida muallif tomonidan tuzilgan.</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7">
    <w:p w:rsidR="00AB61AC" w:rsidRDefault="00AB61AC">
      <w:pPr>
        <w:pStyle w:val="aff9"/>
      </w:pPr>
      <w:r>
        <w:rPr>
          <w:rStyle w:val="aff8"/>
        </w:rPr>
        <w:footnoteRef/>
      </w:r>
      <w:r>
        <w:rPr/>
        <w:t xml:space="preserve"> Sullivan &amp; Cromwell LLP. FFIEC Proposes Revisions to CAMELS Rating System</w:t>
      </w:r>
      <w:r>
        <w:rPr/>
        <w:t xml:space="preserve">. – New York, 20 May 2026. – https://www.sullcrom.com/insights/memo/2026/May/FFIEC-Proposes-Revisions-CAMELS-Rating-System.</w:t>
      </w:r>
    </w:p>
  </w:footnote>
  <w:footnote w:id="538">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9-tadbir</w:t>
      </w:r>
      <w:r>
        <w:t xml:space="preserve">.</w:t>
      </w:r>
    </w:p>
  </w:footnote>
  <w:footnote w:id="539">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40">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42">
    <w:p w:rsidR="00AB61AC" w:rsidRDefault="00AB61AC">
      <w:pPr>
        <w:pStyle w:val="aff9"/>
      </w:pPr>
      <w:r>
        <w:rPr>
          <w:rStyle w:val="aff8"/>
        </w:rPr>
        <w:footnoteRef/>
      </w:r>
      <w:r>
        <w:t xml:space="preserve"> </w:t>
      </w:r>
      <w:r>
        <w:rPr/>
        <w:t xml:space="preserve">Tadqiqotlar jarayonida muallif tomonidan tuzilgan.</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4">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7">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7-tadbir</w:t>
      </w:r>
      <w:r>
        <w:t xml:space="preserve">.</w:t>
      </w:r>
    </w:p>
  </w:footnote>
  <w:footnote w:id="548">
    <w:p w:rsidR="00AB61AC" w:rsidRDefault="00AB61AC">
      <w:pPr>
        <w:pStyle w:val="aff9"/>
      </w:pPr>
      <w:r>
        <w:rPr>
          <w:rStyle w:val="aff8"/>
        </w:rPr>
        <w:footnoteRef/>
      </w:r>
      <w:r>
        <w:t xml:space="preserve"> </w:t>
      </w:r>
      <w:r>
        <w:rPr/>
        <w:t xml:space="preserve">Tadqiqotlar jarayonida muallif tomonidan tuzilgan.</w:t>
      </w:r>
    </w:p>
  </w:footnote>
  <w:footnote w:id="54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50">
    <w:p w:rsidR="00AB61AC" w:rsidRDefault="00AB61AC">
      <w:pPr>
        <w:pStyle w:val="aff9"/>
      </w:pPr>
      <w:r>
        <w:rPr>
          <w:rStyle w:val="aff8"/>
        </w:rPr>
        <w:footnoteRef/>
      </w:r>
      <w:r>
        <w:t xml:space="preserve"> Tadqiqot natijasida muallif tomonidan ishlab chiqildi.</w:t>
      </w:r>
    </w:p>
  </w:footnote>
  <w:footnote w:id="551">
    <w:p w:rsidR="00AB61AC" w:rsidRDefault="00AB61AC">
      <w:pPr>
        <w:pStyle w:val="aff9"/>
      </w:pPr>
      <w:r>
        <w:rPr>
          <w:rStyle w:val="aff8"/>
        </w:rPr>
        <w:footnoteRef/>
      </w:r>
      <w:r>
        <w:t xml:space="preserve"> </w:t>
      </w:r>
      <w:r>
        <w:rPr/>
        <w:t xml:space="preserve">Tadqiqotlar jarayonida muallif tomonidan tuzilgan.</w:t>
      </w:r>
    </w:p>
  </w:footnote>
  <w:footnote w:id="552">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 Id="rId34" Type="http://schemas.openxmlformats.org/officeDocument/2006/relationships/chart" Target="charts/chart311.xml"/><Relationship Id="rId52" Type="http://schemas.openxmlformats.org/officeDocument/2006/relationships/chart" Target="charts/chart312.xml"/><Relationship Id="rId53" Type="http://schemas.openxmlformats.org/officeDocument/2006/relationships/chart" Target="charts/chart321.xml"/><Relationship Id="rId54" Type="http://schemas.openxmlformats.org/officeDocument/2006/relationships/chart" Target="charts/chart322.xml"/><Relationship Id="rId55" Type="http://schemas.openxmlformats.org/officeDocument/2006/relationships/chart" Target="charts/chart323.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_rels/chart311.xml.rels><?xml version='1.0' encoding='UTF-8' standalone='yes'?>
<Relationships xmlns="http://schemas.openxmlformats.org/package/2006/relationships"><Relationship Id="rId1" Type="http://schemas.openxmlformats.org/officeDocument/2006/relationships/package" Target="../embeddings/Microsoft_Excel_Worksheet311.xlsx"/></Relationships>
</file>

<file path=word/charts/_rels/chart312.xml.rels><?xml version='1.0' encoding='UTF-8' standalone='yes'?>
<Relationships xmlns="http://schemas.openxmlformats.org/package/2006/relationships"><Relationship Id="rId1" Type="http://schemas.openxmlformats.org/officeDocument/2006/relationships/package" Target="../embeddings/Microsoft_Excel_Worksheet312.xlsx"/></Relationships>
</file>

<file path=word/charts/_rels/chart321.xml.rels><?xml version='1.0' encoding='UTF-8' standalone='yes'?>
<Relationships xmlns="http://schemas.openxmlformats.org/package/2006/relationships"><Relationship Id="rId1" Type="http://schemas.openxmlformats.org/officeDocument/2006/relationships/package" Target="../embeddings/Microsoft_Excel_Worksheet321.xlsx"/></Relationships>
</file>

<file path=word/charts/_rels/chart322.xml.rels><?xml version='1.0' encoding='UTF-8' standalone='yes'?>
<Relationships xmlns="http://schemas.openxmlformats.org/package/2006/relationships"><Relationship Id="rId1" Type="http://schemas.openxmlformats.org/officeDocument/2006/relationships/package" Target="../embeddings/Microsoft_Excel_Worksheet322.xlsx"/></Relationships>
</file>

<file path=word/charts/_rels/chart323.xml.rels><?xml version='1.0' encoding='UTF-8' standalone='yes'?>
<Relationships xmlns="http://schemas.openxmlformats.org/package/2006/relationships"><Relationship Id="rId1" Type="http://schemas.openxmlformats.org/officeDocument/2006/relationships/package" Target="../embeddings/Microsoft_Excel_Worksheet32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Birinchi darajali 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
          <c:y val="0.05"/>
          <c:w val="0.86"/>
          <c:h val="0.8"/>
        </c:manualLayout>
      </c:layout>
      <c:lineChart>
        <c:grouping val="standard"/>
        <c:varyColors val="0"/>
        <c:ser>
          <c:idx val="0"/>
          <c:order val="0"/>
          <c:tx>
            <c:strRef>
              <c:f>Sheet1!$B$1</c:f>
              <c:strCache>
                <c:ptCount val="1"/>
                <c:pt idx="0">
                  <c:v>Substandart va muammoli kreditlar</c:v>
                </c:pt>
              </c:strCache>
            </c:strRef>
          </c:tx>
          <c:spPr>
            <a:ln w="28575">
              <a:solidFill>
                <a:srgbClr val="7030A0"/>
              </a:solidFill>
            </a:ln>
          </c:spPr>
          <c:marker>
            <c:symbol val="circle"/>
            <c:size val="5"/>
            <c:spPr>
              <a:solidFill>
                <a:srgbClr val="7030A0"/>
              </a:solidFill>
              <a:ln>
                <a:noFill/>
              </a:ln>
            </c:spPr>
          </c:marker>
          <c:dLbls>
            <c:numFmt formatCode="0.0" sourceLinked="0"/>
            <c:spPr>
              <a:noFill/>
              <a:ln>
                <a:noFill/>
              </a:ln>
            </c:spPr>
            <c:txPr>
              <a:bodyPr/>
              <a:lstStyle/>
              <a:p>
                <a:pPr>
                  <a:defRPr sz="11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(5 %)</c:v>
                </c:pt>
              </c:strCache>
            </c:strRef>
          </c:tx>
          <c:spPr>
            <a:ln w="34925">
              <a:solidFill>
                <a:srgbClr val="FF0000"/>
              </a:solidFill>
            </a:ln>
          </c:spPr>
          <c:marker>
            <c:symbol val="none"/>
          </c:marker>
          <c:dLbls>
            <c:dLbl>
              <c:idx val="2"/>
              <c:tx>
                <c:rich>
                  <a:bodyPr wrap="none"/>
                  <a:lstStyle/>
                  <a:p>
                    <a:pPr>
                      <a:defRPr sz="1100" b="1">
                        <a:solidFill>
                          <a:srgbClr val="FF0000"/>
                        </a:solidFill>
                        <a:latin typeface="Times New Roman"/>
                        <a:cs typeface="Times New Roman"/>
                      </a:defRPr>
                    </a:pPr>
                    <a:r>
                      <a:rPr lang="uz-Latn-UZ" sz="1100" b="1">
                        <a:solidFill>
                          <a:srgbClr val="FF0000"/>
                        </a:solidFill>
                        <a:latin typeface="Times New Roman"/>
                        <a:cs typeface="Times New Roman"/>
                      </a:rPr>
                      <a:t>Erta ogohlantirish chegarasi (5 %)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Kapital rentabelligi (ROE)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Aktivlar rentabelligi, soliq to‘lagunga qadar (ROA)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2.94</c:v>
                </c:pt>
                <c:pt idx="1">
                  <c:v>2.83</c:v>
                </c:pt>
                <c:pt idx="2">
                  <c:v>2.77</c:v>
                </c:pt>
                <c:pt idx="3">
                  <c:v>3.28</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numFmt formatCode="0.00" sourceLinked="0"/>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numFmt formatCode="0.00" sourceLinked="0"/>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numFmt formatCode="0.00" sourceLinked="0"/>
          <c:showLegendKey val="0"/>
          <c:showVal val="0"/>
          <c:showCatName val="0"/>
          <c:showSerName val="0"/>
          <c:showPercent val="0"/>
          <c:showBubbleSize val="0"/>
        </c:dLbls>
        <c:axId val="333"/>
        <c:axId val="444"/>
      </c:scatterChart>
      <c:valAx>
        <c:axId val="333"/>
        <c:scaling>
          <c:orientation val="minMax"/>
          <c:max val="202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085"/>
          <c:y val="0.03"/>
          <c:w val="0.895"/>
          <c:h val="0.8"/>
        </c:manualLayout>
      </c:layout>
      <c:scatterChart>
        <c:scatterStyle val="lineMarker"/>
        <c:varyColors val="0"/>
        <c:ser>
          <c:idx val="0"/>
          <c:order val="0"/>
          <c:tx>
            <c:strRef>
              <c:f>Sheet1!$B$1</c:f>
              <c:strCache>
                <c:ptCount val="1"/>
                <c:pt idx="0">
                  <c:v>MBII-8 (AUC = 0,86)</c:v>
                </c:pt>
              </c:strCache>
            </c:strRef>
          </c:tx>
          <c:spPr>
            <a:ln w="28575">
              <a:solidFill>
                <a:srgbClr val="2A78D6"/>
              </a:solidFill>
            </a:ln>
          </c:spPr>
          <c:marker>
            <c:symbol val="none"/>
          </c:marker>
          <c:xVal>
            <c:numRef>
              <c:f>Sheet1!$A$2:$A$33</c:f>
              <c:numCache>
                <c:formatCode>General</c:formatCode>
                <c:ptCount val="32"/>
                <c:pt idx="0">
                  <c:v>0.0</c:v>
                </c:pt>
                <c:pt idx="1">
                  <c:v>0.0</c:v>
                </c:pt>
                <c:pt idx="2">
                  <c:v>0.35</c:v>
                </c:pt>
                <c:pt idx="3">
                  <c:v>0.35</c:v>
                </c:pt>
                <c:pt idx="4">
                  <c:v>0.71</c:v>
                </c:pt>
                <c:pt idx="5">
                  <c:v>0.71</c:v>
                </c:pt>
                <c:pt idx="6">
                  <c:v>1.77</c:v>
                </c:pt>
                <c:pt idx="7">
                  <c:v>1.77</c:v>
                </c:pt>
                <c:pt idx="8">
                  <c:v>3.9</c:v>
                </c:pt>
                <c:pt idx="9">
                  <c:v>3.9</c:v>
                </c:pt>
                <c:pt idx="10">
                  <c:v>5.67</c:v>
                </c:pt>
                <c:pt idx="11">
                  <c:v>5.67</c:v>
                </c:pt>
                <c:pt idx="12">
                  <c:v>7.8</c:v>
                </c:pt>
                <c:pt idx="13">
                  <c:v>7.8</c:v>
                </c:pt>
                <c:pt idx="14">
                  <c:v>8.16</c:v>
                </c:pt>
                <c:pt idx="15">
                  <c:v>8.16</c:v>
                </c:pt>
                <c:pt idx="16">
                  <c:v>16.67</c:v>
                </c:pt>
                <c:pt idx="17">
                  <c:v>16.67</c:v>
                </c:pt>
                <c:pt idx="18">
                  <c:v>21.28</c:v>
                </c:pt>
                <c:pt idx="19">
                  <c:v>21.28</c:v>
                </c:pt>
                <c:pt idx="20">
                  <c:v>24.11</c:v>
                </c:pt>
                <c:pt idx="21">
                  <c:v>24.11</c:v>
                </c:pt>
                <c:pt idx="22">
                  <c:v>52.13</c:v>
                </c:pt>
                <c:pt idx="23">
                  <c:v>52.13</c:v>
                </c:pt>
                <c:pt idx="24">
                  <c:v>63.48</c:v>
                </c:pt>
                <c:pt idx="25">
                  <c:v>63.48</c:v>
                </c:pt>
                <c:pt idx="26">
                  <c:v>69.15</c:v>
                </c:pt>
                <c:pt idx="27">
                  <c:v>69.15</c:v>
                </c:pt>
                <c:pt idx="28">
                  <c:v>72.34</c:v>
                </c:pt>
                <c:pt idx="29">
                  <c:v>72.34</c:v>
                </c:pt>
                <c:pt idx="30">
                  <c:v>100.0</c:v>
                </c:pt>
                <c:pt idx="31">
                  <c:v>100.0</c:v>
                </c:pt>
              </c:numCache>
            </c:numRef>
          </c:xVal>
          <c:yVal>
            <c:numRef>
              <c:f>Sheet1!$B$2:$B$33</c:f>
              <c:numCache>
                <c:formatCode>General</c:formatCode>
                <c:ptCount val="32"/>
                <c:pt idx="0">
                  <c:v>0.0</c:v>
                </c:pt>
                <c:pt idx="1">
                  <c:v>7.69</c:v>
                </c:pt>
                <c:pt idx="2">
                  <c:v>7.69</c:v>
                </c:pt>
                <c:pt idx="3">
                  <c:v>38.46</c:v>
                </c:pt>
                <c:pt idx="4">
                  <c:v>38.46</c:v>
                </c:pt>
                <c:pt idx="5">
                  <c:v>46.15</c:v>
                </c:pt>
                <c:pt idx="6">
                  <c:v>46.15</c:v>
                </c:pt>
                <c:pt idx="7">
                  <c:v>57.69</c:v>
                </c:pt>
                <c:pt idx="8">
                  <c:v>57.69</c:v>
                </c:pt>
                <c:pt idx="9">
                  <c:v>61.54</c:v>
                </c:pt>
                <c:pt idx="10">
                  <c:v>61.54</c:v>
                </c:pt>
                <c:pt idx="11">
                  <c:v>65.38</c:v>
                </c:pt>
                <c:pt idx="12">
                  <c:v>65.38</c:v>
                </c:pt>
                <c:pt idx="13">
                  <c:v>69.23</c:v>
                </c:pt>
                <c:pt idx="14">
                  <c:v>69.23</c:v>
                </c:pt>
                <c:pt idx="15">
                  <c:v>73.08</c:v>
                </c:pt>
                <c:pt idx="16">
                  <c:v>73.08</c:v>
                </c:pt>
                <c:pt idx="17">
                  <c:v>76.92</c:v>
                </c:pt>
                <c:pt idx="18">
                  <c:v>76.92</c:v>
                </c:pt>
                <c:pt idx="19">
                  <c:v>80.77</c:v>
                </c:pt>
                <c:pt idx="20">
                  <c:v>80.77</c:v>
                </c:pt>
                <c:pt idx="21">
                  <c:v>84.62</c:v>
                </c:pt>
                <c:pt idx="22">
                  <c:v>84.62</c:v>
                </c:pt>
                <c:pt idx="23">
                  <c:v>88.46</c:v>
                </c:pt>
                <c:pt idx="24">
                  <c:v>88.46</c:v>
                </c:pt>
                <c:pt idx="25">
                  <c:v>92.31</c:v>
                </c:pt>
                <c:pt idx="26">
                  <c:v>92.31</c:v>
                </c:pt>
                <c:pt idx="27">
                  <c:v>96.15</c:v>
                </c:pt>
                <c:pt idx="28">
                  <c:v>96.15</c:v>
                </c:pt>
                <c:pt idx="29">
                  <c:v>100.0</c:v>
                </c:pt>
                <c:pt idx="30">
                  <c:v>100.0</c:v>
                </c:pt>
                <c:pt idx="31">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Sheet1!$C$2:$C$33</c:f>
              <c:numCache>
                <c:formatCode>General</c:formatCode>
                <c:ptCount val="32"/>
                <c:pt idx="0">
                  <c:v>0.0</c:v>
                </c:pt>
                <c:pt idx="1">
                  <c:v>0.0</c:v>
                </c:pt>
                <c:pt idx="2">
                  <c:v>0.35</c:v>
                </c:pt>
                <c:pt idx="3">
                  <c:v>0.35</c:v>
                </c:pt>
                <c:pt idx="4">
                  <c:v>2.13</c:v>
                </c:pt>
                <c:pt idx="5">
                  <c:v>2.13</c:v>
                </c:pt>
                <c:pt idx="6">
                  <c:v>2.84</c:v>
                </c:pt>
                <c:pt idx="7">
                  <c:v>2.84</c:v>
                </c:pt>
                <c:pt idx="8">
                  <c:v>4.26</c:v>
                </c:pt>
                <c:pt idx="9">
                  <c:v>4.26</c:v>
                </c:pt>
                <c:pt idx="10">
                  <c:v>6.03</c:v>
                </c:pt>
                <c:pt idx="11">
                  <c:v>6.03</c:v>
                </c:pt>
                <c:pt idx="12">
                  <c:v>6.74</c:v>
                </c:pt>
                <c:pt idx="13">
                  <c:v>6.74</c:v>
                </c:pt>
                <c:pt idx="14">
                  <c:v>12.06</c:v>
                </c:pt>
                <c:pt idx="15">
                  <c:v>12.06</c:v>
                </c:pt>
                <c:pt idx="16">
                  <c:v>13.83</c:v>
                </c:pt>
                <c:pt idx="17">
                  <c:v>13.83</c:v>
                </c:pt>
                <c:pt idx="18">
                  <c:v>17.38</c:v>
                </c:pt>
                <c:pt idx="19">
                  <c:v>17.38</c:v>
                </c:pt>
                <c:pt idx="20">
                  <c:v>17.73</c:v>
                </c:pt>
                <c:pt idx="21">
                  <c:v>17.73</c:v>
                </c:pt>
                <c:pt idx="22">
                  <c:v>21.63</c:v>
                </c:pt>
                <c:pt idx="23">
                  <c:v>21.63</c:v>
                </c:pt>
                <c:pt idx="24">
                  <c:v>64.89</c:v>
                </c:pt>
                <c:pt idx="25">
                  <c:v>64.89</c:v>
                </c:pt>
                <c:pt idx="26">
                  <c:v>73.4</c:v>
                </c:pt>
                <c:pt idx="27">
                  <c:v>73.4</c:v>
                </c:pt>
                <c:pt idx="28">
                  <c:v>82.27</c:v>
                </c:pt>
                <c:pt idx="29">
                  <c:v>82.27</c:v>
                </c:pt>
                <c:pt idx="30">
                  <c:v>100.0</c:v>
                </c:pt>
                <c:pt idx="31">
                  <c:v>100.0</c:v>
                </c:pt>
              </c:numCache>
            </c:numRef>
          </c:xVal>
          <c:yVal>
            <c:numRef>
              <c:f>Sheet1!$D$2:$D$33</c:f>
              <c:numCache>
                <c:formatCode>General</c:formatCode>
                <c:ptCount val="32"/>
                <c:pt idx="0">
                  <c:v>0.0</c:v>
                </c:pt>
                <c:pt idx="1">
                  <c:v>7.69</c:v>
                </c:pt>
                <c:pt idx="2">
                  <c:v>7.69</c:v>
                </c:pt>
                <c:pt idx="3">
                  <c:v>34.62</c:v>
                </c:pt>
                <c:pt idx="4">
                  <c:v>34.62</c:v>
                </c:pt>
                <c:pt idx="5">
                  <c:v>38.46</c:v>
                </c:pt>
                <c:pt idx="6">
                  <c:v>38.46</c:v>
                </c:pt>
                <c:pt idx="7">
                  <c:v>42.31</c:v>
                </c:pt>
                <c:pt idx="8">
                  <c:v>42.31</c:v>
                </c:pt>
                <c:pt idx="9">
                  <c:v>50.0</c:v>
                </c:pt>
                <c:pt idx="10">
                  <c:v>50.0</c:v>
                </c:pt>
                <c:pt idx="11">
                  <c:v>61.54</c:v>
                </c:pt>
                <c:pt idx="12">
                  <c:v>61.54</c:v>
                </c:pt>
                <c:pt idx="13">
                  <c:v>65.38</c:v>
                </c:pt>
                <c:pt idx="14">
                  <c:v>65.38</c:v>
                </c:pt>
                <c:pt idx="15">
                  <c:v>69.23</c:v>
                </c:pt>
                <c:pt idx="16">
                  <c:v>69.23</c:v>
                </c:pt>
                <c:pt idx="17">
                  <c:v>76.92</c:v>
                </c:pt>
                <c:pt idx="18">
                  <c:v>76.92</c:v>
                </c:pt>
                <c:pt idx="19">
                  <c:v>80.77</c:v>
                </c:pt>
                <c:pt idx="20">
                  <c:v>80.77</c:v>
                </c:pt>
                <c:pt idx="21">
                  <c:v>84.62</c:v>
                </c:pt>
                <c:pt idx="22">
                  <c:v>84.62</c:v>
                </c:pt>
                <c:pt idx="23">
                  <c:v>88.46</c:v>
                </c:pt>
                <c:pt idx="24">
                  <c:v>88.46</c:v>
                </c:pt>
                <c:pt idx="25">
                  <c:v>92.31</c:v>
                </c:pt>
                <c:pt idx="26">
                  <c:v>92.31</c:v>
                </c:pt>
                <c:pt idx="27">
                  <c:v>96.15</c:v>
                </c:pt>
                <c:pt idx="28">
                  <c:v>96.15</c:v>
                </c:pt>
                <c:pt idx="29">
                  <c:v>100.0</c:v>
                </c:pt>
                <c:pt idx="30">
                  <c:v>100.0</c:v>
                </c:pt>
                <c:pt idx="31">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Sheet1!$E$2:$E$33</c:f>
              <c:numCache>
                <c:formatCode>General</c:formatCode>
                <c:ptCount val="32"/>
                <c:pt idx="0">
                  <c:v>0.0</c:v>
                </c:pt>
                <c:pt idx="1">
                  <c:v>6.63</c:v>
                </c:pt>
                <c:pt idx="2">
                  <c:v>6.63</c:v>
                </c:pt>
                <c:pt idx="3">
                  <c:v>7.14</c:v>
                </c:pt>
                <c:pt idx="4">
                  <c:v>7.14</c:v>
                </c:pt>
                <c:pt idx="5">
                  <c:v>21.94</c:v>
                </c:pt>
                <c:pt idx="6">
                  <c:v>21.94</c:v>
                </c:pt>
                <c:pt idx="7">
                  <c:v>22.45</c:v>
                </c:pt>
                <c:pt idx="8">
                  <c:v>22.45</c:v>
                </c:pt>
                <c:pt idx="9">
                  <c:v>23.98</c:v>
                </c:pt>
                <c:pt idx="10">
                  <c:v>23.98</c:v>
                </c:pt>
                <c:pt idx="11">
                  <c:v>28.57</c:v>
                </c:pt>
                <c:pt idx="12">
                  <c:v>28.57</c:v>
                </c:pt>
                <c:pt idx="13">
                  <c:v>29.59</c:v>
                </c:pt>
                <c:pt idx="14">
                  <c:v>29.59</c:v>
                </c:pt>
                <c:pt idx="15">
                  <c:v>31.12</c:v>
                </c:pt>
                <c:pt idx="16">
                  <c:v>31.12</c:v>
                </c:pt>
                <c:pt idx="17">
                  <c:v>88.27</c:v>
                </c:pt>
                <c:pt idx="18">
                  <c:v>88.27</c:v>
                </c:pt>
                <c:pt idx="19">
                  <c:v>88.78</c:v>
                </c:pt>
                <c:pt idx="20">
                  <c:v>88.78</c:v>
                </c:pt>
                <c:pt idx="21">
                  <c:v>89.8</c:v>
                </c:pt>
                <c:pt idx="22">
                  <c:v>89.8</c:v>
                </c:pt>
                <c:pt idx="23">
                  <c:v>90.31</c:v>
                </c:pt>
                <c:pt idx="24">
                  <c:v>90.31</c:v>
                </c:pt>
                <c:pt idx="25">
                  <c:v>91.33</c:v>
                </c:pt>
                <c:pt idx="26">
                  <c:v>91.33</c:v>
                </c:pt>
                <c:pt idx="27">
                  <c:v>98.47</c:v>
                </c:pt>
                <c:pt idx="28">
                  <c:v>98.47</c:v>
                </c:pt>
                <c:pt idx="29">
                  <c:v>99.49</c:v>
                </c:pt>
                <c:pt idx="30">
                  <c:v>99.49</c:v>
                </c:pt>
                <c:pt idx="31">
                  <c:v>100.0</c:v>
                </c:pt>
              </c:numCache>
            </c:numRef>
          </c:xVal>
          <c:yVal>
            <c:numRef>
              <c:f>Sheet1!$F$2:$F$33</c:f>
              <c:numCache>
                <c:formatCode>General</c:formatCode>
                <c:ptCount val="32"/>
                <c:pt idx="0">
                  <c:v>0.0</c:v>
                </c:pt>
                <c:pt idx="1">
                  <c:v>0.0</c:v>
                </c:pt>
                <c:pt idx="2">
                  <c:v>5.56</c:v>
                </c:pt>
                <c:pt idx="3">
                  <c:v>5.56</c:v>
                </c:pt>
                <c:pt idx="4">
                  <c:v>11.11</c:v>
                </c:pt>
                <c:pt idx="5">
                  <c:v>11.11</c:v>
                </c:pt>
                <c:pt idx="6">
                  <c:v>16.67</c:v>
                </c:pt>
                <c:pt idx="7">
                  <c:v>16.67</c:v>
                </c:pt>
                <c:pt idx="8">
                  <c:v>22.22</c:v>
                </c:pt>
                <c:pt idx="9">
                  <c:v>22.22</c:v>
                </c:pt>
                <c:pt idx="10">
                  <c:v>27.78</c:v>
                </c:pt>
                <c:pt idx="11">
                  <c:v>27.78</c:v>
                </c:pt>
                <c:pt idx="12">
                  <c:v>38.89</c:v>
                </c:pt>
                <c:pt idx="13">
                  <c:v>38.89</c:v>
                </c:pt>
                <c:pt idx="14">
                  <c:v>44.44</c:v>
                </c:pt>
                <c:pt idx="15">
                  <c:v>44.44</c:v>
                </c:pt>
                <c:pt idx="16">
                  <c:v>50.0</c:v>
                </c:pt>
                <c:pt idx="17">
                  <c:v>50.0</c:v>
                </c:pt>
                <c:pt idx="18">
                  <c:v>55.56</c:v>
                </c:pt>
                <c:pt idx="19">
                  <c:v>55.56</c:v>
                </c:pt>
                <c:pt idx="20">
                  <c:v>61.11</c:v>
                </c:pt>
                <c:pt idx="21">
                  <c:v>61.11</c:v>
                </c:pt>
                <c:pt idx="22">
                  <c:v>66.67</c:v>
                </c:pt>
                <c:pt idx="23">
                  <c:v>66.67</c:v>
                </c:pt>
                <c:pt idx="24">
                  <c:v>72.22</c:v>
                </c:pt>
                <c:pt idx="25">
                  <c:v>72.22</c:v>
                </c:pt>
                <c:pt idx="26">
                  <c:v>77.78</c:v>
                </c:pt>
                <c:pt idx="27">
                  <c:v>77.78</c:v>
                </c:pt>
                <c:pt idx="28">
                  <c:v>83.33</c:v>
                </c:pt>
                <c:pt idx="29">
                  <c:v>83.33</c:v>
                </c:pt>
                <c:pt idx="30">
                  <c:v>100.0</c:v>
                </c:pt>
                <c:pt idx="31">
                  <c:v>100.0</c:v>
                </c:pt>
              </c:numCache>
            </c:numRef>
          </c:yVal>
          <c:smooth val="0"/>
        </c:ser>
        <c:ser>
          <c:idx val="3"/>
          <c:order val="3"/>
          <c:tx>
            <c:strRef>
              <c:f>Sheet1!$H$1</c:f>
              <c:strCache>
                <c:ptCount val="1"/>
                <c:pt idx="0">
                  <c:v>Tasodifiy bashorat</c:v>
                </c:pt>
              </c:strCache>
            </c:strRef>
          </c:tx>
          <c:spPr>
            <a:ln w="9525">
              <a:solidFill>
                <a:srgbClr val="808080"/>
              </a:solidFill>
              <a:prstDash val="sysDash"/>
            </a:ln>
          </c:spPr>
          <c:marker>
            <c:symbol val="none"/>
          </c:marker>
          <c:xVal>
            <c:numRef>
              <c:f>Sheet1!$G$2:$G$33</c:f>
              <c:numCache>
                <c:formatCode>General</c:formatCode>
                <c:ptCount val="32"/>
                <c:pt idx="0">
                  <c:v>0</c:v>
                </c:pt>
                <c:pt idx="1">
                  <c:v>100</c:v>
                </c:pt>
                <c:pt idx="2">
                  <c:v>100</c:v>
                </c:pt>
                <c:pt idx="3">
                  <c:v>100</c:v>
                </c:pt>
                <c:pt idx="4">
                  <c:v>100</c:v>
                </c:pt>
                <c:pt idx="5">
                  <c:v>100</c:v>
                </c:pt>
                <c:pt idx="6">
                  <c:v>100</c:v>
                </c:pt>
                <c:pt idx="7">
                  <c:v>100</c:v>
                </c:pt>
                <c:pt idx="8">
                  <c:v>100</c:v>
                </c:pt>
                <c:pt idx="9">
                  <c:v>100</c:v>
                </c:pt>
                <c:pt idx="10">
                  <c:v>100</c:v>
                </c:pt>
                <c:pt idx="11">
                  <c:v>100</c:v>
                </c:pt>
                <c:pt idx="12">
                  <c:v>100</c:v>
                </c:pt>
                <c:pt idx="13">
                  <c:v>100</c:v>
                </c:pt>
                <c:pt idx="14">
                  <c:v>100</c:v>
                </c:pt>
                <c:pt idx="15">
                  <c:v>100</c:v>
                </c:pt>
                <c:pt idx="16">
                  <c:v>100</c:v>
                </c:pt>
                <c:pt idx="17">
                  <c:v>100</c:v>
                </c:pt>
                <c:pt idx="18">
                  <c:v>100</c:v>
                </c:pt>
                <c:pt idx="19">
                  <c:v>100</c:v>
                </c:pt>
                <c:pt idx="20">
                  <c:v>100</c:v>
                </c:pt>
                <c:pt idx="21">
                  <c:v>100</c:v>
                </c:pt>
                <c:pt idx="22">
                  <c:v>100</c:v>
                </c:pt>
                <c:pt idx="23">
                  <c:v>100</c:v>
                </c:pt>
                <c:pt idx="24">
                  <c:v>100</c:v>
                </c:pt>
                <c:pt idx="25">
                  <c:v>100</c:v>
                </c:pt>
                <c:pt idx="26">
                  <c:v>100</c:v>
                </c:pt>
                <c:pt idx="27">
                  <c:v>100</c:v>
                </c:pt>
                <c:pt idx="28">
                  <c:v>100</c:v>
                </c:pt>
                <c:pt idx="29">
                  <c:v>100</c:v>
                </c:pt>
                <c:pt idx="30">
                  <c:v>100</c:v>
                </c:pt>
                <c:pt idx="31">
                  <c:v>100</c:v>
                </c:pt>
              </c:numCache>
            </c:numRef>
          </c:xVal>
          <c:yVal>
            <c:numRef>
              <c:f>Sheet1!$H$2:$H$33</c:f>
              <c:numCache>
                <c:formatCode>General</c:formatCode>
                <c:ptCount val="32"/>
                <c:pt idx="0">
                  <c:v>0</c:v>
                </c:pt>
                <c:pt idx="1">
                  <c:v>100</c:v>
                </c:pt>
                <c:pt idx="2">
                  <c:v>100</c:v>
                </c:pt>
                <c:pt idx="3">
                  <c:v>100</c:v>
                </c:pt>
                <c:pt idx="4">
                  <c:v>100</c:v>
                </c:pt>
                <c:pt idx="5">
                  <c:v>100</c:v>
                </c:pt>
                <c:pt idx="6">
                  <c:v>100</c:v>
                </c:pt>
                <c:pt idx="7">
                  <c:v>100</c:v>
                </c:pt>
                <c:pt idx="8">
                  <c:v>100</c:v>
                </c:pt>
                <c:pt idx="9">
                  <c:v>100</c:v>
                </c:pt>
                <c:pt idx="10">
                  <c:v>100</c:v>
                </c:pt>
                <c:pt idx="11">
                  <c:v>100</c:v>
                </c:pt>
                <c:pt idx="12">
                  <c:v>100</c:v>
                </c:pt>
                <c:pt idx="13">
                  <c:v>100</c:v>
                </c:pt>
                <c:pt idx="14">
                  <c:v>100</c:v>
                </c:pt>
                <c:pt idx="15">
                  <c:v>100</c:v>
                </c:pt>
                <c:pt idx="16">
                  <c:v>100</c:v>
                </c:pt>
                <c:pt idx="17">
                  <c:v>100</c:v>
                </c:pt>
                <c:pt idx="18">
                  <c:v>100</c:v>
                </c:pt>
                <c:pt idx="19">
                  <c:v>100</c:v>
                </c:pt>
                <c:pt idx="20">
                  <c:v>100</c:v>
                </c:pt>
                <c:pt idx="21">
                  <c:v>100</c:v>
                </c:pt>
                <c:pt idx="22">
                  <c:v>100</c:v>
                </c:pt>
                <c:pt idx="23">
                  <c:v>100</c:v>
                </c:pt>
                <c:pt idx="24">
                  <c:v>100</c:v>
                </c:pt>
                <c:pt idx="25">
                  <c:v>100</c:v>
                </c:pt>
                <c:pt idx="26">
                  <c:v>100</c:v>
                </c:pt>
                <c:pt idx="27">
                  <c:v>100</c:v>
                </c:pt>
                <c:pt idx="28">
                  <c:v>100</c:v>
                </c:pt>
                <c:pt idx="29">
                  <c:v>100</c:v>
                </c:pt>
                <c:pt idx="30">
                  <c:v>100</c:v>
                </c:pt>
                <c:pt idx="31">
                  <c:v>100</c:v>
                </c:pt>
              </c:numCache>
            </c:numRef>
          </c:yVal>
          <c:smooth val="0"/>
        </c:ser>
        <c:ser>
          <c:idx val="4"/>
          <c:order val="4"/>
          <c:tx>
            <c:strRef>
              <c:f>Sheet1!$J$1</c:f>
              <c:strCache>
                <c:ptCount val="1"/>
                <c:pt idx="0">
                  <c:v>MBII-8 = 3,25 (monitoring)</c:v>
                </c:pt>
              </c:strCache>
            </c:strRef>
          </c:tx>
          <c:spPr>
            <a:ln>
              <a:noFill/>
            </a:ln>
          </c:spPr>
          <c:marker>
            <c:symbol val="square"/>
            <c:size val="9"/>
            <c:spPr>
              <a:solidFill>
                <a:srgbClr val="7030A0"/>
              </a:solidFill>
              <a:ln w="9525">
                <a:solidFill>
                  <a:srgbClr val="FFFFFF"/>
                </a:solidFill>
              </a:ln>
            </c:spPr>
          </c:marker>
          <c:xVal>
            <c:numRef>
              <c:f>Sheet1!$I$2:$I$2</c:f>
              <c:numCache>
                <c:formatCode>General</c:formatCode>
                <c:ptCount val="1"/>
                <c:pt idx="0">
                  <c:v>30.5</c:v>
                </c:pt>
              </c:numCache>
            </c:numRef>
          </c:xVal>
          <c:yVal>
            <c:numRef>
              <c:f>Sheet1!$J$2:$J$2</c:f>
              <c:numCache>
                <c:formatCode>General</c:formatCode>
                <c:ptCount val="1"/>
                <c:pt idx="0">
                  <c:v>84.62</c:v>
                </c:pt>
              </c:numCache>
            </c:numRef>
          </c:yVal>
          <c:smooth val="0"/>
        </c:ser>
        <c:ser>
          <c:idx val="5"/>
          <c:order val="5"/>
          <c:tx>
            <c:strRef>
              <c:f>Sheet1!$L$1</c:f>
              <c:strCache>
                <c:ptCount val="1"/>
                <c:pt idx="0">
                  <c:v>MBII-8 = 2,85 (optimal)</c:v>
                </c:pt>
              </c:strCache>
            </c:strRef>
          </c:tx>
          <c:spPr>
            <a:ln>
              <a:noFill/>
            </a:ln>
          </c:spPr>
          <c:marker>
            <c:symbol val="triangle"/>
            <c:size val="9"/>
            <c:spPr>
              <a:solidFill>
                <a:srgbClr val="000000"/>
              </a:solidFill>
              <a:ln w="9525">
                <a:solidFill>
                  <a:srgbClr val="FFFFFF"/>
                </a:solidFill>
              </a:ln>
            </c:spPr>
          </c:marker>
          <c:xVal>
            <c:numRef>
              <c:f>Sheet1!$K$2:$K$2</c:f>
              <c:numCache>
                <c:formatCode>General</c:formatCode>
                <c:ptCount val="1"/>
                <c:pt idx="0">
                  <c:v>8.16</c:v>
                </c:pt>
              </c:numCache>
            </c:numRef>
          </c:xVal>
          <c:yVal>
            <c:numRef>
              <c:f>Sheet1!$L$2:$L$2</c:f>
              <c:numCache>
                <c:formatCode>General</c:formatCode>
                <c:ptCount val="1"/>
                <c:pt idx="0">
                  <c:v>69.23</c:v>
                </c:pt>
              </c:numCache>
            </c:numRef>
          </c:yVal>
          <c:smooth val="0"/>
        </c:ser>
        <c:ser>
          <c:idx val="6"/>
          <c:order val="6"/>
          <c:tx>
            <c:strRef>
              <c:f>Sheet1!$N$1</c:f>
              <c:strCache>
                <c:ptCount val="1"/>
                <c:pt idx="0">
                  <c:v>MBII-8 = 2,75 (nazorat choralari)</c:v>
                </c:pt>
              </c:strCache>
            </c:strRef>
          </c:tx>
          <c:spPr>
            <a:ln>
              <a:noFill/>
            </a:ln>
          </c:spPr>
          <c:marker>
            <c:symbol val="diamond"/>
            <c:size val="9"/>
            <c:spPr>
              <a:solidFill>
                <a:srgbClr val="C00000"/>
              </a:solidFill>
              <a:ln w="9525">
                <a:solidFill>
                  <a:srgbClr val="FFFFFF"/>
                </a:solidFill>
              </a:ln>
            </c:spPr>
          </c:marker>
          <c:xVal>
            <c:numRef>
              <c:f>Sheet1!$M$2:$M$2</c:f>
              <c:numCache>
                <c:formatCode>General</c:formatCode>
                <c:ptCount val="1"/>
                <c:pt idx="0">
                  <c:v>6.03</c:v>
                </c:pt>
              </c:numCache>
            </c:numRef>
          </c:xVal>
          <c:yVal>
            <c:numRef>
              <c:f>Sheet1!$N$2:$N$2</c:f>
              <c:numCache>
                <c:formatCode>General</c:formatCode>
                <c:ptCount val="1"/>
                <c:pt idx="0">
                  <c:v>65.38</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r"/>
      <c:layout>
        <c:manualLayout>
          <c:xMode val="edge"/>
          <c:yMode val="edge"/>
          <c:x val="0.5"/>
          <c:y val="0.465"/>
          <c:w val="0.475"/>
          <c:h val="0.37"/>
        </c:manualLayout>
      </c:layout>
      <c:overlay val="1"/>
      <c:spPr>
        <a:solidFill>
          <a:srgbClr val="FFFFFF"/>
        </a:solidFill>
        <a:ln w="6350">
          <a:solidFill>
            <a:srgbClr val="BFBFBF"/>
          </a:solidFill>
        </a:ln>
      </c:spPr>
      <c:txPr>
        <a:bodyPr/>
        <a:lstStyle/>
        <a:p>
          <a:pPr>
            <a:defRPr sz="100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48.8</c:v>
                </c:pt>
                <c:pt idx="6">
                  <c:v>39.3</c:v>
                </c:pt>
                <c:pt idx="7">
                  <c:v>30.5</c:v>
                </c:pt>
                <c:pt idx="8">
                  <c:v>23.0</c:v>
                </c:pt>
                <c:pt idx="9">
                  <c:v>16.9</c:v>
                </c:pt>
                <c:pt idx="10">
                  <c:v>12.1</c:v>
                </c:pt>
                <c:pt idx="11">
                  <c:v>8.6</c:v>
                </c:pt>
                <c:pt idx="12">
                  <c:v>6.0</c:v>
                </c:pt>
                <c:pt idx="13">
                  <c:v>4.2</c:v>
                </c:pt>
                <c:pt idx="14">
                  <c:v>2.9</c:v>
                </c:pt>
                <c:pt idx="15">
                  <c:v>2.0</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5"/>
            <c:spPr>
              <a:solidFill>
                <a:srgbClr val="000000"/>
              </a:solidFill>
              <a:ln>
                <a:noFill/>
              </a:ln>
            </c:spPr>
          </c:marker>
          <c:dLbls>
            <c:dLbl>
              <c:idx val="0"/>
              <c:delete val="1"/>
            </c:dLbl>
            <c:dLbl>
              <c:idx val="1"/>
              <c:delete val="1"/>
            </c:dLbl>
            <c:dLbl>
              <c:idx val="2"/>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dLbl>
            <c:dLbl>
              <c:idx val="3"/>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l"/>
              <c:showLegendKey val="0"/>
              <c:showVal val="1"/>
              <c:showCatName val="0"/>
              <c:showSerName val="0"/>
              <c:showPercent val="0"/>
              <c:showBubbleSize val="0"/>
            </c:dLbl>
            <c:dLbl>
              <c:idx val="4"/>
              <c:delete val="1"/>
            </c:dLbl>
            <c:dLbl>
              <c:idx val="5"/>
              <c:delete val="1"/>
            </c:dLbl>
            <c:dLbl>
              <c:idx val="6"/>
              <c:delete val="1"/>
            </c:dLbl>
            <c:dLbl>
              <c:idx val="7"/>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l"/>
              <c:showLegendKey val="0"/>
              <c:showVal val="1"/>
              <c:showCatName val="0"/>
              <c:showSerName val="0"/>
              <c:showPercent val="0"/>
              <c:showBubbleSize val="0"/>
            </c:dLbl>
            <c:dLbl>
              <c:idx val="8"/>
              <c:delete val="1"/>
            </c:dLbl>
            <c:dLbl>
              <c:idx val="9"/>
              <c:delete val="1"/>
            </c:dLbl>
            <c:dLbl>
              <c:idx val="10"/>
              <c:delete val="1"/>
            </c:dLbl>
            <c:dLbl>
              <c:idx val="11"/>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12"/>
              <c:delete val="1"/>
            </c:dLbl>
            <c:dLbl>
              <c:idx val="13"/>
              <c:delete val="1"/>
            </c:dLbl>
            <c:dLbl>
              <c:idx val="14"/>
              <c:delete val="1"/>
            </c:dLbl>
            <c:dLbl>
              <c:idx val="15"/>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16"/>
              <c:delete val="1"/>
            </c:dLbl>
            <c:dLbl>
              <c:idx val="17"/>
              <c:delete val="1"/>
            </c:dLbl>
            <c:dLbl>
              <c:idx val="18"/>
              <c:delete val="1"/>
            </c:dLbl>
            <c:dLbl>
              <c:idx val="19"/>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6"/>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 (MBII-8)</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 (MBII-13)</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 (MBII-8)</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 (MBII-13)</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2021-yil</c:v>
                </c:pt>
              </c:strCache>
            </c:strRef>
          </c:tx>
          <c:spPr>
            <a:ln>
              <a:noFill/>
            </a:ln>
          </c:spPr>
          <c:marker>
            <c:symbol val="circle"/>
            <c:size val="8"/>
            <c:spPr>
              <a:solidFill>
                <a:srgbClr val="C00000"/>
              </a:solidFill>
              <a:ln>
                <a:noFill/>
              </a:ln>
            </c:spPr>
          </c:marker>
          <c:xVal>
            <c:numRef>
              <c:f>Sheet1!$A$2:$A$5</c:f>
              <c:numCache>
                <c:formatCode>General</c:formatCode>
                <c:ptCount val="4"/>
                <c:pt idx="0">
                  <c:v>4.9</c:v>
                </c:pt>
                <c:pt idx="1">
                  <c:v>0.8</c:v>
                </c:pt>
                <c:pt idx="2">
                  <c:v>0.0</c:v>
                </c:pt>
                <c:pt idx="3">
                  <c:v>1.6</c:v>
                </c:pt>
              </c:numCache>
            </c:numRef>
          </c:xVal>
          <c:yVal>
            <c:numRef>
              <c:f>Sheet1!$B$2:$B$5</c:f>
              <c:numCache>
                <c:formatCode>General</c:formatCode>
                <c:ptCount val="4"/>
                <c:pt idx="0">
                  <c:v>3.54</c:v>
                </c:pt>
                <c:pt idx="1">
                  <c:v>5.51</c:v>
                </c:pt>
                <c:pt idx="2">
                  <c:v>5.74</c:v>
                </c:pt>
                <c:pt idx="3">
                  <c:v>5.2</c:v>
                </c:pt>
              </c:numCache>
            </c:numRef>
          </c:yVal>
          <c:smooth val="0"/>
        </c:ser>
        <c:ser>
          <c:idx val="1"/>
          <c:order val="1"/>
          <c:tx>
            <c:strRef>
              <c:f>Sheet1!$D$1</c:f>
              <c:strCache>
                <c:ptCount val="1"/>
                <c:pt idx="0">
                  <c:v>2022-yil</c:v>
                </c:pt>
              </c:strCache>
            </c:strRef>
          </c:tx>
          <c:spPr>
            <a:ln>
              <a:noFill/>
            </a:ln>
          </c:spPr>
          <c:marker>
            <c:symbol val="circle"/>
            <c:size val="8"/>
            <c:spPr>
              <a:solidFill>
                <a:srgbClr val="EB6834"/>
              </a:solidFill>
              <a:ln>
                <a:noFill/>
              </a:ln>
            </c:spPr>
          </c:marker>
          <c:xVal>
            <c:numRef>
              <c:f>Sheet1!$C$2:$C$5</c:f>
              <c:numCache>
                <c:formatCode>General</c:formatCode>
                <c:ptCount val="4"/>
                <c:pt idx="0">
                  <c:v>4.8</c:v>
                </c:pt>
                <c:pt idx="1">
                  <c:v>8.4</c:v>
                </c:pt>
                <c:pt idx="2">
                  <c:v>8.8</c:v>
                </c:pt>
                <c:pt idx="3">
                  <c:v>8.0</c:v>
                </c:pt>
              </c:numCache>
            </c:numRef>
          </c:xVal>
          <c:yVal>
            <c:numRef>
              <c:f>Sheet1!$D$2:$D$5</c:f>
              <c:numCache>
                <c:formatCode>General</c:formatCode>
                <c:ptCount val="4"/>
                <c:pt idx="0">
                  <c:v>4.95</c:v>
                </c:pt>
                <c:pt idx="1">
                  <c:v>4.89</c:v>
                </c:pt>
                <c:pt idx="2">
                  <c:v>4.72</c:v>
                </c:pt>
                <c:pt idx="3">
                  <c:v>3.59</c:v>
                </c:pt>
              </c:numCache>
            </c:numRef>
          </c:yVal>
          <c:smooth val="0"/>
        </c:ser>
        <c:ser>
          <c:idx val="2"/>
          <c:order val="2"/>
          <c:tx>
            <c:strRef>
              <c:f>Sheet1!$F$1</c:f>
              <c:strCache>
                <c:ptCount val="1"/>
                <c:pt idx="0">
                  <c:v>2023-yil</c:v>
                </c:pt>
              </c:strCache>
            </c:strRef>
          </c:tx>
          <c:spPr>
            <a:ln>
              <a:noFill/>
            </a:ln>
          </c:spPr>
          <c:marker>
            <c:symbol val="circle"/>
            <c:size val="8"/>
            <c:spPr>
              <a:solidFill>
                <a:srgbClr val="BF9000"/>
              </a:solidFill>
              <a:ln>
                <a:noFill/>
              </a:ln>
            </c:spPr>
          </c:marker>
          <c:xVal>
            <c:numRef>
              <c:f>Sheet1!$E$2:$E$5</c:f>
              <c:numCache>
                <c:formatCode>General</c:formatCode>
                <c:ptCount val="4"/>
                <c:pt idx="0">
                  <c:v>5.1</c:v>
                </c:pt>
                <c:pt idx="1">
                  <c:v>4.5</c:v>
                </c:pt>
                <c:pt idx="2">
                  <c:v>5.3</c:v>
                </c:pt>
                <c:pt idx="3">
                  <c:v>6.0</c:v>
                </c:pt>
              </c:numCache>
            </c:numRef>
          </c:xVal>
          <c:yVal>
            <c:numRef>
              <c:f>Sheet1!$F$2:$F$5</c:f>
              <c:numCache>
                <c:formatCode>General</c:formatCode>
                <c:ptCount val="4"/>
                <c:pt idx="0">
                  <c:v>3.51</c:v>
                </c:pt>
                <c:pt idx="1">
                  <c:v>3.38</c:v>
                </c:pt>
                <c:pt idx="2">
                  <c:v>3.73</c:v>
                </c:pt>
                <c:pt idx="3">
                  <c:v>3.53</c:v>
                </c:pt>
              </c:numCache>
            </c:numRef>
          </c:yVal>
          <c:smooth val="0"/>
        </c:ser>
        <c:ser>
          <c:idx val="3"/>
          <c:order val="3"/>
          <c:tx>
            <c:strRef>
              <c:f>Sheet1!$H$1</c:f>
              <c:strCache>
                <c:ptCount val="1"/>
                <c:pt idx="0">
                  <c:v>2024-yil</c:v>
                </c:pt>
              </c:strCache>
            </c:strRef>
          </c:tx>
          <c:spPr>
            <a:ln>
              <a:noFill/>
            </a:ln>
          </c:spPr>
          <c:marker>
            <c:symbol val="circle"/>
            <c:size val="8"/>
            <c:spPr>
              <a:solidFill>
                <a:srgbClr val="70AD47"/>
              </a:solidFill>
              <a:ln>
                <a:noFill/>
              </a:ln>
            </c:spPr>
          </c:marker>
          <c:xVal>
            <c:numRef>
              <c:f>Sheet1!$G$2:$G$5</c:f>
              <c:numCache>
                <c:formatCode>General</c:formatCode>
                <c:ptCount val="4"/>
                <c:pt idx="0">
                  <c:v>6.5</c:v>
                </c:pt>
                <c:pt idx="1">
                  <c:v>7.1</c:v>
                </c:pt>
                <c:pt idx="2">
                  <c:v>6.5</c:v>
                </c:pt>
                <c:pt idx="3">
                  <c:v>6.31</c:v>
                </c:pt>
              </c:numCache>
            </c:numRef>
          </c:xVal>
          <c:yVal>
            <c:numRef>
              <c:f>Sheet1!$H$2:$H$5</c:f>
              <c:numCache>
                <c:formatCode>General</c:formatCode>
                <c:ptCount val="4"/>
                <c:pt idx="0">
                  <c:v>4.52</c:v>
                </c:pt>
                <c:pt idx="1">
                  <c:v>4.05</c:v>
                </c:pt>
                <c:pt idx="2">
                  <c:v>4.18</c:v>
                </c:pt>
                <c:pt idx="3">
                  <c:v>3.97</c:v>
                </c:pt>
              </c:numCache>
            </c:numRef>
          </c:yVal>
          <c:smooth val="0"/>
        </c:ser>
        <c:ser>
          <c:idx val="4"/>
          <c:order val="4"/>
          <c:tx>
            <c:strRef>
              <c:f>Sheet1!$J$1</c:f>
              <c:strCache>
                <c:ptCount val="1"/>
                <c:pt idx="0">
                  <c:v>2025-yil</c:v>
                </c:pt>
              </c:strCache>
            </c:strRef>
          </c:tx>
          <c:spPr>
            <a:ln>
              <a:noFill/>
            </a:ln>
          </c:spPr>
          <c:marker>
            <c:symbol val="circle"/>
            <c:size val="8"/>
            <c:spPr>
              <a:solidFill>
                <a:srgbClr val="2A78D6"/>
              </a:solidFill>
              <a:ln>
                <a:noFill/>
              </a:ln>
            </c:spPr>
          </c:marker>
          <c:xVal>
            <c:numRef>
              <c:f>Sheet1!$I$2:$I$5</c:f>
              <c:numCache>
                <c:formatCode>General</c:formatCode>
                <c:ptCount val="4"/>
                <c:pt idx="0">
                  <c:v>6.6</c:v>
                </c:pt>
                <c:pt idx="1">
                  <c:v>6.7</c:v>
                </c:pt>
                <c:pt idx="2">
                  <c:v>6.6</c:v>
                </c:pt>
                <c:pt idx="3">
                  <c:v>6.7</c:v>
                </c:pt>
              </c:numCache>
            </c:numRef>
          </c:xVal>
          <c:yVal>
            <c:numRef>
              <c:f>Sheet1!$J$2:$J$5</c:f>
              <c:numCache>
                <c:formatCode>General</c:formatCode>
                <c:ptCount val="4"/>
                <c:pt idx="0">
                  <c:v>4.26</c:v>
                </c:pt>
                <c:pt idx="1">
                  <c:v>3.8</c:v>
                </c:pt>
                <c:pt idx="2">
                  <c:v>3.65</c:v>
                </c:pt>
                <c:pt idx="3">
                  <c:v>2.99</c:v>
                </c:pt>
              </c:numCache>
            </c:numRef>
          </c:yVal>
          <c:smooth val="0"/>
        </c:ser>
        <c:ser>
          <c:idx val="5"/>
          <c:order val="5"/>
          <c:tx>
            <c:strRef>
              <c:f>Sheet1!$L$1</c:f>
              <c:strCache>
                <c:ptCount val="1"/>
                <c:pt idx="0">
                  <c:v>Regressiya chizig‘i</c:v>
                </c:pt>
              </c:strCache>
            </c:strRef>
          </c:tx>
          <c:spPr>
            <a:ln w="19050">
              <a:solidFill>
                <a:srgbClr val="000000"/>
              </a:solidFill>
            </a:ln>
          </c:spPr>
          <c:marker>
            <c:symbol val="none"/>
          </c:marker>
          <c:xVal>
            <c:numRef>
              <c:f>Sheet1!$K$2:$K$3</c:f>
              <c:numCache>
                <c:formatCode>General</c:formatCode>
                <c:ptCount val="2"/>
                <c:pt idx="0">
                  <c:v>0.0</c:v>
                </c:pt>
                <c:pt idx="1">
                  <c:v>9.0</c:v>
                </c:pt>
              </c:numCache>
            </c:numRef>
          </c:xVal>
          <c:yVal>
            <c:numRef>
              <c:f>Sheet1!$L$2:$L$3</c:f>
              <c:numCache>
                <c:formatCode>General</c:formatCode>
                <c:ptCount val="2"/>
                <c:pt idx="0">
                  <c:v>5.143</c:v>
                </c:pt>
                <c:pt idx="1">
                  <c:v>3.592</c:v>
                </c:pt>
              </c:numCache>
            </c:numRef>
          </c:yVal>
          <c:smooth val="0"/>
        </c:ser>
        <c:axId val="333"/>
        <c:axId val="444"/>
      </c:scatterChart>
      <c:valAx>
        <c:axId val="333"/>
        <c:scaling>
          <c:orientation val="minMax"/>
          <c:max val="1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YaIM real o‘sish sur’ati (4 chorak oldin),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r"/>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Boshqa banklar (246 ta kuzatuv)</c:v>
                </c:pt>
              </c:strCache>
            </c:strRef>
          </c:tx>
          <c:spPr>
            <a:ln>
              <a:noFill/>
            </a:ln>
          </c:spPr>
          <c:marker>
            <c:symbol val="circle"/>
            <c:size val="5"/>
            <c:spPr>
              <a:solidFill>
                <a:srgbClr val="2A78D6"/>
              </a:solidFill>
              <a:ln>
                <a:noFill/>
              </a:ln>
            </c:spPr>
          </c:marker>
          <c:xVal>
            <c:numRef>
              <c:f>Sheet1!$A$2:$A$247</c:f>
              <c:numCache>
                <c:formatCode>General</c:formatCode>
                <c:ptCount val="246"/>
                <c:pt idx="0">
                  <c:v>1.51</c:v>
                </c:pt>
                <c:pt idx="1">
                  <c:v>2.14</c:v>
                </c:pt>
                <c:pt idx="2">
                  <c:v>2.26</c:v>
                </c:pt>
                <c:pt idx="3">
                  <c:v>2.45</c:v>
                </c:pt>
                <c:pt idx="4">
                  <c:v>3.15</c:v>
                </c:pt>
                <c:pt idx="5">
                  <c:v>1.68</c:v>
                </c:pt>
                <c:pt idx="6">
                  <c:v>1.62</c:v>
                </c:pt>
                <c:pt idx="7">
                  <c:v>2.01</c:v>
                </c:pt>
                <c:pt idx="8">
                  <c:v>2.56</c:v>
                </c:pt>
                <c:pt idx="9">
                  <c:v>2.46</c:v>
                </c:pt>
                <c:pt idx="10">
                  <c:v>2.46</c:v>
                </c:pt>
                <c:pt idx="11">
                  <c:v>2.44</c:v>
                </c:pt>
                <c:pt idx="12">
                  <c:v>2.76</c:v>
                </c:pt>
                <c:pt idx="13">
                  <c:v>3.76</c:v>
                </c:pt>
                <c:pt idx="14">
                  <c:v>4.35</c:v>
                </c:pt>
                <c:pt idx="15">
                  <c:v>4.75</c:v>
                </c:pt>
                <c:pt idx="16">
                  <c:v>6.83</c:v>
                </c:pt>
                <c:pt idx="17">
                  <c:v>6.63</c:v>
                </c:pt>
                <c:pt idx="18">
                  <c:v>3.01</c:v>
                </c:pt>
                <c:pt idx="19">
                  <c:v>1.42</c:v>
                </c:pt>
                <c:pt idx="20">
                  <c:v>2.4</c:v>
                </c:pt>
                <c:pt idx="21">
                  <c:v>3.01</c:v>
                </c:pt>
                <c:pt idx="22">
                  <c:v>2.5</c:v>
                </c:pt>
                <c:pt idx="23">
                  <c:v>1.49</c:v>
                </c:pt>
                <c:pt idx="24">
                  <c:v>1.56</c:v>
                </c:pt>
                <c:pt idx="25">
                  <c:v>2.2</c:v>
                </c:pt>
                <c:pt idx="26">
                  <c:v>2.8</c:v>
                </c:pt>
                <c:pt idx="27">
                  <c:v>2.01</c:v>
                </c:pt>
                <c:pt idx="28">
                  <c:v>1.25</c:v>
                </c:pt>
                <c:pt idx="29">
                  <c:v>0.61</c:v>
                </c:pt>
                <c:pt idx="30">
                  <c:v>0.81</c:v>
                </c:pt>
                <c:pt idx="31">
                  <c:v>1.15</c:v>
                </c:pt>
                <c:pt idx="32">
                  <c:v>0.91</c:v>
                </c:pt>
                <c:pt idx="33">
                  <c:v>1.36</c:v>
                </c:pt>
                <c:pt idx="34">
                  <c:v>0.85</c:v>
                </c:pt>
                <c:pt idx="35">
                  <c:v>1.56</c:v>
                </c:pt>
                <c:pt idx="36">
                  <c:v>1.71</c:v>
                </c:pt>
                <c:pt idx="37">
                  <c:v>0.52</c:v>
                </c:pt>
                <c:pt idx="38">
                  <c:v>0.73</c:v>
                </c:pt>
                <c:pt idx="39">
                  <c:v>0.65</c:v>
                </c:pt>
                <c:pt idx="40">
                  <c:v>0.79</c:v>
                </c:pt>
                <c:pt idx="41">
                  <c:v>0.6</c:v>
                </c:pt>
                <c:pt idx="42">
                  <c:v>0.9</c:v>
                </c:pt>
                <c:pt idx="43">
                  <c:v>1.92</c:v>
                </c:pt>
                <c:pt idx="44">
                  <c:v>2.69</c:v>
                </c:pt>
                <c:pt idx="45">
                  <c:v>3.27</c:v>
                </c:pt>
                <c:pt idx="46">
                  <c:v>4.18</c:v>
                </c:pt>
                <c:pt idx="47">
                  <c:v>3.21</c:v>
                </c:pt>
                <c:pt idx="48">
                  <c:v>7.72</c:v>
                </c:pt>
                <c:pt idx="49">
                  <c:v>7.69</c:v>
                </c:pt>
                <c:pt idx="50">
                  <c:v>9.26</c:v>
                </c:pt>
                <c:pt idx="51">
                  <c:v>17.53</c:v>
                </c:pt>
                <c:pt idx="52">
                  <c:v>4.67</c:v>
                </c:pt>
                <c:pt idx="53">
                  <c:v>8.46</c:v>
                </c:pt>
                <c:pt idx="54">
                  <c:v>14.83</c:v>
                </c:pt>
                <c:pt idx="55">
                  <c:v>14.87</c:v>
                </c:pt>
                <c:pt idx="56">
                  <c:v>14.77</c:v>
                </c:pt>
                <c:pt idx="57">
                  <c:v>17.53</c:v>
                </c:pt>
                <c:pt idx="58">
                  <c:v>16.73</c:v>
                </c:pt>
                <c:pt idx="59">
                  <c:v>9.87</c:v>
                </c:pt>
                <c:pt idx="60">
                  <c:v>4.92</c:v>
                </c:pt>
                <c:pt idx="61">
                  <c:v>0.86</c:v>
                </c:pt>
                <c:pt idx="62">
                  <c:v>0.64</c:v>
                </c:pt>
                <c:pt idx="63">
                  <c:v>0.68</c:v>
                </c:pt>
                <c:pt idx="64">
                  <c:v>0.59</c:v>
                </c:pt>
                <c:pt idx="65">
                  <c:v>0.6</c:v>
                </c:pt>
                <c:pt idx="66">
                  <c:v>0.59</c:v>
                </c:pt>
                <c:pt idx="67">
                  <c:v>0.64</c:v>
                </c:pt>
                <c:pt idx="68">
                  <c:v>0.63</c:v>
                </c:pt>
                <c:pt idx="69">
                  <c:v>1.22</c:v>
                </c:pt>
                <c:pt idx="70">
                  <c:v>1.22</c:v>
                </c:pt>
                <c:pt idx="71">
                  <c:v>1.44</c:v>
                </c:pt>
                <c:pt idx="72">
                  <c:v>1.66</c:v>
                </c:pt>
                <c:pt idx="73">
                  <c:v>1.49</c:v>
                </c:pt>
                <c:pt idx="74">
                  <c:v>1.46</c:v>
                </c:pt>
                <c:pt idx="75">
                  <c:v>1.4</c:v>
                </c:pt>
                <c:pt idx="76">
                  <c:v>0.8</c:v>
                </c:pt>
                <c:pt idx="77">
                  <c:v>1.97</c:v>
                </c:pt>
                <c:pt idx="78">
                  <c:v>1.99</c:v>
                </c:pt>
                <c:pt idx="79">
                  <c:v>1.62</c:v>
                </c:pt>
                <c:pt idx="80">
                  <c:v>0.55</c:v>
                </c:pt>
                <c:pt idx="81">
                  <c:v>0.77</c:v>
                </c:pt>
                <c:pt idx="82">
                  <c:v>1.37</c:v>
                </c:pt>
                <c:pt idx="83">
                  <c:v>1.47</c:v>
                </c:pt>
                <c:pt idx="84">
                  <c:v>1.06</c:v>
                </c:pt>
                <c:pt idx="85">
                  <c:v>2.06</c:v>
                </c:pt>
                <c:pt idx="86">
                  <c:v>1.6</c:v>
                </c:pt>
                <c:pt idx="87">
                  <c:v>1.46</c:v>
                </c:pt>
                <c:pt idx="88">
                  <c:v>1.37</c:v>
                </c:pt>
                <c:pt idx="89">
                  <c:v>1.73</c:v>
                </c:pt>
                <c:pt idx="90">
                  <c:v>2.76</c:v>
                </c:pt>
                <c:pt idx="91">
                  <c:v>2.73</c:v>
                </c:pt>
                <c:pt idx="92">
                  <c:v>2.52</c:v>
                </c:pt>
                <c:pt idx="93">
                  <c:v>3.19</c:v>
                </c:pt>
                <c:pt idx="94">
                  <c:v>3.39</c:v>
                </c:pt>
                <c:pt idx="95">
                  <c:v>3.19</c:v>
                </c:pt>
                <c:pt idx="96">
                  <c:v>1.87</c:v>
                </c:pt>
                <c:pt idx="97">
                  <c:v>2.1</c:v>
                </c:pt>
                <c:pt idx="98">
                  <c:v>2.77</c:v>
                </c:pt>
                <c:pt idx="99">
                  <c:v>2.48</c:v>
                </c:pt>
                <c:pt idx="100">
                  <c:v>2.14</c:v>
                </c:pt>
                <c:pt idx="101">
                  <c:v>0.88</c:v>
                </c:pt>
                <c:pt idx="102">
                  <c:v>1.38</c:v>
                </c:pt>
                <c:pt idx="103">
                  <c:v>1.49</c:v>
                </c:pt>
                <c:pt idx="104">
                  <c:v>1.53</c:v>
                </c:pt>
                <c:pt idx="105">
                  <c:v>1.46</c:v>
                </c:pt>
                <c:pt idx="106">
                  <c:v>1.48</c:v>
                </c:pt>
                <c:pt idx="107">
                  <c:v>1.39</c:v>
                </c:pt>
                <c:pt idx="108">
                  <c:v>1.12</c:v>
                </c:pt>
                <c:pt idx="109">
                  <c:v>7.37</c:v>
                </c:pt>
                <c:pt idx="110">
                  <c:v>4.65</c:v>
                </c:pt>
                <c:pt idx="111">
                  <c:v>7.46</c:v>
                </c:pt>
                <c:pt idx="112">
                  <c:v>7.55</c:v>
                </c:pt>
                <c:pt idx="113">
                  <c:v>12.34</c:v>
                </c:pt>
                <c:pt idx="114">
                  <c:v>10.19</c:v>
                </c:pt>
                <c:pt idx="115">
                  <c:v>10.24</c:v>
                </c:pt>
                <c:pt idx="116">
                  <c:v>6.6</c:v>
                </c:pt>
                <c:pt idx="117">
                  <c:v>6.29</c:v>
                </c:pt>
                <c:pt idx="118">
                  <c:v>3.55</c:v>
                </c:pt>
                <c:pt idx="119">
                  <c:v>0.0</c:v>
                </c:pt>
                <c:pt idx="120">
                  <c:v>0.0</c:v>
                </c:pt>
                <c:pt idx="121">
                  <c:v>0.0</c:v>
                </c:pt>
                <c:pt idx="122">
                  <c:v>0.0</c:v>
                </c:pt>
                <c:pt idx="123">
                  <c:v>0.0</c:v>
                </c:pt>
                <c:pt idx="124">
                  <c:v>0.0</c:v>
                </c:pt>
                <c:pt idx="125">
                  <c:v>0.0</c:v>
                </c:pt>
                <c:pt idx="126">
                  <c:v>0.0</c:v>
                </c:pt>
                <c:pt idx="127">
                  <c:v>0.0</c:v>
                </c:pt>
                <c:pt idx="128">
                  <c:v>0.0</c:v>
                </c:pt>
                <c:pt idx="129">
                  <c:v>0.0</c:v>
                </c:pt>
                <c:pt idx="130">
                  <c:v>0.0</c:v>
                </c:pt>
                <c:pt idx="131">
                  <c:v>0.0</c:v>
                </c:pt>
                <c:pt idx="132">
                  <c:v>0.0</c:v>
                </c:pt>
                <c:pt idx="133">
                  <c:v>0.0</c:v>
                </c:pt>
                <c:pt idx="134">
                  <c:v>0.0</c:v>
                </c:pt>
                <c:pt idx="135">
                  <c:v>2.49</c:v>
                </c:pt>
                <c:pt idx="136">
                  <c:v>2.03</c:v>
                </c:pt>
                <c:pt idx="137">
                  <c:v>2.01</c:v>
                </c:pt>
                <c:pt idx="138">
                  <c:v>1.17</c:v>
                </c:pt>
                <c:pt idx="139">
                  <c:v>0.74</c:v>
                </c:pt>
                <c:pt idx="140">
                  <c:v>0.69</c:v>
                </c:pt>
                <c:pt idx="141">
                  <c:v>1.18</c:v>
                </c:pt>
                <c:pt idx="142">
                  <c:v>1.41</c:v>
                </c:pt>
                <c:pt idx="143">
                  <c:v>1.89</c:v>
                </c:pt>
                <c:pt idx="144">
                  <c:v>2.93</c:v>
                </c:pt>
                <c:pt idx="145">
                  <c:v>3.06</c:v>
                </c:pt>
                <c:pt idx="146">
                  <c:v>4.55</c:v>
                </c:pt>
                <c:pt idx="147">
                  <c:v>5.06</c:v>
                </c:pt>
                <c:pt idx="148">
                  <c:v>5.49</c:v>
                </c:pt>
                <c:pt idx="149">
                  <c:v>4.39</c:v>
                </c:pt>
                <c:pt idx="150">
                  <c:v>2.81</c:v>
                </c:pt>
                <c:pt idx="151">
                  <c:v>1.04</c:v>
                </c:pt>
                <c:pt idx="152">
                  <c:v>0.85</c:v>
                </c:pt>
                <c:pt idx="153">
                  <c:v>0.68</c:v>
                </c:pt>
                <c:pt idx="154">
                  <c:v>0.64</c:v>
                </c:pt>
                <c:pt idx="155">
                  <c:v>0.65</c:v>
                </c:pt>
                <c:pt idx="156">
                  <c:v>0.3</c:v>
                </c:pt>
                <c:pt idx="157">
                  <c:v>0.21</c:v>
                </c:pt>
                <c:pt idx="158">
                  <c:v>0.3</c:v>
                </c:pt>
                <c:pt idx="159">
                  <c:v>0.39</c:v>
                </c:pt>
                <c:pt idx="160">
                  <c:v>0.11</c:v>
                </c:pt>
                <c:pt idx="161">
                  <c:v>0.19</c:v>
                </c:pt>
                <c:pt idx="162">
                  <c:v>0.18</c:v>
                </c:pt>
                <c:pt idx="163">
                  <c:v>1.13</c:v>
                </c:pt>
                <c:pt idx="164">
                  <c:v>1.91</c:v>
                </c:pt>
                <c:pt idx="165">
                  <c:v>1.44</c:v>
                </c:pt>
                <c:pt idx="166">
                  <c:v>0.15</c:v>
                </c:pt>
                <c:pt idx="167">
                  <c:v>2.47</c:v>
                </c:pt>
                <c:pt idx="168">
                  <c:v>8.6</c:v>
                </c:pt>
                <c:pt idx="169">
                  <c:v>10.5</c:v>
                </c:pt>
                <c:pt idx="170">
                  <c:v>7.31</c:v>
                </c:pt>
                <c:pt idx="171">
                  <c:v>3.37</c:v>
                </c:pt>
                <c:pt idx="172">
                  <c:v>1.58</c:v>
                </c:pt>
                <c:pt idx="173">
                  <c:v>2.12</c:v>
                </c:pt>
                <c:pt idx="174">
                  <c:v>2.6</c:v>
                </c:pt>
                <c:pt idx="175">
                  <c:v>3.84</c:v>
                </c:pt>
                <c:pt idx="176">
                  <c:v>3.48</c:v>
                </c:pt>
                <c:pt idx="177">
                  <c:v>3.41</c:v>
                </c:pt>
                <c:pt idx="178">
                  <c:v>2.33</c:v>
                </c:pt>
                <c:pt idx="179">
                  <c:v>2.39</c:v>
                </c:pt>
                <c:pt idx="180">
                  <c:v>2.46</c:v>
                </c:pt>
                <c:pt idx="181">
                  <c:v>2.76</c:v>
                </c:pt>
                <c:pt idx="182">
                  <c:v>2.78</c:v>
                </c:pt>
                <c:pt idx="183">
                  <c:v>2.57</c:v>
                </c:pt>
                <c:pt idx="184">
                  <c:v>2.43</c:v>
                </c:pt>
                <c:pt idx="185">
                  <c:v>2.08</c:v>
                </c:pt>
                <c:pt idx="186">
                  <c:v>1.95</c:v>
                </c:pt>
                <c:pt idx="187">
                  <c:v>2.27</c:v>
                </c:pt>
                <c:pt idx="188">
                  <c:v>2.22</c:v>
                </c:pt>
                <c:pt idx="189">
                  <c:v>1.94</c:v>
                </c:pt>
                <c:pt idx="190">
                  <c:v>2.05</c:v>
                </c:pt>
                <c:pt idx="191">
                  <c:v>2.5</c:v>
                </c:pt>
                <c:pt idx="192">
                  <c:v>2.85</c:v>
                </c:pt>
                <c:pt idx="193">
                  <c:v>2.14</c:v>
                </c:pt>
                <c:pt idx="194">
                  <c:v>3.3</c:v>
                </c:pt>
                <c:pt idx="195">
                  <c:v>4.08</c:v>
                </c:pt>
                <c:pt idx="196">
                  <c:v>4.49</c:v>
                </c:pt>
                <c:pt idx="197">
                  <c:v>5.71</c:v>
                </c:pt>
                <c:pt idx="198">
                  <c:v>1.76</c:v>
                </c:pt>
                <c:pt idx="199">
                  <c:v>1.94</c:v>
                </c:pt>
                <c:pt idx="200">
                  <c:v>3.97</c:v>
                </c:pt>
                <c:pt idx="201">
                  <c:v>3.78</c:v>
                </c:pt>
                <c:pt idx="202">
                  <c:v>5.38</c:v>
                </c:pt>
                <c:pt idx="203">
                  <c:v>3.55</c:v>
                </c:pt>
                <c:pt idx="204">
                  <c:v>2.55</c:v>
                </c:pt>
                <c:pt idx="205">
                  <c:v>2.04</c:v>
                </c:pt>
                <c:pt idx="206">
                  <c:v>2.6</c:v>
                </c:pt>
                <c:pt idx="207">
                  <c:v>1.75</c:v>
                </c:pt>
                <c:pt idx="208">
                  <c:v>2.79</c:v>
                </c:pt>
                <c:pt idx="209">
                  <c:v>3.43</c:v>
                </c:pt>
                <c:pt idx="210">
                  <c:v>3.24</c:v>
                </c:pt>
                <c:pt idx="211">
                  <c:v>3.71</c:v>
                </c:pt>
                <c:pt idx="212">
                  <c:v>3.26</c:v>
                </c:pt>
                <c:pt idx="213">
                  <c:v>3.51</c:v>
                </c:pt>
                <c:pt idx="214">
                  <c:v>4.29</c:v>
                </c:pt>
                <c:pt idx="215">
                  <c:v>4.49</c:v>
                </c:pt>
                <c:pt idx="216">
                  <c:v>4.55</c:v>
                </c:pt>
                <c:pt idx="217">
                  <c:v>1.87</c:v>
                </c:pt>
                <c:pt idx="218">
                  <c:v>0.93</c:v>
                </c:pt>
                <c:pt idx="219">
                  <c:v>0.65</c:v>
                </c:pt>
                <c:pt idx="220">
                  <c:v>0.59</c:v>
                </c:pt>
                <c:pt idx="221">
                  <c:v>3.04</c:v>
                </c:pt>
                <c:pt idx="222">
                  <c:v>0.88</c:v>
                </c:pt>
                <c:pt idx="223">
                  <c:v>0.8</c:v>
                </c:pt>
                <c:pt idx="224">
                  <c:v>1.23</c:v>
                </c:pt>
                <c:pt idx="225">
                  <c:v>1.12</c:v>
                </c:pt>
                <c:pt idx="226">
                  <c:v>0.88</c:v>
                </c:pt>
                <c:pt idx="227">
                  <c:v>0.94</c:v>
                </c:pt>
                <c:pt idx="228">
                  <c:v>0.58</c:v>
                </c:pt>
                <c:pt idx="229">
                  <c:v>0.52</c:v>
                </c:pt>
                <c:pt idx="230">
                  <c:v>4.03</c:v>
                </c:pt>
                <c:pt idx="231">
                  <c:v>4.41</c:v>
                </c:pt>
                <c:pt idx="232">
                  <c:v>6.12</c:v>
                </c:pt>
                <c:pt idx="233">
                  <c:v>2.91</c:v>
                </c:pt>
                <c:pt idx="234">
                  <c:v>5.02</c:v>
                </c:pt>
                <c:pt idx="235">
                  <c:v>2.55</c:v>
                </c:pt>
                <c:pt idx="236">
                  <c:v>1.6</c:v>
                </c:pt>
                <c:pt idx="237">
                  <c:v>2.24</c:v>
                </c:pt>
                <c:pt idx="238">
                  <c:v>2.38</c:v>
                </c:pt>
                <c:pt idx="239">
                  <c:v>1.47</c:v>
                </c:pt>
                <c:pt idx="240">
                  <c:v>3.34</c:v>
                </c:pt>
                <c:pt idx="241">
                  <c:v>3.28</c:v>
                </c:pt>
                <c:pt idx="242">
                  <c:v>3.58</c:v>
                </c:pt>
                <c:pt idx="243">
                  <c:v>4.58</c:v>
                </c:pt>
                <c:pt idx="244">
                  <c:v>3.54</c:v>
                </c:pt>
                <c:pt idx="245">
                  <c:v>3.86</c:v>
                </c:pt>
              </c:numCache>
            </c:numRef>
          </c:xVal>
          <c:yVal>
            <c:numRef>
              <c:f>Sheet1!$B$2:$B$247</c:f>
              <c:numCache>
                <c:formatCode>General</c:formatCode>
                <c:ptCount val="246"/>
                <c:pt idx="0">
                  <c:v>-4.76</c:v>
                </c:pt>
                <c:pt idx="1">
                  <c:v>-0.22</c:v>
                </c:pt>
                <c:pt idx="2">
                  <c:v>3.24</c:v>
                </c:pt>
                <c:pt idx="3">
                  <c:v>4.34</c:v>
                </c:pt>
                <c:pt idx="4">
                  <c:v>0.94</c:v>
                </c:pt>
                <c:pt idx="5">
                  <c:v>4.75</c:v>
                </c:pt>
                <c:pt idx="6">
                  <c:v>3.89</c:v>
                </c:pt>
                <c:pt idx="7">
                  <c:v>3.94</c:v>
                </c:pt>
                <c:pt idx="8">
                  <c:v>0.89</c:v>
                </c:pt>
                <c:pt idx="9">
                  <c:v>1.81</c:v>
                </c:pt>
                <c:pt idx="10">
                  <c:v>3.26</c:v>
                </c:pt>
                <c:pt idx="11">
                  <c:v>3.93</c:v>
                </c:pt>
                <c:pt idx="12">
                  <c:v>4.26</c:v>
                </c:pt>
                <c:pt idx="13">
                  <c:v>-0.48</c:v>
                </c:pt>
                <c:pt idx="14">
                  <c:v>4.09</c:v>
                </c:pt>
                <c:pt idx="15">
                  <c:v>1.84</c:v>
                </c:pt>
                <c:pt idx="16">
                  <c:v>4.05</c:v>
                </c:pt>
                <c:pt idx="17">
                  <c:v>3.91</c:v>
                </c:pt>
                <c:pt idx="18">
                  <c:v>5.3</c:v>
                </c:pt>
                <c:pt idx="19">
                  <c:v>4.38</c:v>
                </c:pt>
                <c:pt idx="20">
                  <c:v>4.87</c:v>
                </c:pt>
                <c:pt idx="21">
                  <c:v>5.11</c:v>
                </c:pt>
                <c:pt idx="22">
                  <c:v>0.09</c:v>
                </c:pt>
                <c:pt idx="23">
                  <c:v>9.32</c:v>
                </c:pt>
                <c:pt idx="24">
                  <c:v>5.0</c:v>
                </c:pt>
                <c:pt idx="25">
                  <c:v>3.87</c:v>
                </c:pt>
                <c:pt idx="26">
                  <c:v>7.51</c:v>
                </c:pt>
                <c:pt idx="27">
                  <c:v>4.8</c:v>
                </c:pt>
                <c:pt idx="28">
                  <c:v>5.42</c:v>
                </c:pt>
                <c:pt idx="29">
                  <c:v>6.18</c:v>
                </c:pt>
                <c:pt idx="30">
                  <c:v>6.1</c:v>
                </c:pt>
                <c:pt idx="31">
                  <c:v>6.56</c:v>
                </c:pt>
                <c:pt idx="32">
                  <c:v>6.28</c:v>
                </c:pt>
                <c:pt idx="33">
                  <c:v>6.62</c:v>
                </c:pt>
                <c:pt idx="34">
                  <c:v>8.04</c:v>
                </c:pt>
                <c:pt idx="35">
                  <c:v>7.7</c:v>
                </c:pt>
                <c:pt idx="36">
                  <c:v>9.13</c:v>
                </c:pt>
                <c:pt idx="37">
                  <c:v>9.22</c:v>
                </c:pt>
                <c:pt idx="38">
                  <c:v>7.97</c:v>
                </c:pt>
                <c:pt idx="39">
                  <c:v>4.66</c:v>
                </c:pt>
                <c:pt idx="40">
                  <c:v>6.68</c:v>
                </c:pt>
                <c:pt idx="41">
                  <c:v>4.76</c:v>
                </c:pt>
                <c:pt idx="42">
                  <c:v>4.96</c:v>
                </c:pt>
                <c:pt idx="43">
                  <c:v>4.65</c:v>
                </c:pt>
                <c:pt idx="44">
                  <c:v>5.26</c:v>
                </c:pt>
                <c:pt idx="45">
                  <c:v>6.26</c:v>
                </c:pt>
                <c:pt idx="46">
                  <c:v>5.88</c:v>
                </c:pt>
                <c:pt idx="47">
                  <c:v>5.58</c:v>
                </c:pt>
                <c:pt idx="48">
                  <c:v>0.29</c:v>
                </c:pt>
                <c:pt idx="49">
                  <c:v>0.88</c:v>
                </c:pt>
                <c:pt idx="50">
                  <c:v>0.15</c:v>
                </c:pt>
                <c:pt idx="51">
                  <c:v>-0.8</c:v>
                </c:pt>
                <c:pt idx="52">
                  <c:v>0.18</c:v>
                </c:pt>
                <c:pt idx="53">
                  <c:v>0.18</c:v>
                </c:pt>
                <c:pt idx="54">
                  <c:v>0.15</c:v>
                </c:pt>
                <c:pt idx="55">
                  <c:v>0.0</c:v>
                </c:pt>
                <c:pt idx="56">
                  <c:v>-9.84</c:v>
                </c:pt>
                <c:pt idx="57">
                  <c:v>-1.85</c:v>
                </c:pt>
                <c:pt idx="58">
                  <c:v>0.3</c:v>
                </c:pt>
                <c:pt idx="59">
                  <c:v>1.03</c:v>
                </c:pt>
                <c:pt idx="60">
                  <c:v>0.41</c:v>
                </c:pt>
                <c:pt idx="61">
                  <c:v>4.03</c:v>
                </c:pt>
                <c:pt idx="62">
                  <c:v>5.52</c:v>
                </c:pt>
                <c:pt idx="63">
                  <c:v>5.79</c:v>
                </c:pt>
                <c:pt idx="64">
                  <c:v>5.08</c:v>
                </c:pt>
                <c:pt idx="65">
                  <c:v>5.92</c:v>
                </c:pt>
                <c:pt idx="66">
                  <c:v>6.66</c:v>
                </c:pt>
                <c:pt idx="67">
                  <c:v>7.88</c:v>
                </c:pt>
                <c:pt idx="68">
                  <c:v>5.59</c:v>
                </c:pt>
                <c:pt idx="69">
                  <c:v>5.98</c:v>
                </c:pt>
                <c:pt idx="70">
                  <c:v>6.16</c:v>
                </c:pt>
                <c:pt idx="71">
                  <c:v>5.96</c:v>
                </c:pt>
                <c:pt idx="72">
                  <c:v>5.59</c:v>
                </c:pt>
                <c:pt idx="73">
                  <c:v>5.4</c:v>
                </c:pt>
                <c:pt idx="74">
                  <c:v>5.36</c:v>
                </c:pt>
                <c:pt idx="75">
                  <c:v>5.71</c:v>
                </c:pt>
                <c:pt idx="76">
                  <c:v>5.11</c:v>
                </c:pt>
                <c:pt idx="77">
                  <c:v>10.2</c:v>
                </c:pt>
                <c:pt idx="78">
                  <c:v>-4.34</c:v>
                </c:pt>
                <c:pt idx="79">
                  <c:v>3.55</c:v>
                </c:pt>
                <c:pt idx="80">
                  <c:v>3.45</c:v>
                </c:pt>
                <c:pt idx="81">
                  <c:v>1.57</c:v>
                </c:pt>
                <c:pt idx="82">
                  <c:v>7.61</c:v>
                </c:pt>
                <c:pt idx="83">
                  <c:v>-0.82</c:v>
                </c:pt>
                <c:pt idx="84">
                  <c:v>2.89</c:v>
                </c:pt>
                <c:pt idx="85">
                  <c:v>1.62</c:v>
                </c:pt>
                <c:pt idx="86">
                  <c:v>2.22</c:v>
                </c:pt>
                <c:pt idx="87">
                  <c:v>2.18</c:v>
                </c:pt>
                <c:pt idx="88">
                  <c:v>3.05</c:v>
                </c:pt>
                <c:pt idx="89">
                  <c:v>2.24</c:v>
                </c:pt>
                <c:pt idx="90">
                  <c:v>2.2</c:v>
                </c:pt>
                <c:pt idx="91">
                  <c:v>1.88</c:v>
                </c:pt>
                <c:pt idx="92">
                  <c:v>-2.41</c:v>
                </c:pt>
                <c:pt idx="93">
                  <c:v>5.44</c:v>
                </c:pt>
                <c:pt idx="94">
                  <c:v>5.03</c:v>
                </c:pt>
                <c:pt idx="95">
                  <c:v>4.88</c:v>
                </c:pt>
                <c:pt idx="96">
                  <c:v>2.14</c:v>
                </c:pt>
                <c:pt idx="97">
                  <c:v>5.98</c:v>
                </c:pt>
                <c:pt idx="98">
                  <c:v>2.28</c:v>
                </c:pt>
                <c:pt idx="99">
                  <c:v>8.22</c:v>
                </c:pt>
                <c:pt idx="100">
                  <c:v>3.81</c:v>
                </c:pt>
                <c:pt idx="101">
                  <c:v>5.37</c:v>
                </c:pt>
                <c:pt idx="102">
                  <c:v>4.55</c:v>
                </c:pt>
                <c:pt idx="103">
                  <c:v>4.52</c:v>
                </c:pt>
                <c:pt idx="104">
                  <c:v>4.04</c:v>
                </c:pt>
                <c:pt idx="105">
                  <c:v>4.84</c:v>
                </c:pt>
                <c:pt idx="106">
                  <c:v>3.45</c:v>
                </c:pt>
                <c:pt idx="107">
                  <c:v>4.34</c:v>
                </c:pt>
                <c:pt idx="108">
                  <c:v>2.65</c:v>
                </c:pt>
                <c:pt idx="109">
                  <c:v>-2.23</c:v>
                </c:pt>
                <c:pt idx="110">
                  <c:v>3.13</c:v>
                </c:pt>
                <c:pt idx="111">
                  <c:v>0.03</c:v>
                </c:pt>
                <c:pt idx="112">
                  <c:v>1.56</c:v>
                </c:pt>
                <c:pt idx="113">
                  <c:v>-0.02</c:v>
                </c:pt>
                <c:pt idx="114">
                  <c:v>-3.33</c:v>
                </c:pt>
                <c:pt idx="115">
                  <c:v>-0.24</c:v>
                </c:pt>
                <c:pt idx="116">
                  <c:v>-2.86</c:v>
                </c:pt>
                <c:pt idx="117">
                  <c:v>3.91</c:v>
                </c:pt>
                <c:pt idx="118">
                  <c:v>2.26</c:v>
                </c:pt>
                <c:pt idx="119">
                  <c:v>1.97</c:v>
                </c:pt>
                <c:pt idx="120">
                  <c:v>2.42</c:v>
                </c:pt>
                <c:pt idx="121">
                  <c:v>3.15</c:v>
                </c:pt>
                <c:pt idx="122">
                  <c:v>3.08</c:v>
                </c:pt>
                <c:pt idx="123">
                  <c:v>4.28</c:v>
                </c:pt>
                <c:pt idx="124">
                  <c:v>5.06</c:v>
                </c:pt>
                <c:pt idx="125">
                  <c:v>4.7</c:v>
                </c:pt>
                <c:pt idx="126">
                  <c:v>5.35</c:v>
                </c:pt>
                <c:pt idx="127">
                  <c:v>4.59</c:v>
                </c:pt>
                <c:pt idx="128">
                  <c:v>5.94</c:v>
                </c:pt>
                <c:pt idx="129">
                  <c:v>5.88</c:v>
                </c:pt>
                <c:pt idx="130">
                  <c:v>5.16</c:v>
                </c:pt>
                <c:pt idx="131">
                  <c:v>6.12</c:v>
                </c:pt>
                <c:pt idx="132">
                  <c:v>5.9</c:v>
                </c:pt>
                <c:pt idx="133">
                  <c:v>5.68</c:v>
                </c:pt>
                <c:pt idx="134">
                  <c:v>6.07</c:v>
                </c:pt>
                <c:pt idx="135">
                  <c:v>3.57</c:v>
                </c:pt>
                <c:pt idx="136">
                  <c:v>7.13</c:v>
                </c:pt>
                <c:pt idx="137">
                  <c:v>5.21</c:v>
                </c:pt>
                <c:pt idx="138">
                  <c:v>4.09</c:v>
                </c:pt>
                <c:pt idx="139">
                  <c:v>4.76</c:v>
                </c:pt>
                <c:pt idx="140">
                  <c:v>4.1</c:v>
                </c:pt>
                <c:pt idx="141">
                  <c:v>5.06</c:v>
                </c:pt>
                <c:pt idx="142">
                  <c:v>5.09</c:v>
                </c:pt>
                <c:pt idx="143">
                  <c:v>3.62</c:v>
                </c:pt>
                <c:pt idx="144">
                  <c:v>3.17</c:v>
                </c:pt>
                <c:pt idx="145">
                  <c:v>1.9</c:v>
                </c:pt>
                <c:pt idx="146">
                  <c:v>2.02</c:v>
                </c:pt>
                <c:pt idx="147">
                  <c:v>6.13</c:v>
                </c:pt>
                <c:pt idx="148">
                  <c:v>-1.03</c:v>
                </c:pt>
                <c:pt idx="149">
                  <c:v>4.32</c:v>
                </c:pt>
                <c:pt idx="150">
                  <c:v>4.62</c:v>
                </c:pt>
                <c:pt idx="151">
                  <c:v>5.35</c:v>
                </c:pt>
                <c:pt idx="152">
                  <c:v>6.36</c:v>
                </c:pt>
                <c:pt idx="153">
                  <c:v>4.91</c:v>
                </c:pt>
                <c:pt idx="154">
                  <c:v>5.24</c:v>
                </c:pt>
                <c:pt idx="155">
                  <c:v>5.04</c:v>
                </c:pt>
                <c:pt idx="156">
                  <c:v>6.21</c:v>
                </c:pt>
                <c:pt idx="157">
                  <c:v>6.21</c:v>
                </c:pt>
                <c:pt idx="158">
                  <c:v>5.13</c:v>
                </c:pt>
                <c:pt idx="159">
                  <c:v>5.92</c:v>
                </c:pt>
                <c:pt idx="160">
                  <c:v>7.11</c:v>
                </c:pt>
                <c:pt idx="161">
                  <c:v>7.73</c:v>
                </c:pt>
                <c:pt idx="162">
                  <c:v>5.29</c:v>
                </c:pt>
                <c:pt idx="163">
                  <c:v>6.41</c:v>
                </c:pt>
                <c:pt idx="164">
                  <c:v>5.2</c:v>
                </c:pt>
                <c:pt idx="165">
                  <c:v>5.82</c:v>
                </c:pt>
                <c:pt idx="166">
                  <c:v>5.36</c:v>
                </c:pt>
                <c:pt idx="167">
                  <c:v>-3.69</c:v>
                </c:pt>
                <c:pt idx="168">
                  <c:v>5.45</c:v>
                </c:pt>
                <c:pt idx="169">
                  <c:v>-1.4</c:v>
                </c:pt>
                <c:pt idx="170">
                  <c:v>0.16</c:v>
                </c:pt>
                <c:pt idx="171">
                  <c:v>-2.78</c:v>
                </c:pt>
                <c:pt idx="172">
                  <c:v>2.42</c:v>
                </c:pt>
                <c:pt idx="173">
                  <c:v>1.59</c:v>
                </c:pt>
                <c:pt idx="174">
                  <c:v>1.31</c:v>
                </c:pt>
                <c:pt idx="175">
                  <c:v>-0.43</c:v>
                </c:pt>
                <c:pt idx="176">
                  <c:v>-0.5</c:v>
                </c:pt>
                <c:pt idx="177">
                  <c:v>1.02</c:v>
                </c:pt>
                <c:pt idx="178">
                  <c:v>2.0</c:v>
                </c:pt>
                <c:pt idx="179">
                  <c:v>0.05</c:v>
                </c:pt>
                <c:pt idx="180">
                  <c:v>0.16</c:v>
                </c:pt>
                <c:pt idx="181">
                  <c:v>0.26</c:v>
                </c:pt>
                <c:pt idx="182">
                  <c:v>2.73</c:v>
                </c:pt>
                <c:pt idx="183">
                  <c:v>-9.84</c:v>
                </c:pt>
                <c:pt idx="184">
                  <c:v>-9.64</c:v>
                </c:pt>
                <c:pt idx="185">
                  <c:v>-0.26</c:v>
                </c:pt>
                <c:pt idx="186">
                  <c:v>0.66</c:v>
                </c:pt>
                <c:pt idx="187">
                  <c:v>1.87</c:v>
                </c:pt>
                <c:pt idx="188">
                  <c:v>-0.59</c:v>
                </c:pt>
                <c:pt idx="189">
                  <c:v>2.72</c:v>
                </c:pt>
                <c:pt idx="190">
                  <c:v>6.17</c:v>
                </c:pt>
                <c:pt idx="191">
                  <c:v>4.76</c:v>
                </c:pt>
                <c:pt idx="192">
                  <c:v>6.73</c:v>
                </c:pt>
                <c:pt idx="193">
                  <c:v>3.09</c:v>
                </c:pt>
                <c:pt idx="194">
                  <c:v>1.18</c:v>
                </c:pt>
                <c:pt idx="195">
                  <c:v>2.14</c:v>
                </c:pt>
                <c:pt idx="196">
                  <c:v>-2.01</c:v>
                </c:pt>
                <c:pt idx="197">
                  <c:v>-0.83</c:v>
                </c:pt>
                <c:pt idx="198">
                  <c:v>7.43</c:v>
                </c:pt>
                <c:pt idx="199">
                  <c:v>10.2</c:v>
                </c:pt>
                <c:pt idx="200">
                  <c:v>8.6</c:v>
                </c:pt>
                <c:pt idx="201">
                  <c:v>5.32</c:v>
                </c:pt>
                <c:pt idx="202">
                  <c:v>8.15</c:v>
                </c:pt>
                <c:pt idx="203">
                  <c:v>10.2</c:v>
                </c:pt>
                <c:pt idx="204">
                  <c:v>10.0</c:v>
                </c:pt>
                <c:pt idx="205">
                  <c:v>9.01</c:v>
                </c:pt>
                <c:pt idx="206">
                  <c:v>7.99</c:v>
                </c:pt>
                <c:pt idx="207">
                  <c:v>8.15</c:v>
                </c:pt>
                <c:pt idx="208">
                  <c:v>6.03</c:v>
                </c:pt>
                <c:pt idx="209">
                  <c:v>9.6</c:v>
                </c:pt>
                <c:pt idx="210">
                  <c:v>6.97</c:v>
                </c:pt>
                <c:pt idx="211">
                  <c:v>6.44</c:v>
                </c:pt>
                <c:pt idx="212">
                  <c:v>6.68</c:v>
                </c:pt>
                <c:pt idx="213">
                  <c:v>7.3</c:v>
                </c:pt>
                <c:pt idx="214">
                  <c:v>3.21</c:v>
                </c:pt>
                <c:pt idx="215">
                  <c:v>10.2</c:v>
                </c:pt>
                <c:pt idx="216">
                  <c:v>10.19</c:v>
                </c:pt>
                <c:pt idx="217">
                  <c:v>0.75</c:v>
                </c:pt>
                <c:pt idx="218">
                  <c:v>6.86</c:v>
                </c:pt>
                <c:pt idx="219">
                  <c:v>7.2</c:v>
                </c:pt>
                <c:pt idx="220">
                  <c:v>3.32</c:v>
                </c:pt>
                <c:pt idx="221">
                  <c:v>1.01</c:v>
                </c:pt>
                <c:pt idx="222">
                  <c:v>7.88</c:v>
                </c:pt>
                <c:pt idx="223">
                  <c:v>5.21</c:v>
                </c:pt>
                <c:pt idx="224">
                  <c:v>6.92</c:v>
                </c:pt>
                <c:pt idx="225">
                  <c:v>4.05</c:v>
                </c:pt>
                <c:pt idx="226">
                  <c:v>8.83</c:v>
                </c:pt>
                <c:pt idx="227">
                  <c:v>7.84</c:v>
                </c:pt>
                <c:pt idx="228">
                  <c:v>6.59</c:v>
                </c:pt>
                <c:pt idx="229">
                  <c:v>2.88</c:v>
                </c:pt>
                <c:pt idx="230">
                  <c:v>3.77</c:v>
                </c:pt>
                <c:pt idx="231">
                  <c:v>5.76</c:v>
                </c:pt>
                <c:pt idx="232">
                  <c:v>1.89</c:v>
                </c:pt>
                <c:pt idx="233">
                  <c:v>5.07</c:v>
                </c:pt>
                <c:pt idx="234">
                  <c:v>2.45</c:v>
                </c:pt>
                <c:pt idx="235">
                  <c:v>-0.1</c:v>
                </c:pt>
                <c:pt idx="236">
                  <c:v>4.25</c:v>
                </c:pt>
                <c:pt idx="237">
                  <c:v>2.46</c:v>
                </c:pt>
                <c:pt idx="238">
                  <c:v>2.38</c:v>
                </c:pt>
                <c:pt idx="239">
                  <c:v>1.97</c:v>
                </c:pt>
                <c:pt idx="240">
                  <c:v>2.96</c:v>
                </c:pt>
                <c:pt idx="241">
                  <c:v>1.53</c:v>
                </c:pt>
                <c:pt idx="242">
                  <c:v>1.07</c:v>
                </c:pt>
                <c:pt idx="243">
                  <c:v>2.02</c:v>
                </c:pt>
                <c:pt idx="244">
                  <c:v>3.11</c:v>
                </c:pt>
                <c:pt idx="245">
                  <c:v>1.11</c:v>
                </c:pt>
              </c:numCache>
            </c:numRef>
          </c:yVal>
          <c:smooth val="0"/>
        </c:ser>
        <c:ser>
          <c:idx val="1"/>
          <c:order val="1"/>
          <c:tx>
            <c:strRef>
              <c:f>Sheet1!$D$1</c:f>
              <c:strCache>
                <c:ptCount val="1"/>
                <c:pt idx="0">
                  <c:v>Davlat ulushi mavjud banklar (148 ta kuzatuv)</c:v>
                </c:pt>
              </c:strCache>
            </c:strRef>
          </c:tx>
          <c:spPr>
            <a:ln>
              <a:noFill/>
            </a:ln>
          </c:spPr>
          <c:marker>
            <c:symbol val="circle"/>
            <c:size val="5"/>
            <c:spPr>
              <a:solidFill>
                <a:srgbClr val="C00000"/>
              </a:solidFill>
              <a:ln>
                <a:noFill/>
              </a:ln>
            </c:spPr>
          </c:marker>
          <c:xVal>
            <c:numRef>
              <c:f>Sheet1!$C$2:$C$149</c:f>
              <c:numCache>
                <c:formatCode>General</c:formatCode>
                <c:ptCount val="148"/>
                <c:pt idx="0">
                  <c:v>4.5</c:v>
                </c:pt>
                <c:pt idx="1">
                  <c:v>4.53</c:v>
                </c:pt>
                <c:pt idx="2">
                  <c:v>4.6</c:v>
                </c:pt>
                <c:pt idx="3">
                  <c:v>3.84</c:v>
                </c:pt>
                <c:pt idx="4">
                  <c:v>3.99</c:v>
                </c:pt>
                <c:pt idx="5">
                  <c:v>3.79</c:v>
                </c:pt>
                <c:pt idx="6">
                  <c:v>3.55</c:v>
                </c:pt>
                <c:pt idx="7">
                  <c:v>3.8</c:v>
                </c:pt>
                <c:pt idx="8">
                  <c:v>3.75</c:v>
                </c:pt>
                <c:pt idx="9">
                  <c:v>3.43</c:v>
                </c:pt>
                <c:pt idx="10">
                  <c:v>3.46</c:v>
                </c:pt>
                <c:pt idx="11">
                  <c:v>4.88</c:v>
                </c:pt>
                <c:pt idx="12">
                  <c:v>4.49</c:v>
                </c:pt>
                <c:pt idx="13">
                  <c:v>3.78</c:v>
                </c:pt>
                <c:pt idx="14">
                  <c:v>3.36</c:v>
                </c:pt>
                <c:pt idx="15">
                  <c:v>3.33</c:v>
                </c:pt>
                <c:pt idx="16">
                  <c:v>3.36</c:v>
                </c:pt>
                <c:pt idx="17">
                  <c:v>3.18</c:v>
                </c:pt>
                <c:pt idx="18">
                  <c:v>3.24</c:v>
                </c:pt>
                <c:pt idx="19">
                  <c:v>2.03</c:v>
                </c:pt>
                <c:pt idx="20">
                  <c:v>1.78</c:v>
                </c:pt>
                <c:pt idx="21">
                  <c:v>1.47</c:v>
                </c:pt>
                <c:pt idx="22">
                  <c:v>2.38</c:v>
                </c:pt>
                <c:pt idx="23">
                  <c:v>1.52</c:v>
                </c:pt>
                <c:pt idx="24">
                  <c:v>3.99</c:v>
                </c:pt>
                <c:pt idx="25">
                  <c:v>4.09</c:v>
                </c:pt>
                <c:pt idx="26">
                  <c:v>2.81</c:v>
                </c:pt>
                <c:pt idx="27">
                  <c:v>1.87</c:v>
                </c:pt>
                <c:pt idx="28">
                  <c:v>2.57</c:v>
                </c:pt>
                <c:pt idx="29">
                  <c:v>2.42</c:v>
                </c:pt>
                <c:pt idx="30">
                  <c:v>2.37</c:v>
                </c:pt>
                <c:pt idx="31">
                  <c:v>2.54</c:v>
                </c:pt>
                <c:pt idx="32">
                  <c:v>4.77</c:v>
                </c:pt>
                <c:pt idx="33">
                  <c:v>4.76</c:v>
                </c:pt>
                <c:pt idx="34">
                  <c:v>4.75</c:v>
                </c:pt>
                <c:pt idx="35">
                  <c:v>4.65</c:v>
                </c:pt>
                <c:pt idx="36">
                  <c:v>4.37</c:v>
                </c:pt>
                <c:pt idx="37">
                  <c:v>4.24</c:v>
                </c:pt>
                <c:pt idx="38">
                  <c:v>4.41</c:v>
                </c:pt>
                <c:pt idx="39">
                  <c:v>4.41</c:v>
                </c:pt>
                <c:pt idx="40">
                  <c:v>4.61</c:v>
                </c:pt>
                <c:pt idx="41">
                  <c:v>4.65</c:v>
                </c:pt>
                <c:pt idx="42">
                  <c:v>4.77</c:v>
                </c:pt>
                <c:pt idx="43">
                  <c:v>4.53</c:v>
                </c:pt>
                <c:pt idx="44">
                  <c:v>4.72</c:v>
                </c:pt>
                <c:pt idx="45">
                  <c:v>4.55</c:v>
                </c:pt>
                <c:pt idx="46">
                  <c:v>4.71</c:v>
                </c:pt>
                <c:pt idx="47">
                  <c:v>3.62</c:v>
                </c:pt>
                <c:pt idx="48">
                  <c:v>4.93</c:v>
                </c:pt>
                <c:pt idx="49">
                  <c:v>4.89</c:v>
                </c:pt>
                <c:pt idx="50">
                  <c:v>4.51</c:v>
                </c:pt>
                <c:pt idx="51">
                  <c:v>4.49</c:v>
                </c:pt>
                <c:pt idx="52">
                  <c:v>4.5</c:v>
                </c:pt>
                <c:pt idx="53">
                  <c:v>4.17</c:v>
                </c:pt>
                <c:pt idx="54">
                  <c:v>8.88</c:v>
                </c:pt>
                <c:pt idx="55">
                  <c:v>16.07</c:v>
                </c:pt>
                <c:pt idx="56">
                  <c:v>12.47</c:v>
                </c:pt>
                <c:pt idx="57">
                  <c:v>10.85</c:v>
                </c:pt>
                <c:pt idx="58">
                  <c:v>8.5</c:v>
                </c:pt>
                <c:pt idx="59">
                  <c:v>8.05</c:v>
                </c:pt>
                <c:pt idx="60">
                  <c:v>6.1</c:v>
                </c:pt>
                <c:pt idx="61">
                  <c:v>5.94</c:v>
                </c:pt>
                <c:pt idx="62">
                  <c:v>4.52</c:v>
                </c:pt>
                <c:pt idx="63">
                  <c:v>3.01</c:v>
                </c:pt>
                <c:pt idx="64">
                  <c:v>2.88</c:v>
                </c:pt>
                <c:pt idx="65">
                  <c:v>2.82</c:v>
                </c:pt>
                <c:pt idx="66">
                  <c:v>2.48</c:v>
                </c:pt>
                <c:pt idx="67">
                  <c:v>2.97</c:v>
                </c:pt>
                <c:pt idx="68">
                  <c:v>3.19</c:v>
                </c:pt>
                <c:pt idx="69">
                  <c:v>5.97</c:v>
                </c:pt>
                <c:pt idx="70">
                  <c:v>5.91</c:v>
                </c:pt>
                <c:pt idx="71">
                  <c:v>5.57</c:v>
                </c:pt>
                <c:pt idx="72">
                  <c:v>4.77</c:v>
                </c:pt>
                <c:pt idx="73">
                  <c:v>5.36</c:v>
                </c:pt>
                <c:pt idx="74">
                  <c:v>5.18</c:v>
                </c:pt>
                <c:pt idx="75">
                  <c:v>5.14</c:v>
                </c:pt>
                <c:pt idx="76">
                  <c:v>5.99</c:v>
                </c:pt>
                <c:pt idx="77">
                  <c:v>6.7</c:v>
                </c:pt>
                <c:pt idx="78">
                  <c:v>6.81</c:v>
                </c:pt>
                <c:pt idx="79">
                  <c:v>6.7</c:v>
                </c:pt>
                <c:pt idx="80">
                  <c:v>4.62</c:v>
                </c:pt>
                <c:pt idx="81">
                  <c:v>6.61</c:v>
                </c:pt>
                <c:pt idx="82">
                  <c:v>6.01</c:v>
                </c:pt>
                <c:pt idx="83">
                  <c:v>4.91</c:v>
                </c:pt>
                <c:pt idx="84">
                  <c:v>4.41</c:v>
                </c:pt>
                <c:pt idx="85">
                  <c:v>4.24</c:v>
                </c:pt>
                <c:pt idx="86">
                  <c:v>4.13</c:v>
                </c:pt>
                <c:pt idx="87">
                  <c:v>3.81</c:v>
                </c:pt>
                <c:pt idx="88">
                  <c:v>2.88</c:v>
                </c:pt>
                <c:pt idx="89">
                  <c:v>2.84</c:v>
                </c:pt>
                <c:pt idx="90">
                  <c:v>3.21</c:v>
                </c:pt>
                <c:pt idx="91">
                  <c:v>3.12</c:v>
                </c:pt>
                <c:pt idx="92">
                  <c:v>3.9</c:v>
                </c:pt>
                <c:pt idx="93">
                  <c:v>2.88</c:v>
                </c:pt>
                <c:pt idx="94">
                  <c:v>2.85</c:v>
                </c:pt>
                <c:pt idx="95">
                  <c:v>3.03</c:v>
                </c:pt>
                <c:pt idx="96">
                  <c:v>3.18</c:v>
                </c:pt>
                <c:pt idx="97">
                  <c:v>2.9</c:v>
                </c:pt>
                <c:pt idx="98">
                  <c:v>3.33</c:v>
                </c:pt>
                <c:pt idx="99">
                  <c:v>2.84</c:v>
                </c:pt>
                <c:pt idx="100">
                  <c:v>3.76</c:v>
                </c:pt>
                <c:pt idx="101">
                  <c:v>3.68</c:v>
                </c:pt>
                <c:pt idx="102">
                  <c:v>3.64</c:v>
                </c:pt>
                <c:pt idx="103">
                  <c:v>2.83</c:v>
                </c:pt>
                <c:pt idx="104">
                  <c:v>2.93</c:v>
                </c:pt>
                <c:pt idx="105">
                  <c:v>2.91</c:v>
                </c:pt>
                <c:pt idx="106">
                  <c:v>2.82</c:v>
                </c:pt>
                <c:pt idx="107">
                  <c:v>2.25</c:v>
                </c:pt>
                <c:pt idx="108">
                  <c:v>3.96</c:v>
                </c:pt>
                <c:pt idx="109">
                  <c:v>3.94</c:v>
                </c:pt>
                <c:pt idx="110">
                  <c:v>3.1</c:v>
                </c:pt>
                <c:pt idx="111">
                  <c:v>2.82</c:v>
                </c:pt>
                <c:pt idx="112">
                  <c:v>4.07</c:v>
                </c:pt>
                <c:pt idx="113">
                  <c:v>3.7</c:v>
                </c:pt>
                <c:pt idx="114">
                  <c:v>3.44</c:v>
                </c:pt>
                <c:pt idx="115">
                  <c:v>2.53</c:v>
                </c:pt>
                <c:pt idx="116">
                  <c:v>3.85</c:v>
                </c:pt>
                <c:pt idx="117">
                  <c:v>2.94</c:v>
                </c:pt>
                <c:pt idx="118">
                  <c:v>4.29</c:v>
                </c:pt>
                <c:pt idx="119">
                  <c:v>2.57</c:v>
                </c:pt>
                <c:pt idx="120">
                  <c:v>2.51</c:v>
                </c:pt>
                <c:pt idx="121">
                  <c:v>2.42</c:v>
                </c:pt>
                <c:pt idx="122">
                  <c:v>2.81</c:v>
                </c:pt>
                <c:pt idx="123">
                  <c:v>2.28</c:v>
                </c:pt>
                <c:pt idx="124">
                  <c:v>2.43</c:v>
                </c:pt>
                <c:pt idx="125">
                  <c:v>2.59</c:v>
                </c:pt>
                <c:pt idx="126">
                  <c:v>2.74</c:v>
                </c:pt>
                <c:pt idx="127">
                  <c:v>2.82</c:v>
                </c:pt>
                <c:pt idx="128">
                  <c:v>3.12</c:v>
                </c:pt>
                <c:pt idx="129">
                  <c:v>2.81</c:v>
                </c:pt>
                <c:pt idx="130">
                  <c:v>2.82</c:v>
                </c:pt>
                <c:pt idx="131">
                  <c:v>3.41</c:v>
                </c:pt>
                <c:pt idx="132">
                  <c:v>17.53</c:v>
                </c:pt>
                <c:pt idx="133">
                  <c:v>17.53</c:v>
                </c:pt>
                <c:pt idx="134">
                  <c:v>16.38</c:v>
                </c:pt>
                <c:pt idx="135">
                  <c:v>11.93</c:v>
                </c:pt>
                <c:pt idx="136">
                  <c:v>10.34</c:v>
                </c:pt>
                <c:pt idx="137">
                  <c:v>9.76</c:v>
                </c:pt>
                <c:pt idx="138">
                  <c:v>9.15</c:v>
                </c:pt>
                <c:pt idx="139">
                  <c:v>7.56</c:v>
                </c:pt>
                <c:pt idx="140">
                  <c:v>7.22</c:v>
                </c:pt>
                <c:pt idx="141">
                  <c:v>5.84</c:v>
                </c:pt>
                <c:pt idx="142">
                  <c:v>5.31</c:v>
                </c:pt>
                <c:pt idx="143">
                  <c:v>4.23</c:v>
                </c:pt>
                <c:pt idx="144">
                  <c:v>4.19</c:v>
                </c:pt>
                <c:pt idx="145">
                  <c:v>3.95</c:v>
                </c:pt>
                <c:pt idx="146">
                  <c:v>3.61</c:v>
                </c:pt>
                <c:pt idx="147">
                  <c:v>3.07</c:v>
                </c:pt>
              </c:numCache>
            </c:numRef>
          </c:xVal>
          <c:yVal>
            <c:numRef>
              <c:f>Sheet1!$D$2:$D$149</c:f>
              <c:numCache>
                <c:formatCode>General</c:formatCode>
                <c:ptCount val="148"/>
                <c:pt idx="0">
                  <c:v>0.45</c:v>
                </c:pt>
                <c:pt idx="1">
                  <c:v>0.31</c:v>
                </c:pt>
                <c:pt idx="2">
                  <c:v>0.34</c:v>
                </c:pt>
                <c:pt idx="3">
                  <c:v>3.99</c:v>
                </c:pt>
                <c:pt idx="4">
                  <c:v>0.48</c:v>
                </c:pt>
                <c:pt idx="5">
                  <c:v>-0.24</c:v>
                </c:pt>
                <c:pt idx="6">
                  <c:v>0.49</c:v>
                </c:pt>
                <c:pt idx="7">
                  <c:v>3.99</c:v>
                </c:pt>
                <c:pt idx="8">
                  <c:v>0.2</c:v>
                </c:pt>
                <c:pt idx="9">
                  <c:v>-0.09</c:v>
                </c:pt>
                <c:pt idx="10">
                  <c:v>0.02</c:v>
                </c:pt>
                <c:pt idx="11">
                  <c:v>0.24</c:v>
                </c:pt>
                <c:pt idx="12">
                  <c:v>0.08</c:v>
                </c:pt>
                <c:pt idx="13">
                  <c:v>0.08</c:v>
                </c:pt>
                <c:pt idx="14">
                  <c:v>-0.01</c:v>
                </c:pt>
                <c:pt idx="15">
                  <c:v>0.26</c:v>
                </c:pt>
                <c:pt idx="16">
                  <c:v>0.68</c:v>
                </c:pt>
                <c:pt idx="17">
                  <c:v>2.8</c:v>
                </c:pt>
                <c:pt idx="18">
                  <c:v>1.38</c:v>
                </c:pt>
                <c:pt idx="19">
                  <c:v>1.75</c:v>
                </c:pt>
                <c:pt idx="20">
                  <c:v>0.97</c:v>
                </c:pt>
                <c:pt idx="21">
                  <c:v>3.83</c:v>
                </c:pt>
                <c:pt idx="22">
                  <c:v>0.71</c:v>
                </c:pt>
                <c:pt idx="23">
                  <c:v>9.14</c:v>
                </c:pt>
                <c:pt idx="24">
                  <c:v>0.36</c:v>
                </c:pt>
                <c:pt idx="25">
                  <c:v>2.08</c:v>
                </c:pt>
                <c:pt idx="26">
                  <c:v>-1.84</c:v>
                </c:pt>
                <c:pt idx="27">
                  <c:v>3.14</c:v>
                </c:pt>
                <c:pt idx="28">
                  <c:v>1.19</c:v>
                </c:pt>
                <c:pt idx="29">
                  <c:v>2.03</c:v>
                </c:pt>
                <c:pt idx="30">
                  <c:v>0.71</c:v>
                </c:pt>
                <c:pt idx="31">
                  <c:v>-0.09</c:v>
                </c:pt>
                <c:pt idx="32">
                  <c:v>0.06</c:v>
                </c:pt>
                <c:pt idx="33">
                  <c:v>0.11</c:v>
                </c:pt>
                <c:pt idx="34">
                  <c:v>0.23</c:v>
                </c:pt>
                <c:pt idx="35">
                  <c:v>0.18</c:v>
                </c:pt>
                <c:pt idx="36">
                  <c:v>1.39</c:v>
                </c:pt>
                <c:pt idx="37">
                  <c:v>-0.29</c:v>
                </c:pt>
                <c:pt idx="38">
                  <c:v>0.08</c:v>
                </c:pt>
                <c:pt idx="39">
                  <c:v>-0.0</c:v>
                </c:pt>
                <c:pt idx="40">
                  <c:v>0.46</c:v>
                </c:pt>
                <c:pt idx="41">
                  <c:v>0.04</c:v>
                </c:pt>
                <c:pt idx="42">
                  <c:v>-0.05</c:v>
                </c:pt>
                <c:pt idx="43">
                  <c:v>-0.16</c:v>
                </c:pt>
                <c:pt idx="44">
                  <c:v>0.11</c:v>
                </c:pt>
                <c:pt idx="45">
                  <c:v>0.21</c:v>
                </c:pt>
                <c:pt idx="46">
                  <c:v>0.68</c:v>
                </c:pt>
                <c:pt idx="47">
                  <c:v>0.67</c:v>
                </c:pt>
                <c:pt idx="48">
                  <c:v>2.94</c:v>
                </c:pt>
                <c:pt idx="49">
                  <c:v>2.19</c:v>
                </c:pt>
                <c:pt idx="50">
                  <c:v>1.8</c:v>
                </c:pt>
                <c:pt idx="51">
                  <c:v>2.86</c:v>
                </c:pt>
                <c:pt idx="52">
                  <c:v>-0.86</c:v>
                </c:pt>
                <c:pt idx="53">
                  <c:v>-0.45</c:v>
                </c:pt>
                <c:pt idx="54">
                  <c:v>2.11</c:v>
                </c:pt>
                <c:pt idx="55">
                  <c:v>-5.74</c:v>
                </c:pt>
                <c:pt idx="56">
                  <c:v>0.22</c:v>
                </c:pt>
                <c:pt idx="57">
                  <c:v>1.26</c:v>
                </c:pt>
                <c:pt idx="58">
                  <c:v>-9.84</c:v>
                </c:pt>
                <c:pt idx="59">
                  <c:v>2.38</c:v>
                </c:pt>
                <c:pt idx="60">
                  <c:v>1.42</c:v>
                </c:pt>
                <c:pt idx="61">
                  <c:v>0.75</c:v>
                </c:pt>
                <c:pt idx="62">
                  <c:v>1.25</c:v>
                </c:pt>
                <c:pt idx="63">
                  <c:v>3.19</c:v>
                </c:pt>
                <c:pt idx="64">
                  <c:v>3.12</c:v>
                </c:pt>
                <c:pt idx="65">
                  <c:v>1.33</c:v>
                </c:pt>
                <c:pt idx="66">
                  <c:v>3.63</c:v>
                </c:pt>
                <c:pt idx="67">
                  <c:v>3.42</c:v>
                </c:pt>
                <c:pt idx="68">
                  <c:v>3.02</c:v>
                </c:pt>
                <c:pt idx="69">
                  <c:v>0.45</c:v>
                </c:pt>
                <c:pt idx="70">
                  <c:v>0.53</c:v>
                </c:pt>
                <c:pt idx="71">
                  <c:v>0.39</c:v>
                </c:pt>
                <c:pt idx="72">
                  <c:v>-0.67</c:v>
                </c:pt>
                <c:pt idx="73">
                  <c:v>0.09</c:v>
                </c:pt>
                <c:pt idx="74">
                  <c:v>0.14</c:v>
                </c:pt>
                <c:pt idx="75">
                  <c:v>0.17</c:v>
                </c:pt>
                <c:pt idx="76">
                  <c:v>0.5</c:v>
                </c:pt>
                <c:pt idx="77">
                  <c:v>0.13</c:v>
                </c:pt>
                <c:pt idx="78">
                  <c:v>-0.06</c:v>
                </c:pt>
                <c:pt idx="79">
                  <c:v>0.01</c:v>
                </c:pt>
                <c:pt idx="80">
                  <c:v>-9.84</c:v>
                </c:pt>
                <c:pt idx="81">
                  <c:v>0.39</c:v>
                </c:pt>
                <c:pt idx="82">
                  <c:v>0.37</c:v>
                </c:pt>
                <c:pt idx="83">
                  <c:v>0.59</c:v>
                </c:pt>
                <c:pt idx="84">
                  <c:v>0.94</c:v>
                </c:pt>
                <c:pt idx="85">
                  <c:v>1.21</c:v>
                </c:pt>
                <c:pt idx="86">
                  <c:v>2.71</c:v>
                </c:pt>
                <c:pt idx="87">
                  <c:v>1.7</c:v>
                </c:pt>
                <c:pt idx="88">
                  <c:v>2.22</c:v>
                </c:pt>
                <c:pt idx="89">
                  <c:v>1.86</c:v>
                </c:pt>
                <c:pt idx="90">
                  <c:v>0.17</c:v>
                </c:pt>
                <c:pt idx="91">
                  <c:v>1.51</c:v>
                </c:pt>
                <c:pt idx="92">
                  <c:v>1.46</c:v>
                </c:pt>
                <c:pt idx="93">
                  <c:v>1.5</c:v>
                </c:pt>
                <c:pt idx="94">
                  <c:v>1.31</c:v>
                </c:pt>
                <c:pt idx="95">
                  <c:v>1.0</c:v>
                </c:pt>
                <c:pt idx="96">
                  <c:v>1.38</c:v>
                </c:pt>
                <c:pt idx="97">
                  <c:v>1.54</c:v>
                </c:pt>
                <c:pt idx="98">
                  <c:v>1.24</c:v>
                </c:pt>
                <c:pt idx="99">
                  <c:v>1.29</c:v>
                </c:pt>
                <c:pt idx="100">
                  <c:v>2.26</c:v>
                </c:pt>
                <c:pt idx="101">
                  <c:v>0.7</c:v>
                </c:pt>
                <c:pt idx="102">
                  <c:v>0.44</c:v>
                </c:pt>
                <c:pt idx="103">
                  <c:v>0.69</c:v>
                </c:pt>
                <c:pt idx="104">
                  <c:v>1.03</c:v>
                </c:pt>
                <c:pt idx="105">
                  <c:v>1.35</c:v>
                </c:pt>
                <c:pt idx="106">
                  <c:v>1.12</c:v>
                </c:pt>
                <c:pt idx="107">
                  <c:v>1.75</c:v>
                </c:pt>
                <c:pt idx="108">
                  <c:v>1.8</c:v>
                </c:pt>
                <c:pt idx="109">
                  <c:v>2.19</c:v>
                </c:pt>
                <c:pt idx="110">
                  <c:v>0.16</c:v>
                </c:pt>
                <c:pt idx="111">
                  <c:v>2.34</c:v>
                </c:pt>
                <c:pt idx="112">
                  <c:v>1.79</c:v>
                </c:pt>
                <c:pt idx="113">
                  <c:v>1.7</c:v>
                </c:pt>
                <c:pt idx="114">
                  <c:v>2.4</c:v>
                </c:pt>
                <c:pt idx="115">
                  <c:v>2.0</c:v>
                </c:pt>
                <c:pt idx="116">
                  <c:v>1.16</c:v>
                </c:pt>
                <c:pt idx="117">
                  <c:v>0.83</c:v>
                </c:pt>
                <c:pt idx="118">
                  <c:v>1.1</c:v>
                </c:pt>
                <c:pt idx="119">
                  <c:v>-1.15</c:v>
                </c:pt>
                <c:pt idx="120">
                  <c:v>0.66</c:v>
                </c:pt>
                <c:pt idx="121">
                  <c:v>0.22</c:v>
                </c:pt>
                <c:pt idx="122">
                  <c:v>0.11</c:v>
                </c:pt>
                <c:pt idx="123">
                  <c:v>0.66</c:v>
                </c:pt>
                <c:pt idx="124">
                  <c:v>0.29</c:v>
                </c:pt>
                <c:pt idx="125">
                  <c:v>0.05</c:v>
                </c:pt>
                <c:pt idx="126">
                  <c:v>0.45</c:v>
                </c:pt>
                <c:pt idx="127">
                  <c:v>-0.22</c:v>
                </c:pt>
                <c:pt idx="128">
                  <c:v>0.17</c:v>
                </c:pt>
                <c:pt idx="129">
                  <c:v>0.16</c:v>
                </c:pt>
                <c:pt idx="130">
                  <c:v>0.1</c:v>
                </c:pt>
                <c:pt idx="131">
                  <c:v>0.1</c:v>
                </c:pt>
                <c:pt idx="132">
                  <c:v>0.68</c:v>
                </c:pt>
                <c:pt idx="133">
                  <c:v>2.35</c:v>
                </c:pt>
                <c:pt idx="134">
                  <c:v>1.67</c:v>
                </c:pt>
                <c:pt idx="135">
                  <c:v>-4.14</c:v>
                </c:pt>
                <c:pt idx="136">
                  <c:v>0.76</c:v>
                </c:pt>
                <c:pt idx="137">
                  <c:v>0.81</c:v>
                </c:pt>
                <c:pt idx="138">
                  <c:v>0.93</c:v>
                </c:pt>
                <c:pt idx="139">
                  <c:v>0.42</c:v>
                </c:pt>
                <c:pt idx="140">
                  <c:v>0.17</c:v>
                </c:pt>
                <c:pt idx="141">
                  <c:v>1.21</c:v>
                </c:pt>
                <c:pt idx="142">
                  <c:v>0.81</c:v>
                </c:pt>
                <c:pt idx="143">
                  <c:v>0.41</c:v>
                </c:pt>
                <c:pt idx="144">
                  <c:v>0.34</c:v>
                </c:pt>
                <c:pt idx="145">
                  <c:v>0.96</c:v>
                </c:pt>
                <c:pt idx="146">
                  <c:v>0.92</c:v>
                </c:pt>
                <c:pt idx="147">
                  <c:v>3.39</c:v>
                </c:pt>
              </c:numCache>
            </c:numRef>
          </c:yVal>
          <c:smooth val="0"/>
        </c:ser>
        <c:ser>
          <c:idx val="2"/>
          <c:order val="2"/>
          <c:tx>
            <c:strRef>
              <c:f>Sheet1!$F$1</c:f>
              <c:strCache>
                <c:ptCount val="1"/>
                <c:pt idx="0">
                  <c:v>Regressiya chizig‘i</c:v>
                </c:pt>
              </c:strCache>
            </c:strRef>
          </c:tx>
          <c:spPr>
            <a:ln w="19050">
              <a:solidFill>
                <a:srgbClr val="000000"/>
              </a:solidFill>
            </a:ln>
          </c:spPr>
          <c:marker>
            <c:symbol val="none"/>
          </c:marker>
          <c:xVal>
            <c:numRef>
              <c:f>Sheet1!$E$2:$E$3</c:f>
              <c:numCache>
                <c:formatCode>General</c:formatCode>
                <c:ptCount val="2"/>
                <c:pt idx="0">
                  <c:v>0.0</c:v>
                </c:pt>
                <c:pt idx="1">
                  <c:v>18.0</c:v>
                </c:pt>
              </c:numCache>
            </c:numRef>
          </c:xVal>
          <c:yVal>
            <c:numRef>
              <c:f>Sheet1!$F$2:$F$3</c:f>
              <c:numCache>
                <c:formatCode>General</c:formatCode>
                <c:ptCount val="2"/>
                <c:pt idx="0">
                  <c:v>4.353</c:v>
                </c:pt>
                <c:pt idx="1">
                  <c:v>-4.418</c:v>
                </c:pt>
              </c:numCache>
            </c:numRef>
          </c:yVal>
          <c:smooth val="0"/>
        </c:ser>
        <c:axId val="333"/>
        <c:axId val="444"/>
      </c:scatterChart>
      <c:valAx>
        <c:axId val="333"/>
        <c:scaling>
          <c:orientation val="minMax"/>
          <c:max val="18.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
      </c:valAx>
      <c:valAx>
        <c:axId val="444"/>
        <c:scaling>
          <c:orientation val="minMax"/>
          <c:max val="15.0"/>
          <c:min val="-1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Aktivlar rentabelligi (ROA),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5"/>
            <c:spPr>
              <a:solidFill>
                <a:srgbClr val="000000"/>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Sheet1!$A$2:$A$18</c:f>
              <c:numCache>
                <c:formatCode>General</c:formatCode>
                <c:ptCount val="17"/>
                <c:pt idx="0">
                  <c:v>2021.0</c:v>
                </c:pt>
                <c:pt idx="1">
                  <c:v>2021.25</c:v>
                </c:pt>
                <c:pt idx="2">
                  <c:v>2021.5</c:v>
                </c:pt>
                <c:pt idx="3">
                  <c:v>2021.75</c:v>
                </c:pt>
                <c:pt idx="4">
                  <c:v>2022.0</c:v>
                </c:pt>
                <c:pt idx="5">
                  <c:v>2022.25</c:v>
                </c:pt>
                <c:pt idx="6">
                  <c:v>2022.5</c:v>
                </c:pt>
                <c:pt idx="7">
                  <c:v>2022.75</c:v>
                </c:pt>
                <c:pt idx="8">
                  <c:v>2023.0</c:v>
                </c:pt>
                <c:pt idx="9">
                  <c:v>2023.25</c:v>
                </c:pt>
                <c:pt idx="10">
                  <c:v>2023.5</c:v>
                </c:pt>
                <c:pt idx="11">
                  <c:v>2023.75</c:v>
                </c:pt>
                <c:pt idx="12">
                  <c:v>2024.0</c:v>
                </c:pt>
                <c:pt idx="13">
                  <c:v>2024.25</c:v>
                </c:pt>
                <c:pt idx="14">
                  <c:v>2024.5</c:v>
                </c:pt>
                <c:pt idx="15">
                  <c:v>2024.75</c:v>
                </c:pt>
                <c:pt idx="16">
                  <c:v>2025.0</c:v>
                </c:pt>
              </c:numCache>
            </c:numRef>
          </c:xVal>
          <c:yVal>
            <c:numRef>
              <c:f>Sheet1!$B$2:$B$18</c:f>
              <c:numCache>
                <c:formatCode>General</c:formatCode>
                <c:ptCount val="17"/>
                <c:pt idx="0">
                  <c:v>3.78</c:v>
                </c:pt>
                <c:pt idx="1">
                  <c:v>3.76</c:v>
                </c:pt>
                <c:pt idx="2">
                  <c:v>3.68</c:v>
                </c:pt>
                <c:pt idx="3">
                  <c:v>3.64</c:v>
                </c:pt>
                <c:pt idx="4">
                  <c:v>2.83</c:v>
                </c:pt>
                <c:pt idx="5">
                  <c:v>2.93</c:v>
                </c:pt>
                <c:pt idx="6">
                  <c:v>2.91</c:v>
                </c:pt>
                <c:pt idx="7">
                  <c:v>2.82</c:v>
                </c:pt>
                <c:pt idx="8">
                  <c:v>2.25</c:v>
                </c:pt>
                <c:pt idx="9">
                  <c:v>3.96</c:v>
                </c:pt>
                <c:pt idx="10">
                  <c:v>3.94</c:v>
                </c:pt>
                <c:pt idx="11">
                  <c:v>3.1</c:v>
                </c:pt>
                <c:pt idx="12">
                  <c:v>2.82</c:v>
                </c:pt>
                <c:pt idx="13">
                  <c:v>4.07</c:v>
                </c:pt>
                <c:pt idx="14">
                  <c:v>3.7</c:v>
                </c:pt>
                <c:pt idx="15">
                  <c:v>3.44</c:v>
                </c:pt>
                <c:pt idx="16">
                  <c:v>2.53</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Sheet1!$C$2:$C$14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Sheet1!$D$2:$D$14</c:f>
              <c:numCache>
                <c:formatCode>General</c:formatCode>
                <c:ptCount val="13"/>
                <c:pt idx="0">
                  <c:v>2.53</c:v>
                </c:pt>
                <c:pt idx="1">
                  <c:v>2.65</c:v>
                </c:pt>
                <c:pt idx="2">
                  <c:v>2.65</c:v>
                </c:pt>
                <c:pt idx="3">
                  <c:v>2.61</c:v>
                </c:pt>
                <c:pt idx="4">
                  <c:v>2.56</c:v>
                </c:pt>
                <c:pt idx="5">
                  <c:v>2.65</c:v>
                </c:pt>
                <c:pt idx="6">
                  <c:v>2.69</c:v>
                </c:pt>
                <c:pt idx="7">
                  <c:v>2.71</c:v>
                </c:pt>
                <c:pt idx="8">
                  <c:v>2.72</c:v>
                </c:pt>
                <c:pt idx="9">
                  <c:v>2.72</c:v>
                </c:pt>
                <c:pt idx="10">
                  <c:v>2.73</c:v>
                </c:pt>
                <c:pt idx="11">
                  <c:v>2.73</c:v>
                </c:pt>
                <c:pt idx="12">
                  <c:v>2.73</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Sheet1!$E$2:$E$14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Sheet1!$F$2:$F$14</c:f>
              <c:numCache>
                <c:formatCode>General</c:formatCode>
                <c:ptCount val="13"/>
                <c:pt idx="0">
                  <c:v>2.53</c:v>
                </c:pt>
                <c:pt idx="1">
                  <c:v>2.65</c:v>
                </c:pt>
                <c:pt idx="2">
                  <c:v>2.65</c:v>
                </c:pt>
                <c:pt idx="3">
                  <c:v>2.61</c:v>
                </c:pt>
                <c:pt idx="4">
                  <c:v>2.56</c:v>
                </c:pt>
                <c:pt idx="5">
                  <c:v>2.5</c:v>
                </c:pt>
                <c:pt idx="6">
                  <c:v>2.48</c:v>
                </c:pt>
                <c:pt idx="7">
                  <c:v>2.47</c:v>
                </c:pt>
                <c:pt idx="8">
                  <c:v>2.46</c:v>
                </c:pt>
                <c:pt idx="9">
                  <c:v>2.45</c:v>
                </c:pt>
                <c:pt idx="10">
                  <c:v>2.45</c:v>
                </c:pt>
                <c:pt idx="11">
                  <c:v>2.45</c:v>
                </c:pt>
                <c:pt idx="12">
                  <c:v>2.45</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Sheet1!$G$2:$G$14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Sheet1!$H$2:$H$14</c:f>
              <c:numCache>
                <c:formatCode>General</c:formatCode>
                <c:ptCount val="13"/>
                <c:pt idx="0">
                  <c:v>2.53</c:v>
                </c:pt>
                <c:pt idx="1">
                  <c:v>2.65</c:v>
                </c:pt>
                <c:pt idx="2">
                  <c:v>2.65</c:v>
                </c:pt>
                <c:pt idx="3">
                  <c:v>2.61</c:v>
                </c:pt>
                <c:pt idx="4">
                  <c:v>2.56</c:v>
                </c:pt>
                <c:pt idx="5">
                  <c:v>2.95</c:v>
                </c:pt>
                <c:pt idx="6">
                  <c:v>3.15</c:v>
                </c:pt>
                <c:pt idx="7">
                  <c:v>3.25</c:v>
                </c:pt>
                <c:pt idx="8">
                  <c:v>3.29</c:v>
                </c:pt>
                <c:pt idx="9">
                  <c:v>3.19</c:v>
                </c:pt>
                <c:pt idx="10">
                  <c:v>3.14</c:v>
                </c:pt>
                <c:pt idx="11">
                  <c:v>3.11</c:v>
                </c:pt>
                <c:pt idx="12">
                  <c:v>3.1</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Sheet1!$I$2:$I$14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Sheet1!$J$2:$J$14</c:f>
              <c:numCache>
                <c:formatCode>General</c:formatCode>
                <c:ptCount val="13"/>
                <c:pt idx="0">
                  <c:v>2.53</c:v>
                </c:pt>
                <c:pt idx="1">
                  <c:v>2.65</c:v>
                </c:pt>
                <c:pt idx="2">
                  <c:v>2.65</c:v>
                </c:pt>
                <c:pt idx="3">
                  <c:v>2.61</c:v>
                </c:pt>
                <c:pt idx="4">
                  <c:v>2.56</c:v>
                </c:pt>
                <c:pt idx="5">
                  <c:v>3.33</c:v>
                </c:pt>
                <c:pt idx="6">
                  <c:v>3.71</c:v>
                </c:pt>
                <c:pt idx="7">
                  <c:v>3.89</c:v>
                </c:pt>
                <c:pt idx="8">
                  <c:v>3.99</c:v>
                </c:pt>
                <c:pt idx="9">
                  <c:v>3.53</c:v>
                </c:pt>
                <c:pt idx="10">
                  <c:v>3.31</c:v>
                </c:pt>
                <c:pt idx="11">
                  <c:v>3.19</c:v>
                </c:pt>
                <c:pt idx="12">
                  <c:v>3.14</c:v>
                </c:pt>
              </c:numCache>
            </c:numRef>
          </c:yVal>
          <c:smooth val="0"/>
        </c:ser>
        <c:axId val="333"/>
        <c:axId val="444"/>
      </c:scatterChart>
      <c:valAx>
        <c:axId val="333"/>
        <c:scaling>
          <c:orientation val="minMax"/>
          <c:max val="2028.6"/>
          <c:min val="2021"/>
        </c:scaling>
        <c:delete val="0"/>
        <c:axPos val="b"/>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5.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Ulush,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5"/>
            <c:spPr>
              <a:solidFill>
                <a:srgbClr val="000000"/>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Sheet1!$A$2:$A$18</c:f>
              <c:numCache>
                <c:formatCode>General</c:formatCode>
                <c:ptCount val="17"/>
                <c:pt idx="0">
                  <c:v>2021.0</c:v>
                </c:pt>
                <c:pt idx="1">
                  <c:v>2021.25</c:v>
                </c:pt>
                <c:pt idx="2">
                  <c:v>2021.5</c:v>
                </c:pt>
                <c:pt idx="3">
                  <c:v>2021.75</c:v>
                </c:pt>
                <c:pt idx="4">
                  <c:v>2022.0</c:v>
                </c:pt>
                <c:pt idx="5">
                  <c:v>2022.25</c:v>
                </c:pt>
                <c:pt idx="6">
                  <c:v>2022.5</c:v>
                </c:pt>
                <c:pt idx="7">
                  <c:v>2022.75</c:v>
                </c:pt>
                <c:pt idx="8">
                  <c:v>2023.0</c:v>
                </c:pt>
                <c:pt idx="9">
                  <c:v>2023.25</c:v>
                </c:pt>
                <c:pt idx="10">
                  <c:v>2023.5</c:v>
                </c:pt>
                <c:pt idx="11">
                  <c:v>2023.75</c:v>
                </c:pt>
                <c:pt idx="12">
                  <c:v>2024.0</c:v>
                </c:pt>
                <c:pt idx="13">
                  <c:v>2024.25</c:v>
                </c:pt>
                <c:pt idx="14">
                  <c:v>2024.5</c:v>
                </c:pt>
                <c:pt idx="15">
                  <c:v>2024.75</c:v>
                </c:pt>
                <c:pt idx="16">
                  <c:v>2025.0</c:v>
                </c:pt>
              </c:numCache>
            </c:numRef>
          </c:xVal>
          <c:yVal>
            <c:numRef>
              <c:f>Sheet1!$B$2:$B$18</c:f>
              <c:numCache>
                <c:formatCode>General</c:formatCode>
                <c:ptCount val="17"/>
                <c:pt idx="0">
                  <c:v>5.94</c:v>
                </c:pt>
                <c:pt idx="1">
                  <c:v>5.97</c:v>
                </c:pt>
                <c:pt idx="2">
                  <c:v>5.91</c:v>
                </c:pt>
                <c:pt idx="3">
                  <c:v>5.57</c:v>
                </c:pt>
                <c:pt idx="4">
                  <c:v>4.77</c:v>
                </c:pt>
                <c:pt idx="5">
                  <c:v>5.36</c:v>
                </c:pt>
                <c:pt idx="6">
                  <c:v>5.18</c:v>
                </c:pt>
                <c:pt idx="7">
                  <c:v>5.14</c:v>
                </c:pt>
                <c:pt idx="8">
                  <c:v>5.99</c:v>
                </c:pt>
                <c:pt idx="9">
                  <c:v>6.7</c:v>
                </c:pt>
                <c:pt idx="10">
                  <c:v>6.81</c:v>
                </c:pt>
                <c:pt idx="11">
                  <c:v>6.7</c:v>
                </c:pt>
                <c:pt idx="12">
                  <c:v>4.62</c:v>
                </c:pt>
                <c:pt idx="13">
                  <c:v>6.61</c:v>
                </c:pt>
                <c:pt idx="14">
                  <c:v>6.01</c:v>
                </c:pt>
                <c:pt idx="15">
                  <c:v>4.91</c:v>
                </c:pt>
                <c:pt idx="16">
                  <c:v>4.41</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Sheet1!$C$2:$C$14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Sheet1!$D$2:$D$14</c:f>
              <c:numCache>
                <c:formatCode>General</c:formatCode>
                <c:ptCount val="13"/>
                <c:pt idx="0">
                  <c:v>4.41</c:v>
                </c:pt>
                <c:pt idx="1">
                  <c:v>4.62</c:v>
                </c:pt>
                <c:pt idx="2">
                  <c:v>4.62</c:v>
                </c:pt>
                <c:pt idx="3">
                  <c:v>4.54</c:v>
                </c:pt>
                <c:pt idx="4">
                  <c:v>4.47</c:v>
                </c:pt>
                <c:pt idx="5">
                  <c:v>4.62</c:v>
                </c:pt>
                <c:pt idx="6">
                  <c:v>4.69</c:v>
                </c:pt>
                <c:pt idx="7">
                  <c:v>4.72</c:v>
                </c:pt>
                <c:pt idx="8">
                  <c:v>4.75</c:v>
                </c:pt>
                <c:pt idx="9">
                  <c:v>4.75</c:v>
                </c:pt>
                <c:pt idx="10">
                  <c:v>4.76</c:v>
                </c:pt>
                <c:pt idx="11">
                  <c:v>4.76</c:v>
                </c:pt>
                <c:pt idx="12">
                  <c:v>4.76</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Sheet1!$E$2:$E$14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Sheet1!$F$2:$F$14</c:f>
              <c:numCache>
                <c:formatCode>General</c:formatCode>
                <c:ptCount val="13"/>
                <c:pt idx="0">
                  <c:v>4.41</c:v>
                </c:pt>
                <c:pt idx="1">
                  <c:v>4.62</c:v>
                </c:pt>
                <c:pt idx="2">
                  <c:v>4.62</c:v>
                </c:pt>
                <c:pt idx="3">
                  <c:v>4.54</c:v>
                </c:pt>
                <c:pt idx="4">
                  <c:v>4.47</c:v>
                </c:pt>
                <c:pt idx="5">
                  <c:v>4.37</c:v>
                </c:pt>
                <c:pt idx="6">
                  <c:v>4.32</c:v>
                </c:pt>
                <c:pt idx="7">
                  <c:v>4.31</c:v>
                </c:pt>
                <c:pt idx="8">
                  <c:v>4.29</c:v>
                </c:pt>
                <c:pt idx="9">
                  <c:v>4.28</c:v>
                </c:pt>
                <c:pt idx="10">
                  <c:v>4.28</c:v>
                </c:pt>
                <c:pt idx="11">
                  <c:v>4.28</c:v>
                </c:pt>
                <c:pt idx="12">
                  <c:v>4.28</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Sheet1!$G$2:$G$14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Sheet1!$H$2:$H$14</c:f>
              <c:numCache>
                <c:formatCode>General</c:formatCode>
                <c:ptCount val="13"/>
                <c:pt idx="0">
                  <c:v>4.41</c:v>
                </c:pt>
                <c:pt idx="1">
                  <c:v>4.62</c:v>
                </c:pt>
                <c:pt idx="2">
                  <c:v>4.62</c:v>
                </c:pt>
                <c:pt idx="3">
                  <c:v>4.54</c:v>
                </c:pt>
                <c:pt idx="4">
                  <c:v>4.47</c:v>
                </c:pt>
                <c:pt idx="5">
                  <c:v>5.15</c:v>
                </c:pt>
                <c:pt idx="6">
                  <c:v>5.49</c:v>
                </c:pt>
                <c:pt idx="7">
                  <c:v>5.66</c:v>
                </c:pt>
                <c:pt idx="8">
                  <c:v>5.74</c:v>
                </c:pt>
                <c:pt idx="9">
                  <c:v>5.56</c:v>
                </c:pt>
                <c:pt idx="10">
                  <c:v>5.47</c:v>
                </c:pt>
                <c:pt idx="11">
                  <c:v>5.43</c:v>
                </c:pt>
                <c:pt idx="12">
                  <c:v>5.4</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Sheet1!$I$2:$I$14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Sheet1!$J$2:$J$14</c:f>
              <c:numCache>
                <c:formatCode>General</c:formatCode>
                <c:ptCount val="13"/>
                <c:pt idx="0">
                  <c:v>4.41</c:v>
                </c:pt>
                <c:pt idx="1">
                  <c:v>4.62</c:v>
                </c:pt>
                <c:pt idx="2">
                  <c:v>4.62</c:v>
                </c:pt>
                <c:pt idx="3">
                  <c:v>4.54</c:v>
                </c:pt>
                <c:pt idx="4">
                  <c:v>4.47</c:v>
                </c:pt>
                <c:pt idx="5">
                  <c:v>5.8</c:v>
                </c:pt>
                <c:pt idx="6">
                  <c:v>6.46</c:v>
                </c:pt>
                <c:pt idx="7">
                  <c:v>6.78</c:v>
                </c:pt>
                <c:pt idx="8">
                  <c:v>6.95</c:v>
                </c:pt>
                <c:pt idx="9">
                  <c:v>6.15</c:v>
                </c:pt>
                <c:pt idx="10">
                  <c:v>5.77</c:v>
                </c:pt>
                <c:pt idx="11">
                  <c:v>5.56</c:v>
                </c:pt>
                <c:pt idx="12">
                  <c:v>5.47</c:v>
                </c:pt>
              </c:numCache>
            </c:numRef>
          </c:yVal>
          <c:smooth val="0"/>
        </c:ser>
        <c:axId val="333"/>
        <c:axId val="444"/>
      </c:scatterChart>
      <c:valAx>
        <c:axId val="333"/>
        <c:scaling>
          <c:orientation val="minMax"/>
          <c:max val="2028.6"/>
          <c:min val="2021"/>
        </c:scaling>
        <c:delete val="0"/>
        <c:axPos val="b"/>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8.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Ulush,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5"/>
            <c:spPr>
              <a:solidFill>
                <a:srgbClr val="000000"/>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Sheet1!$A$2:$A$18</c:f>
              <c:numCache>
                <c:formatCode>General</c:formatCode>
                <c:ptCount val="17"/>
                <c:pt idx="0">
                  <c:v>2021.0</c:v>
                </c:pt>
                <c:pt idx="1">
                  <c:v>2021.25</c:v>
                </c:pt>
                <c:pt idx="2">
                  <c:v>2021.5</c:v>
                </c:pt>
                <c:pt idx="3">
                  <c:v>2021.75</c:v>
                </c:pt>
                <c:pt idx="4">
                  <c:v>2022.0</c:v>
                </c:pt>
                <c:pt idx="5">
                  <c:v>2022.25</c:v>
                </c:pt>
                <c:pt idx="6">
                  <c:v>2022.5</c:v>
                </c:pt>
                <c:pt idx="7">
                  <c:v>2022.75</c:v>
                </c:pt>
                <c:pt idx="8">
                  <c:v>2023.0</c:v>
                </c:pt>
                <c:pt idx="9">
                  <c:v>2023.25</c:v>
                </c:pt>
                <c:pt idx="10">
                  <c:v>2023.5</c:v>
                </c:pt>
                <c:pt idx="11">
                  <c:v>2023.75</c:v>
                </c:pt>
                <c:pt idx="12">
                  <c:v>2024.0</c:v>
                </c:pt>
                <c:pt idx="13">
                  <c:v>2024.25</c:v>
                </c:pt>
                <c:pt idx="14">
                  <c:v>2024.5</c:v>
                </c:pt>
                <c:pt idx="15">
                  <c:v>2024.75</c:v>
                </c:pt>
                <c:pt idx="16">
                  <c:v>2025.0</c:v>
                </c:pt>
              </c:numCache>
            </c:numRef>
          </c:xVal>
          <c:yVal>
            <c:numRef>
              <c:f>Sheet1!$B$2:$B$18</c:f>
              <c:numCache>
                <c:formatCode>General</c:formatCode>
                <c:ptCount val="17"/>
                <c:pt idx="0">
                  <c:v>4.05</c:v>
                </c:pt>
                <c:pt idx="1">
                  <c:v>3.36</c:v>
                </c:pt>
                <c:pt idx="2">
                  <c:v>3.18</c:v>
                </c:pt>
                <c:pt idx="3">
                  <c:v>3.24</c:v>
                </c:pt>
                <c:pt idx="4">
                  <c:v>2.03</c:v>
                </c:pt>
                <c:pt idx="5">
                  <c:v>1.78</c:v>
                </c:pt>
                <c:pt idx="6">
                  <c:v>1.47</c:v>
                </c:pt>
                <c:pt idx="7">
                  <c:v>2.38</c:v>
                </c:pt>
                <c:pt idx="8">
                  <c:v>1.52</c:v>
                </c:pt>
                <c:pt idx="9">
                  <c:v>3.99</c:v>
                </c:pt>
                <c:pt idx="10">
                  <c:v>4.09</c:v>
                </c:pt>
                <c:pt idx="11">
                  <c:v>2.81</c:v>
                </c:pt>
                <c:pt idx="12">
                  <c:v>1.87</c:v>
                </c:pt>
                <c:pt idx="13">
                  <c:v>2.57</c:v>
                </c:pt>
                <c:pt idx="14">
                  <c:v>2.42</c:v>
                </c:pt>
                <c:pt idx="15">
                  <c:v>2.37</c:v>
                </c:pt>
                <c:pt idx="16">
                  <c:v>2.54</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Sheet1!$C$2:$C$14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Sheet1!$D$2:$D$14</c:f>
              <c:numCache>
                <c:formatCode>General</c:formatCode>
                <c:ptCount val="13"/>
                <c:pt idx="0">
                  <c:v>2.54</c:v>
                </c:pt>
                <c:pt idx="1">
                  <c:v>2.66</c:v>
                </c:pt>
                <c:pt idx="2">
                  <c:v>2.66</c:v>
                </c:pt>
                <c:pt idx="3">
                  <c:v>2.61</c:v>
                </c:pt>
                <c:pt idx="4">
                  <c:v>2.57</c:v>
                </c:pt>
                <c:pt idx="5">
                  <c:v>2.66</c:v>
                </c:pt>
                <c:pt idx="6">
                  <c:v>2.7</c:v>
                </c:pt>
                <c:pt idx="7">
                  <c:v>2.72</c:v>
                </c:pt>
                <c:pt idx="8">
                  <c:v>2.73</c:v>
                </c:pt>
                <c:pt idx="9">
                  <c:v>2.73</c:v>
                </c:pt>
                <c:pt idx="10">
                  <c:v>2.74</c:v>
                </c:pt>
                <c:pt idx="11">
                  <c:v>2.74</c:v>
                </c:pt>
                <c:pt idx="12">
                  <c:v>2.74</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Sheet1!$E$2:$E$14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Sheet1!$F$2:$F$14</c:f>
              <c:numCache>
                <c:formatCode>General</c:formatCode>
                <c:ptCount val="13"/>
                <c:pt idx="0">
                  <c:v>2.54</c:v>
                </c:pt>
                <c:pt idx="1">
                  <c:v>2.66</c:v>
                </c:pt>
                <c:pt idx="2">
                  <c:v>2.66</c:v>
                </c:pt>
                <c:pt idx="3">
                  <c:v>2.61</c:v>
                </c:pt>
                <c:pt idx="4">
                  <c:v>2.57</c:v>
                </c:pt>
                <c:pt idx="5">
                  <c:v>2.51</c:v>
                </c:pt>
                <c:pt idx="6">
                  <c:v>2.49</c:v>
                </c:pt>
                <c:pt idx="7">
                  <c:v>2.48</c:v>
                </c:pt>
                <c:pt idx="8">
                  <c:v>2.47</c:v>
                </c:pt>
                <c:pt idx="9">
                  <c:v>2.46</c:v>
                </c:pt>
                <c:pt idx="10">
                  <c:v>2.46</c:v>
                </c:pt>
                <c:pt idx="11">
                  <c:v>2.46</c:v>
                </c:pt>
                <c:pt idx="12">
                  <c:v>2.46</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Sheet1!$G$2:$G$14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Sheet1!$H$2:$H$14</c:f>
              <c:numCache>
                <c:formatCode>General</c:formatCode>
                <c:ptCount val="13"/>
                <c:pt idx="0">
                  <c:v>2.54</c:v>
                </c:pt>
                <c:pt idx="1">
                  <c:v>2.66</c:v>
                </c:pt>
                <c:pt idx="2">
                  <c:v>2.66</c:v>
                </c:pt>
                <c:pt idx="3">
                  <c:v>2.61</c:v>
                </c:pt>
                <c:pt idx="4">
                  <c:v>2.57</c:v>
                </c:pt>
                <c:pt idx="5">
                  <c:v>2.96</c:v>
                </c:pt>
                <c:pt idx="6">
                  <c:v>3.16</c:v>
                </c:pt>
                <c:pt idx="7">
                  <c:v>3.26</c:v>
                </c:pt>
                <c:pt idx="8">
                  <c:v>3.3</c:v>
                </c:pt>
                <c:pt idx="9">
                  <c:v>3.2</c:v>
                </c:pt>
                <c:pt idx="10">
                  <c:v>3.15</c:v>
                </c:pt>
                <c:pt idx="11">
                  <c:v>3.12</c:v>
                </c:pt>
                <c:pt idx="12">
                  <c:v>3.11</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Sheet1!$I$2:$I$14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Sheet1!$J$2:$J$14</c:f>
              <c:numCache>
                <c:formatCode>General</c:formatCode>
                <c:ptCount val="13"/>
                <c:pt idx="0">
                  <c:v>2.54</c:v>
                </c:pt>
                <c:pt idx="1">
                  <c:v>2.66</c:v>
                </c:pt>
                <c:pt idx="2">
                  <c:v>2.66</c:v>
                </c:pt>
                <c:pt idx="3">
                  <c:v>2.61</c:v>
                </c:pt>
                <c:pt idx="4">
                  <c:v>2.57</c:v>
                </c:pt>
                <c:pt idx="5">
                  <c:v>3.34</c:v>
                </c:pt>
                <c:pt idx="6">
                  <c:v>3.72</c:v>
                </c:pt>
                <c:pt idx="7">
                  <c:v>3.9</c:v>
                </c:pt>
                <c:pt idx="8">
                  <c:v>4.0</c:v>
                </c:pt>
                <c:pt idx="9">
                  <c:v>3.54</c:v>
                </c:pt>
                <c:pt idx="10">
                  <c:v>3.32</c:v>
                </c:pt>
                <c:pt idx="11">
                  <c:v>3.2</c:v>
                </c:pt>
                <c:pt idx="12">
                  <c:v>3.15</c:v>
                </c:pt>
              </c:numCache>
            </c:numRef>
          </c:yVal>
          <c:smooth val="0"/>
        </c:ser>
        <c:axId val="333"/>
        <c:axId val="444"/>
      </c:scatterChart>
      <c:valAx>
        <c:axId val="333"/>
        <c:scaling>
          <c:orientation val="minMax"/>
          <c:max val="2028.6"/>
          <c:min val="2021"/>
        </c:scaling>
        <c:delete val="0"/>
        <c:axPos val="b"/>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5.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Ulush,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