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80</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83</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83</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95</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113</w:t>
      </w:r>
    </w:p>
    <w:p w:rsidR="005603EC" w:rsidRDefault="00AB61AC">
      <w:pPr>
        <w:tabs>
          <w:tab w:val="right" w:leader="dot" w:pos="9354"/>
        </w:tabs>
        <w:spacing w:after="80" w:line="240" w:lineRule="auto"/>
        <w:ind w:left="454"/>
      </w:pPr>
      <w:r>
        <w:rPr>
          <w:sz w:val="26"/>
        </w:rPr>
        <w:t>II bob bo‘yicha xulosalar</w:t>
      </w:r>
      <w:r>
        <w:rPr>
          <w:sz w:val="26"/>
        </w:rPr>
        <w:tab/>
        <w:t>137</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140</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140</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156</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169</w:t>
      </w:r>
    </w:p>
    <w:p w:rsidR="005603EC" w:rsidRDefault="00AB61AC">
      <w:pPr>
        <w:tabs>
          <w:tab w:val="right" w:leader="dot" w:pos="9354"/>
        </w:tabs>
        <w:spacing w:after="80" w:line="240" w:lineRule="auto"/>
        <w:ind w:left="454"/>
      </w:pPr>
      <w:r>
        <w:rPr>
          <w:sz w:val="26"/>
        </w:rPr>
        <w:t>III bob bo‘yicha xulosalar</w:t>
      </w:r>
      <w:r>
        <w:rPr>
          <w:sz w:val="26"/>
        </w:rPr>
        <w:tab/>
        <w:t>187</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190</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190</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206</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218</w:t>
      </w:r>
    </w:p>
    <w:p w:rsidR="005603EC" w:rsidRDefault="00AB61AC">
      <w:pPr>
        <w:tabs>
          <w:tab w:val="right" w:leader="dot" w:pos="9354"/>
        </w:tabs>
        <w:spacing w:after="80" w:line="240" w:lineRule="auto"/>
        <w:ind w:left="454"/>
      </w:pPr>
      <w:r>
        <w:rPr>
          <w:sz w:val="26"/>
        </w:rPr>
        <w:t>IV bob bo‘yicha xulosalar</w:t>
      </w:r>
      <w:r>
        <w:rPr>
          <w:sz w:val="26"/>
        </w:rPr>
        <w:tab/>
        <w:t>231</w:t>
      </w:r>
    </w:p>
    <w:p w:rsidR="005603EC" w:rsidRDefault="00AB61AC">
      <w:pPr>
        <w:tabs>
          <w:tab w:val="right" w:leader="dot" w:pos="9354"/>
        </w:tabs>
        <w:spacing w:after="80" w:line="240" w:lineRule="auto"/>
      </w:pPr>
      <w:r>
        <w:rPr>
          <w:b/>
          <w:sz w:val="26"/>
        </w:rPr>
        <w:t>XULOSA</w:t>
      </w:r>
      <w:r>
        <w:rPr>
          <w:b/>
          <w:sz w:val="26"/>
        </w:rPr>
        <w:tab/>
        <w:t>234</w:t>
      </w:r>
    </w:p>
    <w:p w:rsidR="005603EC" w:rsidRDefault="00AB61AC">
      <w:pPr>
        <w:tabs>
          <w:tab w:val="right" w:leader="dot" w:pos="9354"/>
        </w:tabs>
        <w:spacing w:after="80" w:line="240" w:lineRule="auto"/>
      </w:pPr>
      <w:r>
        <w:rPr>
          <w:b/>
          <w:sz w:val="26"/>
        </w:rPr>
        <w:t>FOYDALANILGAN ADABIYOTLAR RO‘YXATI</w:t>
      </w:r>
      <w:r>
        <w:rPr>
          <w:b/>
          <w:sz w:val="26"/>
        </w:rPr>
        <w:tab/>
        <w:t>239</w:t>
      </w:r>
    </w:p>
    <w:p w:rsidR="005603EC" w:rsidRDefault="00AB61AC">
      <w:pPr>
        <w:tabs>
          <w:tab w:val="right" w:leader="dot" w:pos="9354"/>
        </w:tabs>
        <w:spacing w:after="80" w:line="240" w:lineRule="auto"/>
      </w:pPr>
      <w:r>
        <w:rPr>
          <w:b/>
          <w:sz w:val="26"/>
        </w:rPr>
        <w:t>ILOVALAR</w:t>
      </w:r>
      <w:r>
        <w:rPr>
          <w:b/>
          <w:sz w:val="26"/>
        </w:rPr>
        <w:tab/>
        <w:t>259</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 xml:space="preserve">asosiy matni 235 betni</w:t>
      </w:r>
      <w:r>
        <w:t xml:space="preserve"> tashkil etadi, unda 60 dan ortiq jadval va rasm keltirilgan, foydalanilgan </w:t>
      </w:r>
      <w:r>
        <w:rPr>
          <w:color w:val="FF0000"/>
        </w:rPr>
        <w:t xml:space="preserve">adabiyotlar </w:t>
      </w:r>
      <w:r>
        <w:rPr>
          <w:color w:val="FF0000"/>
        </w:rPr>
        <w:t xml:space="preserve">ro‘yxati 197 ta manbani</w:t>
      </w:r>
      <w:r>
        <w:t xml:space="preserve"> o‘z ichiga oladi, </w:t>
      </w:r>
      <w:r>
        <w:rPr>
          <w:color w:val="FF0000"/>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color w:val="FF0000"/>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color w:val="FF0000"/>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color w:val="FF0000"/>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color w:val="FF0000"/>
        </w:rPr>
        <w:footnoteReference w:id="84"/>
      </w:r>
      <w:r>
        <w:rPr>
          <w:color w:val="FF0000"/>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color w:val="FF0000"/>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color w:val="FF0000"/>
        </w:rPr>
        <w:footnoteReference w:id="85"/>
      </w:r>
      <w:r>
        <w:t xml:space="preserve">. Bundan kelib chiqadiki, moliyaviy barqarorlikni baholashda </w:t>
      </w:r>
      <w:r>
        <w:rPr>
          <w:color w:val="FF0000"/>
        </w:rPr>
        <w:t xml:space="preserve">aktivlar sifati va boshqaruv sifati bilan bir qatorda likvidlik hamda bozor risklariga, O‘zbekiston sharoitida birinchi navbatda valyuta riskiga sezgirlik bloklari ham bo‘lishi lozim</w:t>
      </w:r>
      <w:r>
        <w:t xml:space="preserve">. </w:t>
      </w:r>
      <w:r>
        <w:rPr>
          <w:color w:val="FF0000"/>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color w:val="FF0000"/>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color w:val="FF0000"/>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color w:val="FF0000"/>
        </w:rPr>
        <w:footnoteReference w:id="99"/>
      </w:r>
      <w:r>
        <w:rPr>
          <w:color w:val="FF0000"/>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BAITE, 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t>ularning afzalliklarini birlashtirish orqali takomillashtirilgan integral baholash tizimini qurish mumkin (1.2.5-rasm).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rsidR="00AB61AC" w:rsidRDefault="00AB61AC">
                        <w:pPr>
                          <w:spacing w:after="0" w:line="228" w:lineRule="auto"/>
                          <w:jc w:val="center"/>
                        </w:pPr>
                        <w:r>
                          <w:rPr>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rsidR="00AB61AC" w:rsidRDefault="00AB61AC">
                        <w:pPr>
                          <w:spacing w:after="0" w:line="228" w:lineRule="auto"/>
                          <w:jc w:val="center"/>
                        </w:pPr>
                        <w:r>
                          <w:rPr>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rsidR="00AB61AC" w:rsidRDefault="00AB61AC">
                        <w:pPr>
                          <w:spacing w:after="0" w:line="228" w:lineRule="auto"/>
                          <w:jc w:val="center"/>
                        </w:pPr>
                        <w:r>
                          <w:rPr>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rsidR="00AB61AC" w:rsidRDefault="00AB61AC">
                        <w:pPr>
                          <w:spacing w:after="0" w:line="228" w:lineRule="auto"/>
                          <w:jc w:val="center"/>
                        </w:pPr>
                        <w:r>
                          <w:rPr>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rsidR="00AB61AC" w:rsidRDefault="00AB61AC">
                        <w:pPr>
                          <w:spacing w:after="0" w:line="228" w:lineRule="auto"/>
                          <w:jc w:val="center"/>
                        </w:pPr>
                        <w:r>
                          <w:rPr>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rsidR="00AB61AC" w:rsidRDefault="00AB61AC">
                        <w:pPr>
                          <w:spacing w:after="0" w:line="228" w:lineRule="auto"/>
                          <w:jc w:val="center"/>
                        </w:pPr>
                        <w:r>
                          <w:rPr>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v:textbox>
                </v:roundrect>
                <w10:anchorlock/>
              </v:group>
            </w:pict>
          </mc:Fallback>
        </mc:AlternateContent>
      </w:r>
    </w:p>
    <w:p w:rsidR="005603EC" w:rsidRDefault="00AB61AC">
      <w:pPr>
        <w:pStyle w:val="af"/>
        <w:spacing w:before="120" w:after="240" w:line="240" w:lineRule="auto"/>
        <w:jc w:val="center"/>
      </w:pPr>
      <w:r>
        <w:rPr>
          <w:b/>
        </w:rPr>
        <w:t>1.2.5-rasm. Xalqaro standartlarning moliyaviy barqarorlikni integral baholash bloklari bilan bog‘liqligi</w:t>
      </w:r>
      <w:r>
        <w:rPr>
          <w:rStyle w:val="aff8"/>
        </w:rPr>
        <w:footnoteReference w:id="167"/>
      </w:r>
    </w:p>
    <w:p w:rsidR="005603EC" w:rsidRDefault="00AB61AC">
      <w:pPr>
        <w:pStyle w:val="af"/>
        <w:spacing w:after="0" w:line="360" w:lineRule="auto"/>
        <w:ind w:firstLine="709"/>
        <w:jc w:val="both"/>
      </w:pPr>
      <w: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CAMELS (1978–1979)</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FIMS, SEER, SCOR</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BAITE (1997), RATE (1998)</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ORAP (1997), SAABA</w:t>
            </w:r>
          </w:p>
        </w:tc>
        <w:tc>
          <w:tcPr>
            <w:tcW w:w="0" w:type="auto"/>
          </w:tcPr>
          <w:p w:rsidR="005603EC" w:rsidRDefault="00AB61AC">
            <w:pPr>
              <w:pStyle w:val="Compact"/>
              <w:spacing w:line="240" w:lineRule="auto"/>
            </w:pPr>
            <w:r>
              <w:rPr>
                <w:sz w:val="22"/>
              </w:rPr>
              <w:t>Reyting va ekspert tizimi</w:t>
            </w:r>
          </w:p>
        </w:tc>
        <w:tc>
          <w:tcPr>
            <w:tcW w:w="0" w:type="auto"/>
          </w:tcPr>
          <w:p w:rsidR="005603EC" w:rsidRDefault="00AB61AC">
            <w:pPr>
              <w:pStyle w:val="Compact"/>
              <w:spacing w:line="240" w:lineRule="auto"/>
            </w:pPr>
            <w:r>
              <w:rPr>
                <w:sz w:val="22"/>
              </w:rPr>
              <w:t>SAABA 25 ma’lumotlar bazasidan foydalanadi; 3 yillik to‘lov qobiliyati bahosi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Masofaviy nazorat va reyting</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RAST</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color w:val="FF0000"/>
        </w:rPr>
        <w:t xml:space="preserve"> 2015-yil 1-yanvardan Bazel III talablariga muvofiq tizimga asosiy kapital (CET1) mezoni qo‘shilgan va 1-darajali kapital chegaralari 2 foiz punktga oshirilgan</w:t>
      </w:r>
      <w:r>
        <w:rPr>
          <w:rStyle w:val="aff8"/>
          <w:color w:val="FF0000"/>
        </w:rPr>
        <w:footnoteReference w:id="177"/>
      </w:r>
      <w:r>
        <w:rPr>
          <w:color w:val="FF0000"/>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color w:val="FF0000"/>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color w:val="FF0000"/>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color w:val="FF0000"/>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color w:val="FF0000"/>
        </w:rPr>
        <w:footnoteReference w:id="181"/>
      </w:r>
      <w:r>
        <w:rPr>
          <w:color w:val="FF0000"/>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color w:val="FF0000"/>
        </w:rPr>
        <w:footnoteReference w:id="182"/>
      </w:r>
      <w:r>
        <w:rPr>
          <w:color w:val="FF0000"/>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6"/>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color w:val="FF0000"/>
        </w:rPr>
        <w:t xml:space="preserve">Angliya banki tomonidan ishlab chiqilgan va 1998-yildan Moliyaviy xizmatlar boshqarmasi tomonidan qo‘llangan RATE tizimi uch blokdan, ya’ni risklarni baholash, nazorat vositalari va samaradorlikni baholashdan iborat bo‘lgan</w:t>
      </w:r>
      <w:r>
        <w:rPr>
          <w:rStyle w:val="aff8"/>
          <w:color w:val="FF0000"/>
        </w:rPr>
        <w:footnoteReference w:id="190"/>
      </w:r>
      <w:r>
        <w:rPr>
          <w:color w:val="FF0000"/>
        </w:rPr>
        <w:t xml:space="preserve">. Risklarni baholashda CAMEL-B omillari (kapital, aktivlar, bozor riski, foyda, majburiyatlar, biznes) va COM omillari (nazorat, tashkiliy tuzilma, boshqaruv) asosida yagona ball chiqarilib, nazorat davri 6 oydan 3 yilgacha belgilangan</w:t>
      </w:r>
      <w:r>
        <w:rPr>
          <w:rStyle w:val="aff8"/>
          <w:color w:val="FF0000"/>
        </w:rPr>
        <w:footnoteReference w:id="191"/>
      </w:r>
      <w:r>
        <w:rPr>
          <w:rStyle w:val="aff8"/>
          <w:color w:val="FF0000"/>
        </w:rPr>
        <w:footnoteReference w:id="192"/>
      </w:r>
      <w:r>
        <w:rPr>
          <w:color w:val="FF0000"/>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color w:val="FF0000"/>
        </w:rPr>
        <w:footnoteReference w:id="193"/>
      </w:r>
      <w:r>
        <w:rPr>
          <w:color w:val="FF0000"/>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132000"/>
                <wp:effectExtent l="0" t="0" r="0" b="0"/>
                <wp:docPr id="9601" name="1.3.4-rasm"/>
                <wp:cNvGraphicFramePr/>
                <a:graphic>
                  <a:graphicData uri="http://schemas.microsoft.com/office/word/2010/wordprocessingGroup">
                    <wpg:wgp>
                      <wpg:cNvGrpSpPr/>
                      <wpg:grpSpPr>
                        <a:xfrm>
                          <a:off x="0" y="0"/>
                          <a:ext cx="5832000" cy="313200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color w:val="FF0000"/>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color w:val="FF0000"/>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color w:val="FF0000"/>
        </w:rPr>
        <w:footnoteReference w:id="195"/>
      </w:r>
      <w:r>
        <w:rPr>
          <w:color w:val="FF0000"/>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color w:val="FF0000"/>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color w:val="FF0000"/>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color w:val="FF0000"/>
        </w:rPr>
        <w:footnoteReference w:id="217"/>
      </w:r>
      <w:r>
        <w:rPr>
          <w:color w:val="FF0000"/>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color w:val="FF0000"/>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color w:val="FF0000"/>
        </w:rPr>
        <w:footnoteReference w:id="235"/>
      </w:r>
      <w:r>
        <w:rPr>
          <w:color w:val="FF0000"/>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color w:val="FF0000"/>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color w:val="FF0000"/>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color w:val="FF0000"/>
                <w:sz w:val="22"/>
              </w:rPr>
              <w:t xml:space="preserve">AQSh – FIMS; Yevropa Ittifoqi – EBA modellari</w:t>
            </w:r>
          </w:p>
        </w:tc>
        <w:tc>
          <w:tcPr>
            <w:tcW w:w="0" w:type="auto"/>
          </w:tcPr>
          <w:p w:rsidR="005603EC" w:rsidRDefault="00AB61AC">
            <w:pPr>
              <w:pStyle w:val="Compact"/>
              <w:spacing w:line="240" w:lineRule="auto"/>
            </w:pPr>
            <w:r>
              <w:rPr>
                <w:color w:val="FF0000"/>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color w:val="FF0000"/>
                <w:sz w:val="22"/>
              </w:rPr>
              <w:t xml:space="preserve">Buyuk Britaniya – RATE, PRA</w:t>
            </w:r>
          </w:p>
        </w:tc>
        <w:tc>
          <w:tcPr>
            <w:tcW w:w="0" w:type="auto"/>
          </w:tcPr>
          <w:p w:rsidR="005603EC" w:rsidRDefault="00AB61AC">
            <w:pPr>
              <w:pStyle w:val="Compact"/>
              <w:spacing w:line="240" w:lineRule="auto"/>
            </w:pPr>
            <w:r>
              <w:rPr>
                <w:color w:val="FF0000"/>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color w:val="FF0000"/>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color w:val="FF0000"/>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color w:val="FF0000"/>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color w:val="FF0000"/>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color w:val="FF0000"/>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color w:val="FF0000"/>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color w:val="FF0000"/>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color w:val="FF0000"/>
                <w:sz w:val="22"/>
              </w:rPr>
              <w:t xml:space="preserve">I darajali kapital monandligi</w:t>
            </w:r>
          </w:p>
        </w:tc>
        <w:tc>
          <w:tcPr>
            <w:tcW w:w="0" w:type="auto"/>
          </w:tcPr>
          <w:p w:rsidR="005603EC" w:rsidRDefault="00AB61AC">
            <w:pPr>
              <w:pStyle w:val="Compact"/>
              <w:spacing w:line="240" w:lineRule="auto"/>
            </w:pPr>
            <w:r>
              <w:rPr>
                <w:color w:val="FF0000"/>
                <w:sz w:val="22"/>
              </w:rPr>
              <w:t xml:space="preserve">≥ 10% (2025-yilgacha); ≥ 6% + buferlar (2026-yildan)</w:t>
            </w:r>
          </w:p>
        </w:tc>
        <w:tc>
          <w:tcPr>
            <w:tcW w:w="0" w:type="auto"/>
          </w:tcPr>
          <w:p w:rsidR="005603EC" w:rsidRDefault="00AB61AC">
            <w:pPr>
              <w:pStyle w:val="Compact"/>
              <w:spacing w:line="240" w:lineRule="auto"/>
            </w:pPr>
            <w:r>
              <w:rPr>
                <w:color w:val="FF0000"/>
                <w:sz w:val="22"/>
              </w:rPr>
              <w:t xml:space="preserve">≥ 6%</w:t>
            </w:r>
          </w:p>
        </w:tc>
        <w:tc>
          <w:tcPr>
            <w:tcW w:w="0" w:type="auto"/>
          </w:tcPr>
          <w:p w:rsidR="005603EC" w:rsidRDefault="00AB61AC">
            <w:pPr>
              <w:pStyle w:val="Compact"/>
              <w:spacing w:line="240" w:lineRule="auto"/>
            </w:pPr>
            <w:r>
              <w:rPr>
                <w:color w:val="FF0000"/>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color w:val="FF0000"/>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color w:val="FF0000"/>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50"/>
      </w:r>
      <w:r>
        <w:rPr>
          <w:color w:val="FF0000"/>
        </w:rPr>
        <w:t>, 2026-yildan amal qiladigan talablar va buferlar esa Markaziy bankning moliyaviy barqarorlik sharhi bo‘yicha keltirildi</w:t>
      </w:r>
      <w:r>
        <w:rPr>
          <w:rStyle w:val="aff8"/>
          <w:color w:val="FF0000"/>
        </w:rPr>
        <w:footnoteReference w:id="251"/>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Amaldagi baholash tizimi natijalariga ko‘ra, O‘zbekiston bank tizimi kapital yetarliligi bo‘yicha barqaror holatda. Kapital monandligi 2021–2025-yillarda 17,4–18,3 foiz oralig‘ida bo‘lib, 2023-yil oxirida 17,5 foizni</w:t>
      </w:r>
      <w:r>
        <w:rPr>
          <w:rStyle w:val="aff8"/>
        </w:rPr>
        <w:footnoteReference w:id="259"/>
      </w:r>
      <w:r>
        <w:t xml:space="preserve">, 2025-yil oxirida 18,3 foizni tashkil etgan; asosiy kapital (CET1) monandligi 2025-yil oxirida 14,7 foizga </w:t>
      </w:r>
      <w:r>
        <w:lastRenderedPageBreak/>
        <w:t>teng bo‘lgan</w:t>
      </w:r>
      <w:r>
        <w:rPr>
          <w:rStyle w:val="aff8"/>
        </w:rPr>
        <w:footnoteReference w:id="260"/>
      </w:r>
      <w:r>
        <w:t>. Muammoli kreditlar ulushi esa 2021-yil oxiridagi 5,2 foizdan 2025-yil oxirida 3,0 foizgacha kamaygan</w:t>
      </w:r>
      <w:r>
        <w:rPr>
          <w:rStyle w:val="aff8"/>
        </w:rPr>
        <w:footnoteReference w:id="261"/>
      </w:r>
      <w:r>
        <w:t xml:space="preserve"> (2.1.3-rasm).</w:t>
      </w:r>
    </w:p>
    <w:p w:rsidR="005603EC" w:rsidRDefault="00AB61AC">
      <w:pPr>
        <w:pStyle w:val="af"/>
        <w:keepNext/>
        <w:spacing w:after="0" w:line="240" w:lineRule="auto"/>
        <w:jc w:val="center"/>
      </w:pPr>
      <w:r>
        <w:rPr>
          <w:noProof/>
          <w:lang w:val="ru-RU" w:eastAsia="ru-RU"/>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5603EC" w:rsidRDefault="00AB61AC">
      <w:pPr>
        <w:pStyle w:val="af"/>
        <w:spacing w:before="120" w:after="240" w:line="240" w:lineRule="auto"/>
        <w:jc w:val="center"/>
      </w:pPr>
      <w:r>
        <w:rPr>
          <w:b/>
        </w:rPr>
        <w:t>2.1.3-rasm. O‘zbekiston bank tizimida kapital monandligi ko‘rsatkichlari dinamikasi, %</w:t>
      </w:r>
      <w:r>
        <w:rPr>
          <w:rStyle w:val="aff8"/>
        </w:rPr>
        <w:footnoteReference w:id="262"/>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(2.1.4-rasm).</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2.1.4-rasm.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color w:val="FF0000"/>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color w:val="FF0000"/>
                <w:sz w:val="22"/>
              </w:rPr>
              <w:t xml:space="preserve">2025–2028-y.</w:t>
            </w:r>
          </w:p>
        </w:tc>
      </w:tr>
    </w:tbl>
    <w:p w:rsidR="005603EC" w:rsidRDefault="00AB61AC">
      <w:pPr>
        <w:pStyle w:val="af"/>
        <w:spacing w:after="0" w:line="360" w:lineRule="auto"/>
        <w:ind w:firstLine="709"/>
        <w:jc w:val="both"/>
      </w:pPr>
      <w:r>
        <w:t>Jadvalda keltirilgan tafovutlarni tahlil qilish ularni besh guruhga ajratish imkonini beradi (2.1.5-rasm).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2.1.5-rasm.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70"/>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80"/>
      </w:r>
      <w:r>
        <w:rPr>
          <w:rStyle w:val="aff8"/>
        </w:rPr>
        <w:footnoteReference w:id="281"/>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O‘zbekiston bank tizimining moliyaviy barqarorlik ko‘rsatkichlari, yil oxiriga,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53,6</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0"/>
      </w:r>
    </w:p>
    <w:p w:rsidR="005603EC" w:rsidRDefault="00AB61AC">
      <w:pPr>
        <w:pStyle w:val="af"/>
        <w:spacing w:after="0" w:line="360" w:lineRule="auto"/>
        <w:ind w:firstLine="709"/>
        <w:jc w:val="both"/>
      </w:pPr>
      <w:r>
        <w:t>Xalqaro mezonlar nuqtai nazaridan bu ko‘rsatkichlar yuqori: Bazel III da jami kapital uchun 8 foiz, konservatsiya buferi bilan 10,5 foiz, asosiy kapital uchun esa 4,5 foiz minimum belgilangan</w:t>
      </w:r>
      <w:r>
        <w:rPr>
          <w:rStyle w:val="aff8"/>
        </w:rPr>
        <w:footnoteReference w:id="291"/>
      </w:r>
      <w:r>
        <w:t>. CAMELS tizimida eng yuqori, ya’ni 1-reyting kapital koeffitsiyentlari 4 va 8 foizlik chegaralardan ancha yuqori bo‘lganda beriladi</w:t>
      </w:r>
      <w:r>
        <w:rPr>
          <w:rStyle w:val="aff8"/>
        </w:rPr>
        <w:footnoteReference w:id="292"/>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3"/>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4"/>
      </w:r>
      <w:r>
        <w:t xml:space="preserve">. Uchinchidan, Markaziy bankning stress-testlari salbiy ssenariyda asosiy kapital koeffitsiyenti </w:t>
      </w:r>
      <w:r>
        <w:lastRenderedPageBreak/>
        <w:t>2028-yil oxirigacha 5,6 foizgacha, jami kapital monandligi esa 6,8 foizgacha pasayishi mumkinligini ko‘rsatgan</w:t>
      </w:r>
      <w:r>
        <w:rPr>
          <w:rStyle w:val="aff8"/>
        </w:rPr>
        <w:footnoteReference w:id="295"/>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8"/>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12"/>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3"/>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14"/>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5"/>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16"/>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7"/>
      </w:r>
      <w:r>
        <w:rPr>
          <w:rStyle w:val="aff8"/>
        </w:rPr>
        <w:footnoteReference w:id="318"/>
      </w:r>
      <w:r>
        <w:t>. Bundan ham muhimi, bankda 2-bosqich, ya’ni kredit riski sezilarli oshgan kreditlar ulushi 2023-yildagi 15,8 foizdan 2024-yilda 27,1 foizga, 2025-yilda esa 35,7 foizga ko‘tarilgan</w:t>
      </w:r>
      <w:r>
        <w:rPr>
          <w:rStyle w:val="aff8"/>
        </w:rPr>
        <w:footnoteReference w:id="319"/>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0"/>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21"/>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2"/>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23"/>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24"/>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25"/>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7"/>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6"/>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7"/>
      </w:r>
      <w:r>
        <w:t>. MHXS 9 da esa zaxira har bir kredit yoki kreditlar guruhi bo‘yicha defolt ehtimoli, garov qiymati va kutilayotgan undirish summasini hisobga olgan holda aniqlanadi</w:t>
      </w:r>
      <w:r>
        <w:rPr>
          <w:rStyle w:val="aff8"/>
        </w:rPr>
        <w:footnoteReference w:id="338"/>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3"/>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4"/>
      </w:r>
      <w:r>
        <w:rPr>
          <w:rStyle w:val="aff8"/>
        </w:rPr>
        <w:footnoteReference w:id="345"/>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6"/>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9"/>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50"/>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2"/>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8"/>
      </w:r>
      <w:r>
        <w:rPr>
          <w:rStyle w:val="aff8"/>
        </w:rPr>
        <w:footnoteReference w:id="359"/>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60"/>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61"/>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62"/>
      </w:r>
      <w:r>
        <w:rPr>
          <w:color w:val="FF0000"/>
        </w:rPr>
        <w:t>, “yo‘l xaritasi”ga ko‘ra esa ular Bazel III ga to‘liq moslashtirilib, 2026-yil 1-yanvardan monitoring qilinadi</w:t>
      </w:r>
      <w:r>
        <w:rPr>
          <w:rStyle w:val="aff8"/>
          <w:color w:val="FF0000"/>
        </w:rPr>
        <w:footnoteReference w:id="363"/>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66"/>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8"/>
      </w:r>
      <w:r>
        <w:rPr>
          <w:color w:val="0070C0"/>
        </w:rPr>
        <w:t xml:space="preserve"> va auditdan o‘tgan MHXS bo‘yicha konsolidatsiyalangan moliyaviy hisobotlari</w:t>
      </w:r>
      <w:r>
        <w:rPr>
          <w:rStyle w:val="aff8"/>
          <w:color w:val="0070C0"/>
        </w:rPr>
        <w:footnoteReference w:id="369"/>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71"/>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90"/>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94"/>
      </w:r>
      <w:r>
        <w:rPr>
          <w:rStyle w:val="aff8"/>
        </w:rPr>
        <w:footnoteReference w:id="395"/>
      </w:r>
      <w:r>
        <w:t xml:space="preserve">. Kreditlarning depozitlarga nisbati uchun esa likvidlik nizomida </w:t>
      </w:r>
      <w:r>
        <w:rPr>
          <w:highlight w:val="green"/>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1"/>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34"/>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75"/>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502"/>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503"/>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32"/>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9"/>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color w:val="FF0000"/>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color w:val="FF0000"/>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color w:val="FF0000"/>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color w:val="FF0000"/>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color w:val="FF0000"/>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color w:val="FF0000"/>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color w:val="FF0000"/>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color w:val="FF0000"/>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color w:val="FF0000"/>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color w:val="FF0000"/>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color w:val="FF0000"/>
          <w:sz w:val="24"/>
        </w:rPr>
        <w:t xml:space="preserve">9-ilova</w:t>
      </w:r>
    </w:p>
    <w:p w:rsidR="005603EC" w:rsidRDefault="00AB61AC">
      <w:pPr>
        <w:spacing w:after="120" w:line="240" w:lineRule="auto"/>
        <w:jc w:val="center"/>
      </w:pPr>
      <w:r>
        <w:rPr>
          <w:b/>
          <w:color w:val="FF0000"/>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color w:val="FF0000"/>
                <w:sz w:val="18"/>
              </w:rPr>
              <w:t xml:space="preserve">№</w:t>
            </w:r>
          </w:p>
        </w:tc>
        <w:tc>
          <w:tcPr>
            <w:tcW w:w="2700" w:type="dxa"/>
            <w:shd w:val="clear" w:color="auto" w:fill="DEEBF7"/>
          </w:tcPr>
          <w:p>
            <w:pPr>
              <w:jc w:val="center"/>
            </w:pPr>
            <w:r>
              <w:rPr>
                <w:b/>
                <w:color w:val="FF0000"/>
                <w:sz w:val="18"/>
              </w:rPr>
              <w:t xml:space="preserve">Bank, mamlakat</w:t>
            </w:r>
          </w:p>
        </w:tc>
        <w:tc>
          <w:tcPr>
            <w:tcW w:w="700" w:type="dxa"/>
            <w:shd w:val="clear" w:color="auto" w:fill="DEEBF7"/>
          </w:tcPr>
          <w:p>
            <w:pPr>
              <w:jc w:val="center"/>
            </w:pPr>
            <w:r>
              <w:rPr>
                <w:b/>
                <w:color w:val="FF0000"/>
                <w:sz w:val="18"/>
              </w:rPr>
              <w:t xml:space="preserve">Yil</w:t>
            </w:r>
          </w:p>
        </w:tc>
        <w:tc>
          <w:tcPr>
            <w:tcW w:w="6300" w:type="dxa"/>
            <w:shd w:val="clear" w:color="auto" w:fill="DEEBF7"/>
          </w:tcPr>
          <w:p>
            <w:pPr>
              <w:jc w:val="center"/>
            </w:pPr>
            <w:r>
              <w:rPr>
                <w:b/>
                <w:color w:val="FF0000"/>
                <w:sz w:val="18"/>
              </w:rPr>
              <w:t xml:space="preserve">Rasmiy hisobotlarda qayd etilgan sabablar</w:t>
            </w:r>
          </w:p>
        </w:tc>
        <w:tc>
          <w:tcPr>
            <w:tcW w:w="420" w:type="dxa"/>
            <w:shd w:val="clear" w:color="auto" w:fill="DEEBF7"/>
          </w:tcPr>
          <w:p>
            <w:pPr>
              <w:jc w:val="center"/>
            </w:pPr>
            <w:r>
              <w:rPr>
                <w:b/>
                <w:color w:val="FF0000"/>
                <w:sz w:val="18"/>
              </w:rPr>
              <w:t xml:space="preserve">B</w:t>
            </w:r>
          </w:p>
        </w:tc>
        <w:tc>
          <w:tcPr>
            <w:tcW w:w="420" w:type="dxa"/>
            <w:shd w:val="clear" w:color="auto" w:fill="DEEBF7"/>
          </w:tcPr>
          <w:p>
            <w:pPr>
              <w:jc w:val="center"/>
            </w:pPr>
            <w:r>
              <w:rPr>
                <w:b/>
                <w:color w:val="FF0000"/>
                <w:sz w:val="18"/>
              </w:rPr>
              <w:t xml:space="preserve">A</w:t>
            </w:r>
          </w:p>
        </w:tc>
        <w:tc>
          <w:tcPr>
            <w:tcW w:w="420" w:type="dxa"/>
            <w:shd w:val="clear" w:color="auto" w:fill="DEEBF7"/>
          </w:tcPr>
          <w:p>
            <w:pPr>
              <w:jc w:val="center"/>
            </w:pPr>
            <w:r>
              <w:rPr>
                <w:b/>
                <w:color w:val="FF0000"/>
                <w:sz w:val="18"/>
              </w:rPr>
              <w:t xml:space="preserve">N</w:t>
            </w:r>
          </w:p>
        </w:tc>
        <w:tc>
          <w:tcPr>
            <w:tcW w:w="420" w:type="dxa"/>
            <w:shd w:val="clear" w:color="auto" w:fill="DEEBF7"/>
          </w:tcPr>
          <w:p>
            <w:pPr>
              <w:jc w:val="center"/>
            </w:pPr>
            <w:r>
              <w:rPr>
                <w:b/>
                <w:color w:val="FF0000"/>
                <w:sz w:val="18"/>
              </w:rPr>
              <w:t xml:space="preserve">F</w:t>
            </w:r>
          </w:p>
        </w:tc>
        <w:tc>
          <w:tcPr>
            <w:tcW w:w="420" w:type="dxa"/>
            <w:shd w:val="clear" w:color="auto" w:fill="DEEBF7"/>
          </w:tcPr>
          <w:p>
            <w:pPr>
              <w:jc w:val="center"/>
            </w:pPr>
            <w:r>
              <w:rPr>
                <w:b/>
                <w:color w:val="FF0000"/>
                <w:sz w:val="18"/>
              </w:rPr>
              <w:t xml:space="preserve">L</w:t>
            </w:r>
          </w:p>
        </w:tc>
        <w:tc>
          <w:tcPr>
            <w:tcW w:w="420" w:type="dxa"/>
            <w:shd w:val="clear" w:color="auto" w:fill="DEEBF7"/>
          </w:tcPr>
          <w:p>
            <w:pPr>
              <w:jc w:val="center"/>
            </w:pPr>
            <w:r>
              <w:rPr>
                <w:b/>
                <w:color w:val="FF0000"/>
                <w:sz w:val="18"/>
              </w:rPr>
              <w:t xml:space="preserve">S</w:t>
            </w:r>
          </w:p>
        </w:tc>
        <w:tc>
          <w:tcPr>
            <w:tcW w:w="420" w:type="dxa"/>
            <w:shd w:val="clear" w:color="auto" w:fill="DEEBF7"/>
          </w:tcPr>
          <w:p>
            <w:pPr>
              <w:jc w:val="center"/>
            </w:pPr>
            <w:r>
              <w:rPr>
                <w:b/>
                <w:color w:val="FF0000"/>
                <w:sz w:val="18"/>
              </w:rPr>
              <w:t xml:space="preserve">D</w:t>
            </w:r>
          </w:p>
        </w:tc>
        <w:tc>
          <w:tcPr>
            <w:tcW w:w="1330" w:type="dxa"/>
            <w:shd w:val="clear" w:color="auto" w:fill="DEEBF7"/>
          </w:tcPr>
          <w:p>
            <w:pPr>
              <w:jc w:val="center"/>
            </w:pPr>
            <w:r>
              <w:rPr>
                <w:b/>
                <w:color w:val="FF0000"/>
                <w:sz w:val="18"/>
              </w:rPr>
              <w:t xml:space="preserve">Manba</w:t>
            </w:r>
          </w:p>
        </w:tc>
      </w:tr>
      <w:tr>
        <w:trPr>
          <w:cantSplit/>
        </w:trPr>
        <w:tc>
          <w:tcPr>
            <w:tcW w:w="600" w:type="dxa"/>
          </w:tcPr>
          <w:p>
            <w:pPr>
              <w:jc w:val="center"/>
            </w:pPr>
            <w:r>
              <w:rPr>
                <w:color w:val="FF0000"/>
                <w:sz w:val="18"/>
              </w:rPr>
              <w:t xml:space="preserve">1</w:t>
            </w:r>
          </w:p>
        </w:tc>
        <w:tc>
          <w:tcPr>
            <w:tcW w:w="2700" w:type="dxa"/>
          </w:tcPr>
          <w:p>
            <w:pPr/>
            <w:r>
              <w:rPr>
                <w:color w:val="FF0000"/>
                <w:sz w:val="18"/>
              </w:rPr>
              <w:t xml:space="preserve">Greensill Bank AG (Germaniya)</w:t>
            </w:r>
          </w:p>
        </w:tc>
        <w:tc>
          <w:tcPr>
            <w:tcW w:w="700" w:type="dxa"/>
          </w:tcPr>
          <w:p>
            <w:pPr>
              <w:jc w:val="center"/>
            </w:pPr>
            <w:r>
              <w:rPr>
                <w:color w:val="FF0000"/>
                <w:sz w:val="18"/>
              </w:rPr>
              <w:t xml:space="preserve">2021</w:t>
            </w:r>
          </w:p>
        </w:tc>
        <w:tc>
          <w:tcPr>
            <w:tcW w:w="6300" w:type="dxa"/>
          </w:tcPr>
          <w:p>
            <w:pPr/>
            <w:r>
              <w:rPr>
                <w:color w:val="FF0000"/>
                <w:sz w:val="18"/>
              </w:rPr>
              <w:t xml:space="preserve">Balansdagi GFG Alliance guruhi debitorlik qarzlari mavjudligini tasdiqlay olmaslik (kredit konsentratsiyasi); balansni soxtalashtirish bo‘yicha jinoiy ariza</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2</w:t>
            </w:r>
          </w:p>
        </w:tc>
        <w:tc>
          <w:tcPr>
            <w:tcW w:w="2700" w:type="dxa"/>
          </w:tcPr>
          <w:p>
            <w:pPr/>
            <w:r>
              <w:rPr>
                <w:color w:val="FF0000"/>
                <w:sz w:val="18"/>
              </w:rPr>
              <w:t xml:space="preserve">Silicon Valley Bank (AQSh)</w:t>
            </w:r>
          </w:p>
        </w:tc>
        <w:tc>
          <w:tcPr>
            <w:tcW w:w="700" w:type="dxa"/>
          </w:tcPr>
          <w:p>
            <w:pPr>
              <w:jc w:val="center"/>
            </w:pPr>
            <w:r>
              <w:rPr>
                <w:color w:val="FF0000"/>
                <w:sz w:val="18"/>
              </w:rPr>
              <w:t xml:space="preserve">2023</w:t>
            </w:r>
          </w:p>
        </w:tc>
        <w:tc>
          <w:tcPr>
            <w:tcW w:w="6300" w:type="dxa"/>
          </w:tcPr>
          <w:p>
            <w:pPr/>
            <w:r>
              <w:rPr>
                <w:color w:val="FF0000"/>
                <w:sz w:val="18"/>
              </w:rPr>
              <w:t xml:space="preserve">Boshqaruv tez o‘sish va konsentratsiya risklarini nazorat qilmagan; foiz stavkasi riski xedjlari olib tashlangan; 40 mlrd dollarlik depozitlar oqimi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FRT OIG, 2023-SR-B-013</w:t>
            </w:r>
          </w:p>
        </w:tc>
      </w:tr>
      <w:tr>
        <w:trPr>
          <w:cantSplit/>
        </w:trPr>
        <w:tc>
          <w:tcPr>
            <w:tcW w:w="600" w:type="dxa"/>
          </w:tcPr>
          <w:p>
            <w:pPr>
              <w:jc w:val="center"/>
            </w:pPr>
            <w:r>
              <w:rPr>
                <w:color w:val="FF0000"/>
                <w:sz w:val="18"/>
              </w:rPr>
              <w:t xml:space="preserve">3</w:t>
            </w:r>
          </w:p>
        </w:tc>
        <w:tc>
          <w:tcPr>
            <w:tcW w:w="2700" w:type="dxa"/>
          </w:tcPr>
          <w:p>
            <w:pPr/>
            <w:r>
              <w:rPr>
                <w:color w:val="FF0000"/>
                <w:sz w:val="18"/>
              </w:rPr>
              <w:t xml:space="preserve">Signature Bank (AQSh)</w:t>
            </w:r>
          </w:p>
        </w:tc>
        <w:tc>
          <w:tcPr>
            <w:tcW w:w="700" w:type="dxa"/>
          </w:tcPr>
          <w:p>
            <w:pPr>
              <w:jc w:val="center"/>
            </w:pPr>
            <w:r>
              <w:rPr>
                <w:color w:val="FF0000"/>
                <w:sz w:val="18"/>
              </w:rPr>
              <w:t xml:space="preserve">2023</w:t>
            </w:r>
          </w:p>
        </w:tc>
        <w:tc>
          <w:tcPr>
            <w:tcW w:w="6300" w:type="dxa"/>
          </w:tcPr>
          <w:p>
            <w:pPr/>
            <w:r>
              <w:rPr>
                <w:color w:val="FF0000"/>
                <w:sz w:val="18"/>
              </w:rPr>
              <w:t xml:space="preserve">Likvidlik va favqulodda moliyalashtirish mexanizmlarining yetarli emasligi; boshqaruvning risk menejmenti amaliyoti zaif</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EVAL-24-02</w:t>
            </w:r>
          </w:p>
        </w:tc>
      </w:tr>
      <w:tr>
        <w:trPr>
          <w:cantSplit/>
        </w:trPr>
        <w:tc>
          <w:tcPr>
            <w:tcW w:w="600" w:type="dxa"/>
          </w:tcPr>
          <w:p>
            <w:pPr>
              <w:jc w:val="center"/>
            </w:pPr>
            <w:r>
              <w:rPr>
                <w:color w:val="FF0000"/>
                <w:sz w:val="18"/>
              </w:rPr>
              <w:t xml:space="preserve">4</w:t>
            </w:r>
          </w:p>
        </w:tc>
        <w:tc>
          <w:tcPr>
            <w:tcW w:w="2700" w:type="dxa"/>
          </w:tcPr>
          <w:p>
            <w:pPr/>
            <w:r>
              <w:rPr>
                <w:color w:val="FF0000"/>
                <w:sz w:val="18"/>
              </w:rPr>
              <w:t xml:space="preserve">First Republic Bank (AQSh)</w:t>
            </w:r>
          </w:p>
        </w:tc>
        <w:tc>
          <w:tcPr>
            <w:tcW w:w="700" w:type="dxa"/>
          </w:tcPr>
          <w:p>
            <w:pPr>
              <w:jc w:val="center"/>
            </w:pPr>
            <w:r>
              <w:rPr>
                <w:color w:val="FF0000"/>
                <w:sz w:val="18"/>
              </w:rPr>
              <w:t xml:space="preserve">2023</w:t>
            </w:r>
          </w:p>
        </w:tc>
        <w:tc>
          <w:tcPr>
            <w:tcW w:w="6300" w:type="dxa"/>
          </w:tcPr>
          <w:p>
            <w:pPr/>
            <w:r>
              <w:rPr>
                <w:color w:val="FF0000"/>
                <w:sz w:val="18"/>
              </w:rPr>
              <w:t xml:space="preserve">Sug‘urtalanmagan depozitlar konsentratsiyasi, aktiv va passivlar muddatlarining nomutanosibligi, foiz stavkasi riski; boshqa banklar inqirozining yuqumli ta’siri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EVAL-24-03</w:t>
            </w:r>
          </w:p>
        </w:tc>
      </w:tr>
      <w:tr>
        <w:trPr>
          <w:cantSplit/>
        </w:trPr>
        <w:tc>
          <w:tcPr>
            <w:tcW w:w="600" w:type="dxa"/>
          </w:tcPr>
          <w:p>
            <w:pPr>
              <w:jc w:val="center"/>
            </w:pPr>
            <w:r>
              <w:rPr>
                <w:color w:val="FF0000"/>
                <w:sz w:val="18"/>
              </w:rPr>
              <w:t xml:space="preserve">5</w:t>
            </w:r>
          </w:p>
        </w:tc>
        <w:tc>
          <w:tcPr>
            <w:tcW w:w="2700" w:type="dxa"/>
          </w:tcPr>
          <w:p>
            <w:pPr/>
            <w:r>
              <w:rPr>
                <w:color w:val="FF0000"/>
                <w:sz w:val="18"/>
              </w:rPr>
              <w:t xml:space="preserve">Heartland Tri-State Bank (AQSh)</w:t>
            </w:r>
          </w:p>
        </w:tc>
        <w:tc>
          <w:tcPr>
            <w:tcW w:w="700" w:type="dxa"/>
          </w:tcPr>
          <w:p>
            <w:pPr>
              <w:jc w:val="center"/>
            </w:pPr>
            <w:r>
              <w:rPr>
                <w:color w:val="FF0000"/>
                <w:sz w:val="18"/>
              </w:rPr>
              <w:t xml:space="preserve">2023</w:t>
            </w:r>
          </w:p>
        </w:tc>
        <w:tc>
          <w:tcPr>
            <w:tcW w:w="6300" w:type="dxa"/>
          </w:tcPr>
          <w:p>
            <w:pPr/>
            <w:r>
              <w:rPr>
                <w:color w:val="FF0000"/>
                <w:sz w:val="18"/>
              </w:rPr>
              <w:t xml:space="preserve">Bosh direktorning firibgarlik bilan bog‘liq 47,1 mln dollarlik pul o‘tkazmalari; ichki nazoratning buzilishi va rahbarning hukmron mavqei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FRT OIG, 2024-SR-B-004</w:t>
            </w:r>
          </w:p>
        </w:tc>
      </w:tr>
      <w:tr>
        <w:trPr>
          <w:cantSplit/>
        </w:trPr>
        <w:tc>
          <w:tcPr>
            <w:tcW w:w="600" w:type="dxa"/>
          </w:tcPr>
          <w:p>
            <w:pPr>
              <w:jc w:val="center"/>
            </w:pPr>
            <w:r>
              <w:rPr>
                <w:color w:val="FF0000"/>
                <w:sz w:val="18"/>
              </w:rPr>
              <w:t xml:space="preserve">6</w:t>
            </w:r>
          </w:p>
        </w:tc>
        <w:tc>
          <w:tcPr>
            <w:tcW w:w="2700" w:type="dxa"/>
          </w:tcPr>
          <w:p>
            <w:pPr/>
            <w:r>
              <w:rPr>
                <w:color w:val="FF0000"/>
                <w:sz w:val="18"/>
              </w:rPr>
              <w:t xml:space="preserve">Citizens Bank (AQSh)</w:t>
            </w:r>
          </w:p>
        </w:tc>
        <w:tc>
          <w:tcPr>
            <w:tcW w:w="700" w:type="dxa"/>
          </w:tcPr>
          <w:p>
            <w:pPr>
              <w:jc w:val="center"/>
            </w:pPr>
            <w:r>
              <w:rPr>
                <w:color w:val="FF0000"/>
                <w:sz w:val="18"/>
              </w:rPr>
              <w:t xml:space="preserve">2023</w:t>
            </w:r>
          </w:p>
        </w:tc>
        <w:tc>
          <w:tcPr>
            <w:tcW w:w="6300" w:type="dxa"/>
          </w:tcPr>
          <w:p>
            <w:pPr/>
            <w:r>
              <w:rPr>
                <w:color w:val="FF0000"/>
                <w:sz w:val="18"/>
              </w:rPr>
              <w:t xml:space="preserve">Kengash va boshqaruvning sust kreditlash amaliyoti; yirik yuk tashish kompaniyalari kreditlarining yomonlashuvi</w:t>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AEC 24-01</w:t>
            </w:r>
          </w:p>
        </w:tc>
      </w:tr>
      <w:tr>
        <w:trPr>
          <w:cantSplit/>
        </w:trPr>
        <w:tc>
          <w:tcPr>
            <w:tcW w:w="600" w:type="dxa"/>
          </w:tcPr>
          <w:p>
            <w:pPr>
              <w:jc w:val="center"/>
            </w:pPr>
            <w:r>
              <w:rPr>
                <w:color w:val="FF0000"/>
                <w:sz w:val="18"/>
              </w:rPr>
              <w:t xml:space="preserve">7</w:t>
            </w:r>
          </w:p>
        </w:tc>
        <w:tc>
          <w:tcPr>
            <w:tcW w:w="2700" w:type="dxa"/>
          </w:tcPr>
          <w:p>
            <w:pPr/>
            <w:r>
              <w:rPr>
                <w:color w:val="FF0000"/>
                <w:sz w:val="18"/>
              </w:rPr>
              <w:t xml:space="preserve">North Channel Bank (Germaniya)</w:t>
            </w:r>
          </w:p>
        </w:tc>
        <w:tc>
          <w:tcPr>
            <w:tcW w:w="700" w:type="dxa"/>
          </w:tcPr>
          <w:p>
            <w:pPr>
              <w:jc w:val="center"/>
            </w:pPr>
            <w:r>
              <w:rPr>
                <w:color w:val="FF0000"/>
                <w:sz w:val="18"/>
              </w:rPr>
              <w:t xml:space="preserve">2023</w:t>
            </w:r>
          </w:p>
        </w:tc>
        <w:tc>
          <w:tcPr>
            <w:tcW w:w="6300" w:type="dxa"/>
          </w:tcPr>
          <w:p>
            <w:pPr/>
            <w:r>
              <w:rPr>
                <w:color w:val="FF0000"/>
                <w:sz w:val="18"/>
              </w:rPr>
              <w:t xml:space="preserve">Surunkali zarar va barqaror biznes modelining yo‘qligi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8</w:t>
            </w:r>
          </w:p>
        </w:tc>
        <w:tc>
          <w:tcPr>
            <w:tcW w:w="2700" w:type="dxa"/>
          </w:tcPr>
          <w:p>
            <w:pPr/>
            <w:r>
              <w:rPr>
                <w:color w:val="FF0000"/>
                <w:sz w:val="18"/>
              </w:rPr>
              <w:t xml:space="preserve">SVB UK (Buyuk Britaniya)</w:t>
            </w:r>
          </w:p>
        </w:tc>
        <w:tc>
          <w:tcPr>
            <w:tcW w:w="700" w:type="dxa"/>
          </w:tcPr>
          <w:p>
            <w:pPr>
              <w:jc w:val="center"/>
            </w:pPr>
            <w:r>
              <w:rPr>
                <w:color w:val="FF0000"/>
                <w:sz w:val="18"/>
              </w:rPr>
              <w:t xml:space="preserve">2023</w:t>
            </w:r>
          </w:p>
        </w:tc>
        <w:tc>
          <w:tcPr>
            <w:tcW w:w="6300" w:type="dxa"/>
          </w:tcPr>
          <w:p>
            <w:pPr/>
            <w:r>
              <w:rPr>
                <w:color w:val="FF0000"/>
                <w:sz w:val="18"/>
              </w:rPr>
              <w:t xml:space="preserve">Bosh bank inqirozi sababli depozitlar oqimi va likvidlik tanqisligi; mijozlar bazasining texnologiya sohasida konsentratsiyasi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Angliya banki</w:t>
            </w:r>
          </w:p>
        </w:tc>
      </w:tr>
      <w:tr>
        <w:trPr>
          <w:cantSplit/>
        </w:trPr>
        <w:tc>
          <w:tcPr>
            <w:tcW w:w="600" w:type="dxa"/>
          </w:tcPr>
          <w:p>
            <w:pPr>
              <w:jc w:val="center"/>
            </w:pPr>
            <w:r>
              <w:rPr>
                <w:color w:val="FF0000"/>
                <w:sz w:val="18"/>
              </w:rPr>
              <w:t xml:space="preserve">9</w:t>
            </w:r>
          </w:p>
        </w:tc>
        <w:tc>
          <w:tcPr>
            <w:tcW w:w="2700" w:type="dxa"/>
          </w:tcPr>
          <w:p>
            <w:pPr/>
            <w:r>
              <w:rPr>
                <w:color w:val="FF0000"/>
                <w:sz w:val="18"/>
              </w:rPr>
              <w:t xml:space="preserve">Republic First Bank (AQSh)</w:t>
            </w:r>
          </w:p>
        </w:tc>
        <w:tc>
          <w:tcPr>
            <w:tcW w:w="700" w:type="dxa"/>
          </w:tcPr>
          <w:p>
            <w:pPr>
              <w:jc w:val="center"/>
            </w:pPr>
            <w:r>
              <w:rPr>
                <w:color w:val="FF0000"/>
                <w:sz w:val="18"/>
              </w:rPr>
              <w:t xml:space="preserve">2024</w:t>
            </w:r>
          </w:p>
        </w:tc>
        <w:tc>
          <w:tcPr>
            <w:tcW w:w="6300" w:type="dxa"/>
          </w:tcPr>
          <w:p>
            <w:pPr/>
            <w:r>
              <w:rPr>
                <w:color w:val="FF0000"/>
                <w:sz w:val="18"/>
              </w:rPr>
              <w:t xml:space="preserve">Muddatigacha saqlanadigan qimmatli qog‘ozlar bo‘yicha zararlarni tan olish (foiz stavkasi riski); kengash va boshqaruvning samarasizligi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EVAL-25-01</w:t>
            </w:r>
          </w:p>
        </w:tc>
      </w:tr>
      <w:tr>
        <w:trPr>
          <w:cantSplit/>
        </w:trPr>
        <w:tc>
          <w:tcPr>
            <w:tcW w:w="600" w:type="dxa"/>
          </w:tcPr>
          <w:p>
            <w:pPr>
              <w:jc w:val="center"/>
            </w:pPr>
            <w:r>
              <w:rPr>
                <w:color w:val="FF0000"/>
                <w:sz w:val="18"/>
              </w:rPr>
              <w:t xml:space="preserve">10</w:t>
            </w:r>
          </w:p>
        </w:tc>
        <w:tc>
          <w:tcPr>
            <w:tcW w:w="2700" w:type="dxa"/>
          </w:tcPr>
          <w:p>
            <w:pPr/>
            <w:r>
              <w:rPr>
                <w:color w:val="FF0000"/>
                <w:sz w:val="18"/>
              </w:rPr>
              <w:t xml:space="preserve">First National Bank of Lindsay (AQSh)</w:t>
            </w:r>
          </w:p>
        </w:tc>
        <w:tc>
          <w:tcPr>
            <w:tcW w:w="700" w:type="dxa"/>
          </w:tcPr>
          <w:p>
            <w:pPr>
              <w:jc w:val="center"/>
            </w:pPr>
            <w:r>
              <w:rPr>
                <w:color w:val="FF0000"/>
                <w:sz w:val="18"/>
              </w:rPr>
              <w:t xml:space="preserve">2024</w:t>
            </w:r>
          </w:p>
        </w:tc>
        <w:tc>
          <w:tcPr>
            <w:tcW w:w="6300" w:type="dxa"/>
          </w:tcPr>
          <w:p>
            <w:pPr/>
            <w:r>
              <w:rPr>
                <w:color w:val="FF0000"/>
                <w:sz w:val="18"/>
              </w:rPr>
              <w:t xml:space="preserve">Ichki nazoratning keskin buzilishi natijasida kredit portfeli va likvid aktivlarga ta’sir qilgan firibgarlik</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OIG-25-024</w:t>
            </w:r>
          </w:p>
        </w:tc>
      </w:tr>
      <w:tr>
        <w:trPr>
          <w:cantSplit/>
        </w:trPr>
        <w:tc>
          <w:tcPr>
            <w:tcW w:w="600" w:type="dxa"/>
          </w:tcPr>
          <w:p>
            <w:pPr>
              <w:jc w:val="center"/>
            </w:pPr>
            <w:r>
              <w:rPr>
                <w:color w:val="FF0000"/>
                <w:sz w:val="18"/>
              </w:rPr>
              <w:t xml:space="preserve">11</w:t>
            </w:r>
          </w:p>
        </w:tc>
        <w:tc>
          <w:tcPr>
            <w:tcW w:w="2700" w:type="dxa"/>
          </w:tcPr>
          <w:p>
            <w:pPr/>
            <w:r>
              <w:rPr>
                <w:color w:val="FF0000"/>
                <w:sz w:val="18"/>
              </w:rPr>
              <w:t xml:space="preserve">Pulaski Savings Bank (AQSh)</w:t>
            </w:r>
          </w:p>
        </w:tc>
        <w:tc>
          <w:tcPr>
            <w:tcW w:w="700" w:type="dxa"/>
          </w:tcPr>
          <w:p>
            <w:pPr>
              <w:jc w:val="center"/>
            </w:pPr>
            <w:r>
              <w:rPr>
                <w:color w:val="FF0000"/>
                <w:sz w:val="18"/>
              </w:rPr>
              <w:t xml:space="preserve">2025</w:t>
            </w:r>
          </w:p>
        </w:tc>
        <w:tc>
          <w:tcPr>
            <w:tcW w:w="6300" w:type="dxa"/>
          </w:tcPr>
          <w:p>
            <w:pPr/>
            <w:r>
              <w:rPr>
                <w:color w:val="FF0000"/>
                <w:sz w:val="18"/>
              </w:rPr>
              <w:t xml:space="preserve">Kapitalning qadrsizlanishi: buxgalteriya tizimida aks ettirilmagan 20,7 mln dollarlik depozit sertifikatlari; kengash va boshqaruv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REV-25-02, EVAL-26-01</w:t>
            </w:r>
          </w:p>
        </w:tc>
      </w:tr>
      <w:tr>
        <w:trPr>
          <w:cantSplit/>
        </w:trPr>
        <w:tc>
          <w:tcPr>
            <w:tcW w:w="600" w:type="dxa"/>
          </w:tcPr>
          <w:p>
            <w:pPr>
              <w:jc w:val="center"/>
            </w:pPr>
            <w:r>
              <w:rPr>
                <w:color w:val="FF0000"/>
                <w:sz w:val="18"/>
              </w:rPr>
              <w:t xml:space="preserve">12</w:t>
            </w:r>
          </w:p>
        </w:tc>
        <w:tc>
          <w:tcPr>
            <w:tcW w:w="2700" w:type="dxa"/>
          </w:tcPr>
          <w:p>
            <w:pPr/>
            <w:r>
              <w:rPr>
                <w:color w:val="FF0000"/>
                <w:sz w:val="18"/>
              </w:rPr>
              <w:t xml:space="preserve">Santa Anna National Bank (AQSh)</w:t>
            </w:r>
          </w:p>
        </w:tc>
        <w:tc>
          <w:tcPr>
            <w:tcW w:w="700" w:type="dxa"/>
          </w:tcPr>
          <w:p>
            <w:pPr>
              <w:jc w:val="center"/>
            </w:pPr>
            <w:r>
              <w:rPr>
                <w:color w:val="FF0000"/>
                <w:sz w:val="18"/>
              </w:rPr>
              <w:t xml:space="preserve">2025</w:t>
            </w:r>
          </w:p>
        </w:tc>
        <w:tc>
          <w:tcPr>
            <w:tcW w:w="6300" w:type="dxa"/>
          </w:tcPr>
          <w:p>
            <w:pPr/>
            <w:r>
              <w:rPr>
                <w:color w:val="FF0000"/>
                <w:sz w:val="18"/>
              </w:rPr>
              <w:t xml:space="preserve">Ichki nazoratning keskin buzilishi natijasida kredit portfeliga ta’sir qilgan firibgarlik; kengash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OIG-26-023</w:t>
            </w:r>
          </w:p>
        </w:tc>
      </w:tr>
      <w:tr>
        <w:trPr>
          <w:cantSplit/>
        </w:trPr>
        <w:tc>
          <w:tcPr>
            <w:tcW w:w="600" w:type="dxa"/>
            <w:shd w:val="clear" w:color="auto" w:fill="DEEBF7"/>
          </w:tcPr>
          <w:p>
            <w:pPr>
              <w:jc w:val="center"/>
            </w:pPr>
            <w:r>
              <w:rPr>
                <w:b/>
                <w:color w:val="FF0000"/>
                <w:sz w:val="18"/>
              </w:rPr>
              <w:t xml:space="preserve"/>
            </w:r>
          </w:p>
        </w:tc>
        <w:tc>
          <w:tcPr>
            <w:tcW w:w="2700" w:type="dxa"/>
            <w:shd w:val="clear" w:color="auto" w:fill="DEEBF7"/>
          </w:tcPr>
          <w:p>
            <w:pPr/>
            <w:r>
              <w:rPr>
                <w:b/>
                <w:color w:val="FF0000"/>
                <w:sz w:val="18"/>
              </w:rPr>
              <w:t xml:space="preserve">Jami, %</w:t>
            </w:r>
          </w:p>
        </w:tc>
        <w:tc>
          <w:tcPr>
            <w:tcW w:w="700" w:type="dxa"/>
            <w:shd w:val="clear" w:color="auto" w:fill="DEEBF7"/>
          </w:tcPr>
          <w:p>
            <w:pPr>
              <w:jc w:val="center"/>
            </w:pPr>
            <w:r>
              <w:rPr>
                <w:b/>
                <w:color w:val="FF0000"/>
                <w:sz w:val="18"/>
              </w:rPr>
              <w:t xml:space="preserve"/>
            </w:r>
          </w:p>
        </w:tc>
        <w:tc>
          <w:tcPr>
            <w:tcW w:w="6300" w:type="dxa"/>
            <w:shd w:val="clear" w:color="auto" w:fill="DEEBF7"/>
          </w:tcPr>
          <w:p>
            <w:pPr/>
            <w:r>
              <w:rPr>
                <w:b/>
                <w:color w:val="FF0000"/>
                <w:sz w:val="18"/>
              </w:rPr>
              <w:t xml:space="preserve">12 ta bank bo‘yicha ulush</w:t>
            </w:r>
          </w:p>
        </w:tc>
        <w:tc>
          <w:tcPr>
            <w:tcW w:w="420" w:type="dxa"/>
            <w:shd w:val="clear" w:color="auto" w:fill="DEEBF7"/>
          </w:tcPr>
          <w:p>
            <w:pPr>
              <w:jc w:val="center"/>
            </w:pPr>
            <w:r>
              <w:rPr>
                <w:b/>
                <w:color w:val="FF0000"/>
                <w:sz w:val="18"/>
              </w:rPr>
              <w:t xml:space="preserve">58</w:t>
            </w:r>
          </w:p>
        </w:tc>
        <w:tc>
          <w:tcPr>
            <w:tcW w:w="420" w:type="dxa"/>
            <w:shd w:val="clear" w:color="auto" w:fill="DEEBF7"/>
          </w:tcPr>
          <w:p>
            <w:pPr>
              <w:jc w:val="center"/>
            </w:pPr>
            <w:r>
              <w:rPr>
                <w:b/>
                <w:color w:val="FF0000"/>
                <w:sz w:val="18"/>
              </w:rPr>
              <w:t xml:space="preserve">17</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25</w:t>
            </w:r>
          </w:p>
        </w:tc>
        <w:tc>
          <w:tcPr>
            <w:tcW w:w="420" w:type="dxa"/>
            <w:shd w:val="clear" w:color="auto" w:fill="DEEBF7"/>
          </w:tcPr>
          <w:p>
            <w:pPr>
              <w:jc w:val="center"/>
            </w:pPr>
            <w:r>
              <w:rPr>
                <w:b/>
                <w:color w:val="FF0000"/>
                <w:sz w:val="18"/>
              </w:rPr>
              <w:t xml:space="preserve">8</w:t>
            </w:r>
          </w:p>
        </w:tc>
        <w:tc>
          <w:tcPr>
            <w:tcW w:w="1330" w:type="dxa"/>
            <w:shd w:val="clear" w:color="auto" w:fill="DEEBF7"/>
          </w:tcPr>
          <w:p>
            <w:pPr/>
            <w:r>
              <w:rPr>
                <w:b/>
                <w:color w:val="FF0000"/>
                <w:sz w:val="18"/>
              </w:rPr>
              <w:t xml:space="preserve"/>
            </w:r>
          </w:p>
        </w:tc>
      </w:tr>
    </w:tbl>
    <w:p w:rsidR="005603EC" w:rsidRDefault="00AB61AC">
      <w:pPr>
        <w:spacing w:after="80" w:line="240" w:lineRule="auto"/>
        <w:jc w:val="both"/>
      </w:pPr>
      <w:r>
        <w:rPr>
          <w:i/>
          <w:color w:val="FF0000"/>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color w:val="FF0000"/>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color w:val="FF0000"/>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color w:val="FF0000"/>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color w:val="FF0000"/>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color w:val="FF0000"/>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color w:val="FF0000"/>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color w:val="FF0000"/>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color w:val="FF0000"/>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color w:val="FF0000"/>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color w:val="FF0000"/>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18, 43.</w:t>
      </w:r>
    </w:p>
  </w:footnote>
  <w:footnote w:id="194">
    <w:p w:rsidR="00AB61AC" w:rsidRPr="00E65E68" w:rsidRDefault="00AB61AC">
      <w:pPr>
        <w:pStyle w:val="aff9"/>
        <w:rPr>
          <w:lang w:val="ru-RU"/>
        </w:rPr>
      </w:pPr>
      <w:r>
        <w:rPr>
          <w:rStyle w:val="aff8"/>
        </w:rPr>
        <w:footnoteRef/>
      </w:r>
      <w:r w:rsidRPr="00E65E68">
        <w:rPr>
          <w:lang w:val="ru-RU"/>
        </w:rPr>
        <w:t xml:space="preserve"> </w:t>
      </w:r>
      <w:r>
        <w:rPr>
          <w:color w:val="FF0000"/>
        </w:rPr>
        <w:t xml:space="preserve">Tadqiqot natijasida muallif tomonidan quyidagi manba asosida ishlab chiqildi: Bank of England, Prudential Regulation Authority. The Prudential Regulation Authority’s approach to banking supervision. – London: Bank of England, July 2023 – P. 43–45 (Box 5).</w:t>
      </w:r>
    </w:p>
  </w:footnote>
  <w:footnote w:id="195">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color w:val="FF0000"/>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color w:val="FF0000"/>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color w:val="FF0000"/>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color w:val="FF0000"/>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color w:val="FF0000"/>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color w:val="FF0000"/>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color w:val="FF0000"/>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49">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color w:val="FF0000"/>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color w:val="FF0000"/>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color w:val="FF0000"/>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O‘zbekiston Respublikasi Markaziy banki. Statistik byulleten: 2021-yil. – Toshkent, 2022; O‘zbekiston Respublikasi Markaziy banki. Statistik byulleten: 2026-yil mart. – Toshkent, 2026. – https://cbu.uz/uz/statistics/buleten/;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The Central Bank of Uzbekistan. Financial Stability Report for 2024;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2025.</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The Central Bank of Uzbekistan. Financial Stability Report for H1 2025; Financial Stability Report for 2025.</w:t>
      </w:r>
    </w:p>
  </w:footnote>
  <w:footnote w:id="266">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7">
    <w:p w:rsidR="00AB61AC" w:rsidRDefault="00AB61AC">
      <w:pPr>
        <w:pStyle w:val="aff9"/>
      </w:pPr>
      <w:r>
        <w:rPr>
          <w:rStyle w:val="aff8"/>
        </w:rPr>
        <w:footnoteRef/>
      </w:r>
      <w:r>
        <w:t xml:space="preserve"> </w:t>
      </w:r>
      <w:r>
        <w:rPr>
          <w:color w:val="FF0000"/>
        </w:rPr>
        <w:t xml:space="preserve">Tadqiqot natijasida muallif tomonidan quyidagi manbalar asosida ishlab chiqildi:</w:t>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 1–5, 7, 9, 15, 17, 20.</w:t>
      </w:r>
    </w:p>
  </w:footnote>
  <w:footnote w:id="268">
    <w:p w:rsidR="00AB61AC" w:rsidRDefault="00AB61AC">
      <w:pPr>
        <w:pStyle w:val="aff9"/>
      </w:pPr>
      <w:r>
        <w:rPr>
          <w:rStyle w:val="aff8"/>
        </w:rPr>
        <w:footnoteRef/>
      </w:r>
      <w:r>
        <w:t xml:space="preserve"> </w:t>
      </w:r>
      <w:r>
        <w:rPr>
          <w:color w:val="FF0000"/>
        </w:rPr>
        <w:t xml:space="preserve">Tadqiqot natijasida muallif tomonidan ishlab chiqildi.</w:t>
      </w:r>
    </w:p>
  </w:footnote>
  <w:footnote w:id="269">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70">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Financial System Stability Assessment. IMF Country Report No. 25/145. – Washington, DC: IMF, 2025</w:t>
      </w:r>
      <w:r>
        <w:t xml:space="preserve">.</w:t>
      </w:r>
    </w:p>
  </w:footnote>
  <w:footnote w:id="271">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3.</w:t>
      </w:r>
    </w:p>
  </w:footnote>
  <w:footnote w:id="272">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17.11.2025.</w:t>
      </w:r>
      <w:r>
        <w:t xml:space="preserve"> – Items 5, 19.</w:t>
      </w:r>
    </w:p>
  </w:footnote>
  <w:footnote w:id="273">
    <w:p w:rsidR="00AB61AC" w:rsidRDefault="00AB61AC">
      <w:pPr>
        <w:pStyle w:val="aff9"/>
      </w:pPr>
      <w:r>
        <w:rPr>
          <w:rStyle w:val="aff8"/>
        </w:rPr>
        <w:footnoteRef/>
      </w:r>
      <w:r>
        <w:t xml:space="preserve"> </w:t>
      </w:r>
      <w:r>
        <w:rPr>
          <w:color w:val="FF0000"/>
        </w:rPr>
        <w:t xml:space="preserve">International Monetary Fund. Republic of Uzbekistan: Financial Sector Assessment Program – Financial System Stability Assessment. IMF Country Report No. 25/145. – Washington, DC: IMF, 2025</w:t>
      </w:r>
      <w:r>
        <w:t xml:space="preserve">.</w:t>
      </w:r>
    </w:p>
  </w:footnote>
  <w:footnote w:id="274">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 7, 16.</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 9.</w:t>
      </w:r>
    </w:p>
  </w:footnote>
  <w:footnote w:id="277">
    <w:p w:rsidR="00AB61AC" w:rsidRDefault="00AB61AC">
      <w:pPr>
        <w:pStyle w:val="aff9"/>
      </w:pPr>
      <w:r>
        <w:rPr>
          <w:rStyle w:val="aff8"/>
        </w:rPr>
        <w:footnoteRef/>
      </w:r>
      <w:r>
        <w:t xml:space="preserve"> </w:t>
      </w:r>
      <w:r>
        <w:rPr>
          <w:color w:val="FF0000"/>
        </w:rPr>
        <w:t xml:space="preserve">The Central Bank of the Republic of Uzbekistan. “Roadmap” aimed at further improving the bank regulation and supervision system in 2025–2028. – Tashkent, 17.11.2025.</w:t>
      </w:r>
      <w:r>
        <w:t xml:space="preserve"> – Item 31.</w:t>
      </w:r>
    </w:p>
  </w:footnote>
  <w:footnote w:id="278">
    <w:p w:rsidR="00AB61AC" w:rsidRPr="00E65E68" w:rsidRDefault="00AB61AC">
      <w:pPr>
        <w:pStyle w:val="aff9"/>
        <w:rPr>
          <w:lang w:val="ru-RU"/>
        </w:rPr>
      </w:pPr>
      <w:r>
        <w:rPr>
          <w:rStyle w:val="aff8"/>
        </w:rPr>
        <w:footnoteRef/>
      </w:r>
      <w:r>
        <w:t xml:space="preserve"> </w:t>
      </w:r>
      <w:r>
        <w:rPr>
          <w:color w:val="FF0000"/>
        </w:rPr>
        <w:t xml:space="preserve">The Central Bank of the Republic of Uzbekistan. “Roadmap” aimed at further improving the bank regulation and supervision system in 2025–2028. – Tashkent, </w:t>
      </w:r>
      <w:r>
        <w:rPr>
          <w:color w:val="FF0000"/>
        </w:rPr>
        <w:t xml:space="preserve">17.11.2025. – Item</w:t>
      </w:r>
      <w:r>
        <w:t xml:space="preserve">s</w:t>
      </w:r>
      <w:r w:rsidRPr="00E65E68">
        <w:rPr>
          <w:lang w:val="ru-RU"/>
        </w:rPr>
        <w:t xml:space="preserve"> 2–4, 7, 9.</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Tadqiqot natijasida muallif tomonidan 2.2.1-jadval ma’lumotlari asosida ishlab chiqildi.</w:t>
      </w:r>
    </w:p>
  </w:footnote>
  <w:footnote w:id="29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3">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5">
    <w:p w:rsidR="00AB61AC" w:rsidRDefault="00AB61AC">
      <w:pPr>
        <w:pStyle w:val="aff9"/>
      </w:pPr>
      <w:r>
        <w:rPr>
          <w:rStyle w:val="aff8"/>
        </w:rPr>
        <w:footnoteRef/>
      </w:r>
      <w:r>
        <w:t xml:space="preserve"> The Central Bank of the Republic of Uzbekistan. Financial Stability Report for 2025. – Tashkent, 2026.</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The Central Bank of the Republic of Uzbekistan. Financial Stability Report for 2025. – Tashkent,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14">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6">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8">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1">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w:t>
      </w:r>
    </w:p>
  </w:footnote>
  <w:footnote w:id="322">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5">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36">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8">
    <w:p w:rsidR="00AB61AC" w:rsidRDefault="00AB61AC">
      <w:pPr>
        <w:pStyle w:val="aff9"/>
      </w:pPr>
      <w:r>
        <w:rPr>
          <w:rStyle w:val="aff8"/>
        </w:rPr>
        <w:footnoteRef/>
      </w:r>
      <w:r>
        <w:t xml:space="preserve"> IFRS 9 Financial Instruments. – London: International Accounting Standards Board, 2014.</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3">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7">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5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1">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6">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2.3.4-jadval ma’lumotlari asosida ishlab chiqildi.</w:t>
      </w:r>
    </w:p>
  </w:footnote>
  <w:footnote w:id="368">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w:t>
      </w:r>
      <w:r>
        <w:rPr>
          <w:color w:val="0070C0"/>
        </w:rPr>
        <w:t xml:space="preserve">.</w:t>
      </w:r>
    </w:p>
  </w:footnote>
  <w:footnote w:id="371">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International Monetary Fund. 2019 Financial Soundness Indicators Compilation Guide.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International Monetary Fund. 2019 Financial Soundness Indicators Compilation Guide.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1">
    <w:p w:rsidR="00AB61AC" w:rsidRDefault="00AB61AC">
      <w:pPr>
        <w:pStyle w:val="aff9"/>
      </w:pPr>
      <w:r>
        <w:rPr>
          <w:rStyle w:val="aff8"/>
        </w:rPr>
        <w:footnoteRef/>
      </w:r>
      <w:r>
        <w:t xml:space="preserve"> Tadqiqot natijasida muallif tomonidan 3.1.5-jadval ma’lumotlari asosida ishlab chiqildi.</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color w:val="FF0000"/>
        </w:rPr>
        <w:t xml:space="preserve"> </w:t>
      </w:r>
      <w:r>
        <w:rPr>
          <w:color w:val="FF0000"/>
        </w:rPr>
        <w:t xml:space="preserve">Tadqiqot natijasida muallif tomonidan </w:t>
      </w:r>
      <w:r>
        <w:rPr>
          <w:color w:val="FF0000"/>
        </w:rPr>
        <w:t xml:space="preserve">hisoblandi (</w:t>
      </w:r>
      <w:r>
        <w:rPr>
          <w:color w:val="FF0000"/>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