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3.2.1-rasm (namuna)</w:t>
      </w:r>
    </w:p>
    <w:p>
      <w:pPr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760000" cy="3060000"/>
            <wp:effectExtent l="0" t="0" r="0" b="0"/>
            <wp:docPr id="1001" name="3.2.1-ras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jc w:val="left"/>
      </w:pPr>
      <w:r>
        <w:rPr>
          <w:b w:val="0"/>
          <w:color w:val="FF0000"/>
          <w:sz w:val="22"/>
        </w:rPr>
        <w:t>Izoh: SQB – “O‘zsanoatqurilishbank” ATB, MKB – “Mikrokreditbank” ATB, BRB – “Biznesni rivojlantirish banki” ATB.</w:t>
      </w:r>
    </w:p>
    <w:p>
      <w:pPr>
        <w:jc w:val="center"/>
      </w:pPr>
      <w:r>
        <w:rPr>
          <w:b/>
          <w:sz w:val="28"/>
        </w:rPr>
        <w:t>3.2.1-rasm. Monte-Karlo tahlilida banklar barqarorlik sinfining saqlanish ulushi, foizda</w:t>
      </w:r>
    </w:p>
    <w:p>
      <w:pPr>
        <w:jc w:val="both"/>
      </w:pPr>
      <w:r>
        <w:rPr>
          <w:b w:val="0"/>
          <w:sz w:val="22"/>
        </w:rPr>
        <w:t xml:space="preserve">Rasm izohi (uzun ro‘yxat o‘rniga): </w:t>
      </w:r>
      <w:r>
        <w:rPr>
          <w:b w:val="0"/>
          <w:color w:val="FF0000"/>
          <w:sz w:val="22"/>
        </w:rPr>
        <w:t>Tadqiqot natijasida muallif tomonidan “O‘zsanoatqurilishbank”, “Mikrokreditbank”, “Biznesni rivojlantirish banki”, “Xalq banki” va “Ipoteka-bank” ATBlarining 2021–2025-yillardagi MHXS bo‘yicha moliyaviy hisobotlari va “SNS” reyting agentligi bazasi asosida hisoblandi.</w:t>
      </w:r>
    </w:p>
    <w:p>
      <w:pPr>
        <w:jc w:val="both"/>
      </w:pPr>
      <w:r>
        <w:rPr>
          <w:b/>
          <w:sz w:val="24"/>
        </w:rPr>
        <w:t>Matndagi qo‘shimchalar:</w:t>
      </w:r>
    </w:p>
    <w:p>
      <w:pPr>
        <w:jc w:val="both"/>
      </w:pPr>
      <w:r>
        <w:rPr>
          <w:b w:val="0"/>
          <w:sz w:val="24"/>
        </w:rPr>
        <w:t>1) Rasmdan oldingi xatboshida: …</w:t>
      </w:r>
      <w:r>
        <w:rPr>
          <w:b w:val="0"/>
          <w:sz w:val="24"/>
        </w:rPr>
        <w:t>vaznlar tayanch vaznlar atrofida tanlangan holatda</w:t>
      </w:r>
      <w:r>
        <w:rPr>
          <w:b w:val="0"/>
          <w:color w:val="FF0000"/>
          <w:sz w:val="24"/>
        </w:rPr>
        <w:t xml:space="preserve"> (Dirixle taqsimotining parametri α = 20·w, bu yerda w – blokning tayanch vazni)</w:t>
      </w:r>
      <w:r>
        <w:rPr>
          <w:b w:val="0"/>
          <w:sz w:val="24"/>
        </w:rPr>
        <w:t xml:space="preserve"> va vaznlar to‘liq tasodifiy … tanlangan holatda (3.2.1-rasm).</w:t>
      </w:r>
    </w:p>
    <w:p>
      <w:pPr>
        <w:jc w:val="both"/>
      </w:pPr>
      <w:r>
        <w:rPr>
          <w:b w:val="0"/>
          <w:sz w:val="24"/>
        </w:rPr>
        <w:t>2) Rasmdan keyingi xatboshida (“Ikkinchidan” bandi oxirida): …</w:t>
      </w:r>
      <w:r>
        <w:rPr>
          <w:b w:val="0"/>
          <w:sz w:val="24"/>
        </w:rPr>
        <w:t>kuratorlarning asoslangan mulohazasiga tayanishi lozim.</w:t>
      </w:r>
      <w:r>
        <w:rPr>
          <w:b w:val="0"/>
          <w:color w:val="FF0000"/>
          <w:sz w:val="24"/>
        </w:rPr>
        <w:t xml:space="preserve"> Tahlilda bunday holat, masalan, “Biznesni rivojlantirish banki” ATB ning 2021-yildagi ko‘rsatkichida kuzatilgan: vaznlar tayanch vaznlar atrofida o‘zgarganda uning sinfi atigi 51,2 foiz holatda saqlanadi, vaznlar to‘liq tasodifiy olinganda esa eng sezgir kuzatuv “Xalq banki” ATB ning 2024-yildagi ko‘rsatkichi bo‘lib, uning sinfi 39,4 foiz holatda saqlanadi.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uz-Latn-UZ"/>
  <c:roundedCorners val="0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Vaznlar tayanch vaznlar atrofida</c:v>
                </c:pt>
              </c:strCache>
            </c:strRef>
          </c:tx>
          <c:spPr>
            <a:solidFill>
              <a:srgbClr val="2A78D6"/>
            </a:solidFill>
            <a:ln w="6350">
              <a:solidFill>
                <a:srgbClr val="FFFFFF"/>
              </a:solidFill>
            </a:ln>
          </c:spPr>
          <c:invertIfNegative val="0"/>
          <c:dLbls>
            <c:dLbl>
              <c:idx val="0"/>
              <c:tx>
                <c:rich>
                  <a:bodyPr wrap="none"/>
                  <a:lstStyle/>
                  <a:p>
                    <a:pPr>
                      <a:defRPr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91,7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tx>
                <c:rich>
                  <a:bodyPr wrap="none"/>
                  <a:lstStyle/>
                  <a:p>
                    <a:pPr>
                      <a:defRPr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76,9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tx>
                <c:rich>
                  <a:bodyPr wrap="none"/>
                  <a:lstStyle/>
                  <a:p>
                    <a:pPr>
                      <a:defRPr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71,5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tx>
                <c:rich>
                  <a:bodyPr wrap="none"/>
                  <a:lstStyle/>
                  <a:p>
                    <a:pPr>
                      <a:defRPr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78,1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tx>
                <c:rich>
                  <a:bodyPr wrap="none"/>
                  <a:lstStyle/>
                  <a:p>
                    <a:pPr>
                      <a:defRPr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76,1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tx>
                <c:rich>
                  <a:bodyPr wrap="none"/>
                  <a:lstStyle/>
                  <a:p>
                    <a:pPr>
                      <a:defRPr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78,9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Sheet1!$A$2:$A$7</c:f>
              <c:strCache>
                <c:ptCount val="6"/>
                <c:pt idx="0">
                  <c:v>SQB</c:v>
                </c:pt>
                <c:pt idx="1">
                  <c:v>MKB</c:v>
                </c:pt>
                <c:pt idx="2">
                  <c:v>BRB</c:v>
                </c:pt>
                <c:pt idx="3">
                  <c:v>Xalq banki</c:v>
                </c:pt>
                <c:pt idx="4">
                  <c:v>Ipoteka-bank</c:v>
                </c:pt>
                <c:pt idx="5">
                  <c:v>O‘rtacha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91.7</c:v>
                </c:pt>
                <c:pt idx="1">
                  <c:v>76.9</c:v>
                </c:pt>
                <c:pt idx="2">
                  <c:v>71.5</c:v>
                </c:pt>
                <c:pt idx="3">
                  <c:v>78.1</c:v>
                </c:pt>
                <c:pt idx="4">
                  <c:v>76.1</c:v>
                </c:pt>
                <c:pt idx="5">
                  <c:v>78.9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Vaznlar to‘liq tasodifiy</c:v>
                </c:pt>
              </c:strCache>
            </c:strRef>
          </c:tx>
          <c:spPr>
            <a:solidFill>
              <a:srgbClr val="EB6834"/>
            </a:solidFill>
            <a:ln w="6350">
              <a:solidFill>
                <a:srgbClr val="FFFFFF"/>
              </a:solidFill>
            </a:ln>
          </c:spPr>
          <c:invertIfNegative val="0"/>
          <c:dLbls>
            <c:dLbl>
              <c:idx val="0"/>
              <c:tx>
                <c:rich>
                  <a:bodyPr wrap="none"/>
                  <a:lstStyle/>
                  <a:p>
                    <a:pPr>
                      <a:defRPr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57,0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tx>
                <c:rich>
                  <a:bodyPr wrap="none"/>
                  <a:lstStyle/>
                  <a:p>
                    <a:pPr>
                      <a:defRPr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52,7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tx>
                <c:rich>
                  <a:bodyPr wrap="none"/>
                  <a:lstStyle/>
                  <a:p>
                    <a:pPr>
                      <a:defRPr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58,6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tx>
                <c:rich>
                  <a:bodyPr wrap="none"/>
                  <a:lstStyle/>
                  <a:p>
                    <a:pPr>
                      <a:defRPr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57,7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tx>
                <c:rich>
                  <a:bodyPr wrap="none"/>
                  <a:lstStyle/>
                  <a:p>
                    <a:pPr>
                      <a:defRPr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53,1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tx>
                <c:rich>
                  <a:bodyPr wrap="none"/>
                  <a:lstStyle/>
                  <a:p>
                    <a:pPr>
                      <a:defRPr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defRPr>
                    </a:pPr>
                    <a:r>
                      <a:rPr lang="uz-Latn-UZ" sz="1000" b="1">
                        <a:solidFill>
                          <a:srgbClr val="000000"/>
                        </a:solidFill>
                        <a:latin typeface="Times New Roman"/>
                        <a:cs typeface="Times New Roman"/>
                      </a:rPr>
                      <a:t>55,8</a:t>
                    </a:r>
                  </a:p>
                </c:rich>
              </c:tx>
              <c:spPr>
                <a:noFill/>
                <a:ln>
                  <a:noFill/>
                </a:ln>
              </c:sp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cat>
            <c:strRef>
              <c:f>Sheet1!$A$2:$A$7</c:f>
              <c:strCache>
                <c:ptCount val="6"/>
                <c:pt idx="0">
                  <c:v>SQB</c:v>
                </c:pt>
                <c:pt idx="1">
                  <c:v>MKB</c:v>
                </c:pt>
                <c:pt idx="2">
                  <c:v>BRB</c:v>
                </c:pt>
                <c:pt idx="3">
                  <c:v>Xalq banki</c:v>
                </c:pt>
                <c:pt idx="4">
                  <c:v>Ipoteka-bank</c:v>
                </c:pt>
                <c:pt idx="5">
                  <c:v>O‘rtacha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57.0</c:v>
                </c:pt>
                <c:pt idx="1">
                  <c:v>52.7</c:v>
                </c:pt>
                <c:pt idx="2">
                  <c:v>58.6</c:v>
                </c:pt>
                <c:pt idx="3">
                  <c:v>57.7</c:v>
                </c:pt>
                <c:pt idx="4">
                  <c:v>53.1</c:v>
                </c:pt>
                <c:pt idx="5">
                  <c:v>55.8</c:v>
                </c:pt>
              </c:numCache>
            </c:numRef>
          </c:val>
        </c:ser>
        <c:gapWidth val="60"/>
        <c:axId val="111"/>
        <c:axId val="222"/>
      </c:barChart>
      <c:catAx>
        <c:axId val="11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222"/>
        <c:crosses val="autoZero"/>
        <c:auto val="1"/>
        <c:lblAlgn val="ctr"/>
        <c:lblOffset val="100"/>
        <c:tickLblSkip val="1"/>
        <c:noMultiLvlLbl val="0"/>
      </c:catAx>
      <c:valAx>
        <c:axId val="222"/>
        <c:scaling>
          <c:orientation val="minMax"/>
          <c:max val="100"/>
          <c:min val="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%</a:t>
                </a:r>
              </a:p>
            </c:rich>
          </c:tx>
          <c:overlay val="0"/>
        </c:title>
        <c:numFmt formatCode="General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111"/>
        <c:crosses val="autoZero"/>
        <c:crossBetween val="between"/>
        <c:majorUnit val="20"/>
      </c:valAx>
      <c:spPr>
        <a:noFill/>
        <a:ln>
          <a:noFill/>
        </a:ln>
      </c:spPr>
    </c:plotArea>
    <c:legend>
      <c:legendPos val="b"/>
      <c:overlay val="0"/>
      <c:txPr>
        <a:bodyPr/>
        <a:lstStyle/>
        <a:p>
          <a:pPr>
            <a:defRPr sz="1050" b="0">
              <a:solidFill>
                <a:srgbClr val="000000"/>
              </a:solidFill>
              <a:latin typeface="Times New Roman"/>
              <a:cs typeface="Times New Roman"/>
            </a:defRPr>
          </a:pPr>
          <a:endParaRPr lang="uz-Latn-UZ"/>
        </a:p>
      </c:txPr>
    </c:legend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uz-Latn-UZ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