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Yangi 2.3.3-jadval (namuna)</w:t>
      </w:r>
    </w:p>
    <w:p>
      <w:pPr>
        <w:jc w:val="both"/>
      </w:pPr>
      <w:r>
        <w:rPr>
          <w:b w:val="0"/>
          <w:i/>
          <w:color w:val="595959"/>
          <w:sz w:val="24"/>
        </w:rPr>
        <w:t>Joyi: 2.3.4-rasmdan keyingi “Rasm ma’lumotlari shuni ko‘rsatadiki …” xatboshisidan so‘ng. Hozirgi 2.3.3, 2.3.4, 2.3.5-jadvallar 2.3.4, 2.3.5, 2.3.6 bo‘ladi (havolalar ham).</w:t>
      </w:r>
    </w:p>
    <w:p>
      <w:pPr>
        <w:ind w:firstLine="709"/>
        <w:jc w:val="both"/>
      </w:pPr>
      <w:r>
        <w:rPr>
          <w:b w:val="0"/>
          <w:i w:val="0"/>
          <w:color w:val="FF0000"/>
          <w:sz w:val="28"/>
        </w:rPr>
        <w:t>Ikki tasnif o‘rtasidagi bog‘liqlikni bankning butun kredit portfeli bo‘yicha ko‘rib chiqish manzarani to‘ldiradi (2.3.3-jadval). Jadvaldan ko‘rinadiki, 1-bosqich kreditlarining ulushi 2023-yildagi 79,4 foizdan 2025-yilda 56,9 foizgacha qisqargan, kredit riski sezilarli oshgan 2-bosqich kreditlarining ulushi esa 15,8 foizdan 35,7 foizgacha, ya’ni 2,3 barobar oshgan. Milliy tasnifda bu o‘zgarish muammoli kreditlar ko‘rsatkichida umuman aks etmagan: 2-bosqich kreditlarining barchasi “standart” yoki “substandart” toifalarida bo‘lib, 2025-yilda ularning 51,2 foizi “standart” deb tasniflangan. Milliy tasnif bo‘yicha muammoli deb tan olingan kreditlarning barchasi 3-bosqichda bo‘lsa-da, ular 3-bosqich kreditlarining faqat 42,8–71,0 foizini tashkil etgan.</w:t>
      </w:r>
    </w:p>
    <w:p>
      <w:pPr>
        <w:jc w:val="right"/>
      </w:pPr>
      <w:r>
        <w:rPr>
          <w:b w:val="0"/>
          <w:i/>
          <w:color w:val="FF0000"/>
          <w:sz w:val="28"/>
        </w:rPr>
        <w:t>2.3.3-jadval</w:t>
      </w:r>
    </w:p>
    <w:p>
      <w:pPr>
        <w:spacing w:line="240" w:lineRule="auto"/>
        <w:jc w:val="center"/>
      </w:pPr>
      <w:r>
        <w:rPr>
          <w:b/>
          <w:i w:val="0"/>
          <w:color w:val="FF0000"/>
          <w:sz w:val="28"/>
        </w:rPr>
        <w:t>“O‘zsanoatqurilishbank” ATB kredit portfelining MHXS 9 bosqichlari va milliy tasnif toifalari bo‘yicha tarkibi, 2021–2025-yillar, mlrd so‘m [1]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020"/>
        <w:gridCol w:w="1077"/>
        <w:gridCol w:w="1077"/>
        <w:gridCol w:w="1020"/>
        <w:gridCol w:w="1020"/>
        <w:gridCol w:w="1020"/>
        <w:gridCol w:w="1077"/>
        <w:gridCol w:w="1077"/>
      </w:tblGrid>
      <w:tr>
        <w:tc>
          <w:tcPr>
            <w:tcW w:type="dxa" w:w="680"/>
            <w:vMerge w:val="restart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Yil</w:t>
            </w:r>
          </w:p>
        </w:tc>
        <w:tc>
          <w:tcPr>
            <w:tcW w:type="dxa" w:w="1020"/>
            <w:vMerge w:val="restart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Jami kreditlar</w:t>
            </w:r>
          </w:p>
        </w:tc>
        <w:tc>
          <w:tcPr>
            <w:tcW w:type="dxa" w:w="1077"/>
            <w:vMerge w:val="restart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1-bosqich (standart)</w:t>
            </w:r>
          </w:p>
        </w:tc>
        <w:tc>
          <w:tcPr>
            <w:tcW w:type="dxa" w:w="1020"/>
            <w:gridSpan w:val="3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2-bosqich</w:t>
            </w:r>
          </w:p>
        </w:tc>
        <w:tc>
          <w:tcPr>
            <w:tcW w:type="dxa" w:w="1077"/>
            <w:gridSpan w:val="3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3-bosqich</w:t>
            </w:r>
          </w:p>
        </w:tc>
      </w:tr>
      <w:t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1077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18"/>
              </w:rPr>
              <w:t>jami</w:t>
            </w:r>
          </w:p>
        </w:tc>
        <w:tc>
          <w:tcPr>
            <w:tcW w:type="dxa" w:w="1020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18"/>
              </w:rPr>
              <w:t>standart</w:t>
            </w:r>
          </w:p>
        </w:tc>
        <w:tc>
          <w:tcPr>
            <w:tcW w:type="dxa" w:w="1020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18"/>
              </w:rPr>
              <w:t>substan-dart</w:t>
            </w:r>
          </w:p>
        </w:tc>
        <w:tc>
          <w:tcPr>
            <w:tcW w:type="dxa" w:w="1020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18"/>
              </w:rPr>
              <w:t>jami</w:t>
            </w:r>
          </w:p>
        </w:tc>
        <w:tc>
          <w:tcPr>
            <w:tcW w:type="dxa" w:w="1077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18"/>
              </w:rPr>
              <w:t>standart va substan-dart</w:t>
            </w:r>
          </w:p>
        </w:tc>
        <w:tc>
          <w:tcPr>
            <w:tcW w:type="dxa" w:w="1077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18"/>
              </w:rPr>
              <w:t>muammoli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2021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44 529,8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32 680,5</w:t>
              <w:br/>
            </w:r>
            <w:r>
              <w:rPr>
                <w:b w:val="0"/>
                <w:color w:val="FF0000"/>
                <w:sz w:val="20"/>
              </w:rPr>
              <w:t>(73,4)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9 071,3</w:t>
              <w:br/>
            </w:r>
            <w:r>
              <w:rPr>
                <w:b w:val="0"/>
                <w:color w:val="FF0000"/>
                <w:sz w:val="20"/>
              </w:rPr>
              <w:t>(20,4)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7 091,5</w:t>
              <w:br/>
            </w:r>
            <w:r>
              <w:rPr>
                <w:b w:val="0"/>
                <w:color w:val="FF0000"/>
                <w:sz w:val="20"/>
              </w:rPr>
              <w:t>(78,2)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1 979,8</w:t>
              <w:br/>
            </w:r>
            <w:r>
              <w:rPr>
                <w:b w:val="0"/>
                <w:color w:val="FF0000"/>
                <w:sz w:val="20"/>
              </w:rPr>
              <w:t>(21,8)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2 777,9</w:t>
              <w:br/>
            </w:r>
            <w:r>
              <w:rPr>
                <w:b w:val="0"/>
                <w:color w:val="FF0000"/>
                <w:sz w:val="20"/>
              </w:rPr>
              <w:t>(6,2)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990,1</w:t>
              <w:br/>
            </w:r>
            <w:r>
              <w:rPr>
                <w:b w:val="0"/>
                <w:color w:val="FF0000"/>
                <w:sz w:val="20"/>
              </w:rPr>
              <w:t>(35,6)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1 787,8</w:t>
              <w:br/>
            </w:r>
            <w:r>
              <w:rPr>
                <w:b w:val="0"/>
                <w:color w:val="FF0000"/>
                <w:sz w:val="20"/>
              </w:rPr>
              <w:t>(64,4)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2022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51 298,4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39 971,9</w:t>
              <w:br/>
            </w:r>
            <w:r>
              <w:rPr>
                <w:b w:val="0"/>
                <w:color w:val="FF0000"/>
                <w:sz w:val="20"/>
              </w:rPr>
              <w:t>(77,9)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7 542,4</w:t>
              <w:br/>
            </w:r>
            <w:r>
              <w:rPr>
                <w:b w:val="0"/>
                <w:color w:val="FF0000"/>
                <w:sz w:val="20"/>
              </w:rPr>
              <w:t>(14,7)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5 732,3</w:t>
              <w:br/>
            </w:r>
            <w:r>
              <w:rPr>
                <w:b w:val="0"/>
                <w:color w:val="FF0000"/>
                <w:sz w:val="20"/>
              </w:rPr>
              <w:t>(76,0)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1 810,1</w:t>
              <w:br/>
            </w:r>
            <w:r>
              <w:rPr>
                <w:b w:val="0"/>
                <w:color w:val="FF0000"/>
                <w:sz w:val="20"/>
              </w:rPr>
              <w:t>(24,0)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3 784,0</w:t>
              <w:br/>
            </w:r>
            <w:r>
              <w:rPr>
                <w:b w:val="0"/>
                <w:color w:val="FF0000"/>
                <w:sz w:val="20"/>
              </w:rPr>
              <w:t>(7,4)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1 098,4</w:t>
              <w:br/>
            </w:r>
            <w:r>
              <w:rPr>
                <w:b w:val="0"/>
                <w:color w:val="FF0000"/>
                <w:sz w:val="20"/>
              </w:rPr>
              <w:t>(29,0)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2 685,7</w:t>
              <w:br/>
            </w:r>
            <w:r>
              <w:rPr>
                <w:b w:val="0"/>
                <w:color w:val="FF0000"/>
                <w:sz w:val="20"/>
              </w:rPr>
              <w:t>(71,0)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2023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60 407,8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47 967,4</w:t>
              <w:br/>
            </w:r>
            <w:r>
              <w:rPr>
                <w:b w:val="0"/>
                <w:color w:val="FF0000"/>
                <w:sz w:val="20"/>
              </w:rPr>
              <w:t>(79,4)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9 536,1</w:t>
              <w:br/>
            </w:r>
            <w:r>
              <w:rPr>
                <w:b w:val="0"/>
                <w:color w:val="FF0000"/>
                <w:sz w:val="20"/>
              </w:rPr>
              <w:t>(15,8)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2 964,7</w:t>
              <w:br/>
            </w:r>
            <w:r>
              <w:rPr>
                <w:b w:val="0"/>
                <w:color w:val="FF0000"/>
                <w:sz w:val="20"/>
              </w:rPr>
              <w:t>(31,1)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6 571,3</w:t>
              <w:br/>
            </w:r>
            <w:r>
              <w:rPr>
                <w:b w:val="0"/>
                <w:color w:val="FF0000"/>
                <w:sz w:val="20"/>
              </w:rPr>
              <w:t>(68,9)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2 904,4</w:t>
              <w:br/>
            </w:r>
            <w:r>
              <w:rPr>
                <w:b w:val="0"/>
                <w:color w:val="FF0000"/>
                <w:sz w:val="20"/>
              </w:rPr>
              <w:t>(4,8)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1 367,4</w:t>
              <w:br/>
            </w:r>
            <w:r>
              <w:rPr>
                <w:b w:val="0"/>
                <w:color w:val="FF0000"/>
                <w:sz w:val="20"/>
              </w:rPr>
              <w:t>(47,1)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1 537,0</w:t>
              <w:br/>
            </w:r>
            <w:r>
              <w:rPr>
                <w:b w:val="0"/>
                <w:color w:val="FF0000"/>
                <w:sz w:val="20"/>
              </w:rPr>
              <w:t>(52,9)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2024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69 772,0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46 779,4</w:t>
              <w:br/>
            </w:r>
            <w:r>
              <w:rPr>
                <w:b w:val="0"/>
                <w:color w:val="FF0000"/>
                <w:sz w:val="20"/>
              </w:rPr>
              <w:t>(67,0)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18 907,0</w:t>
              <w:br/>
            </w:r>
            <w:r>
              <w:rPr>
                <w:b w:val="0"/>
                <w:color w:val="FF0000"/>
                <w:sz w:val="20"/>
              </w:rPr>
              <w:t>(27,1)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8 064,0</w:t>
              <w:br/>
            </w:r>
            <w:r>
              <w:rPr>
                <w:b w:val="0"/>
                <w:color w:val="FF0000"/>
                <w:sz w:val="20"/>
              </w:rPr>
              <w:t>(42,7)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10 843,0</w:t>
              <w:br/>
            </w:r>
            <w:r>
              <w:rPr>
                <w:b w:val="0"/>
                <w:color w:val="FF0000"/>
                <w:sz w:val="20"/>
              </w:rPr>
              <w:t>(57,3)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4 085,6</w:t>
              <w:br/>
            </w:r>
            <w:r>
              <w:rPr>
                <w:b w:val="0"/>
                <w:color w:val="FF0000"/>
                <w:sz w:val="20"/>
              </w:rPr>
              <w:t>(5,9)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1 591,1</w:t>
              <w:br/>
            </w:r>
            <w:r>
              <w:rPr>
                <w:b w:val="0"/>
                <w:color w:val="FF0000"/>
                <w:sz w:val="20"/>
              </w:rPr>
              <w:t>(38,9)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2 494,5</w:t>
              <w:br/>
            </w:r>
            <w:r>
              <w:rPr>
                <w:b w:val="0"/>
                <w:color w:val="FF0000"/>
                <w:sz w:val="20"/>
              </w:rPr>
              <w:t>(61,1)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0"/>
              </w:rPr>
              <w:t>2025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71 008,8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40 378,2</w:t>
              <w:br/>
            </w:r>
            <w:r>
              <w:rPr>
                <w:b w:val="0"/>
                <w:color w:val="FF0000"/>
                <w:sz w:val="20"/>
              </w:rPr>
              <w:t>(56,9)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25 320,4</w:t>
              <w:br/>
            </w:r>
            <w:r>
              <w:rPr>
                <w:b w:val="0"/>
                <w:color w:val="FF0000"/>
                <w:sz w:val="20"/>
              </w:rPr>
              <w:t>(35,7)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12 956,2</w:t>
              <w:br/>
            </w:r>
            <w:r>
              <w:rPr>
                <w:b w:val="0"/>
                <w:color w:val="FF0000"/>
                <w:sz w:val="20"/>
              </w:rPr>
              <w:t>(51,2)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12 364,3</w:t>
              <w:br/>
            </w:r>
            <w:r>
              <w:rPr>
                <w:b w:val="0"/>
                <w:color w:val="FF0000"/>
                <w:sz w:val="20"/>
              </w:rPr>
              <w:t>(48,8)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5 310,2</w:t>
              <w:br/>
            </w:r>
            <w:r>
              <w:rPr>
                <w:b w:val="0"/>
                <w:color w:val="FF0000"/>
                <w:sz w:val="20"/>
              </w:rPr>
              <w:t>(7,5)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3 037,3</w:t>
              <w:br/>
            </w:r>
            <w:r>
              <w:rPr>
                <w:b w:val="0"/>
                <w:color w:val="FF0000"/>
                <w:sz w:val="20"/>
              </w:rPr>
              <w:t>(57,2)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0"/>
              </w:rPr>
              <w:t>2 272,9</w:t>
              <w:br/>
            </w:r>
            <w:r>
              <w:rPr>
                <w:b w:val="0"/>
                <w:color w:val="FF0000"/>
                <w:sz w:val="20"/>
              </w:rPr>
              <w:t>(42,8)</w:t>
            </w:r>
          </w:p>
        </w:tc>
      </w:tr>
    </w:tbl>
    <w:p>
      <w:pPr>
        <w:spacing w:line="240" w:lineRule="auto"/>
        <w:jc w:val="both"/>
      </w:pPr>
      <w:r>
        <w:rPr>
          <w:b w:val="0"/>
          <w:i/>
          <w:color w:val="FF0000"/>
          <w:sz w:val="22"/>
        </w:rPr>
        <w:t>Izoh: amortizatsiyalangan qiymatda baholanadigan mijozlarga kreditlarning yalpi qiymati (korporativ, davlat va munitsipal tashkilotlar, jismoniy shaxslar); qavs ichida – bosqichlar uchun jami kreditlardagi, toifalar uchun tegishli bosqichdagi ulushi, %; 1-bosqich kreditlarining barchasi milliy tasnifda “standart” toifasida; muammoli – “qoniqarsiz”, “shubhali” va “umidsiz” toifalari.</w:t>
      </w:r>
    </w:p>
    <w:p>
      <w:pPr>
        <w:jc w:val="both"/>
      </w:pPr>
      <w:r>
        <w:rPr>
          <w:b w:val="0"/>
          <w:i w:val="0"/>
          <w:color w:val="FF0000"/>
          <w:sz w:val="28"/>
        </w:rPr>
      </w:r>
    </w:p>
    <w:p>
      <w:pPr>
        <w:spacing w:line="240" w:lineRule="auto"/>
        <w:jc w:val="both"/>
      </w:pPr>
      <w:r>
        <w:rPr>
          <w:b w:val="0"/>
          <w:i w:val="0"/>
          <w:color w:val="FF0000"/>
          <w:sz w:val="22"/>
        </w:rPr>
        <w:t>[1] Tadqiqot natijasida muallif tomonidan quyidagi manbalar ma’lumotlari asosida hisoblandi: Акционерный коммерческий банк “Узбекский промышленно-строительный банк” и его дочерние организации. Консолидированная финансовая отчетность и аудиторское заключение за годы, закончившиеся 31 декабря 2023, 2022 и 2021 гг. – Ташкент, 2024. – С. 53–55; Joint Stock Commercial Bank “Uzbek Industrial and Construction Bank” and its subsidiaries. Consolidated Financial Statements for the year ended 31 December 2025 and Independent Auditor’s Report. – Tashkent, 2026. – P. 37–38.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