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2.3.5-rasm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060000"/>
            <wp:effectExtent l="0" t="0" r="0" b="0"/>
            <wp:docPr id="1001" name="2.3.5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  <w:strike w:val="0"/>
          <w:sz w:val="28"/>
        </w:rPr>
        <w:t>2.3.5-rasm. “O‘zsanoatqurilishbank” ATB, “Mikrokreditbank” ATB va “Aloqabank” ATB da yashirin kredit riski koeffitsiyenti</w:t>
      </w:r>
    </w:p>
    <w:p>
      <w:pPr>
        <w:jc w:val="both"/>
      </w:pPr>
      <w:r>
        <w:rPr>
          <w:b w:val="0"/>
          <w:strike w:val="0"/>
          <w:sz w:val="24"/>
        </w:rPr>
        <w:t>Rasmdan oldingi xatboshida:</w:t>
      </w:r>
    </w:p>
    <w:p>
      <w:pPr>
        <w:jc w:val="both"/>
      </w:pPr>
      <w:r>
        <w:rPr>
          <w:b w:val="0"/>
          <w:strike/>
          <w:color w:val="7F7F7F"/>
          <w:sz w:val="24"/>
        </w:rPr>
        <w:t>Hozir: Uning ikkala bank bo‘yicha dinamikasi 2.3.5-rasmda keltirildi.</w:t>
      </w:r>
    </w:p>
    <w:p>
      <w:pPr>
        <w:jc w:val="both"/>
      </w:pPr>
      <w:r>
        <w:rPr>
          <w:b w:val="0"/>
          <w:strike w:val="0"/>
          <w:color w:val="FF0000"/>
          <w:sz w:val="24"/>
        </w:rPr>
        <w:t>Yangi: Uning uch bank bo‘yicha dinamikasi 2.3.5-rasmda keltirildi.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“O‘zsanoatqurilishbank”</c:v>
                </c:pt>
              </c:strCache>
            </c:strRef>
          </c:tx>
          <c:spPr>
            <a:ln w="28575">
              <a:solidFill>
                <a:srgbClr val="2A78D6"/>
              </a:solidFill>
            </a:ln>
          </c:spPr>
          <c:marker>
            <c:symbol val="circle"/>
            <c:size val="6"/>
            <c:spPr>
              <a:solidFill>
                <a:srgbClr val="2A78D6"/>
              </a:solidFill>
              <a:ln>
                <a:noFill/>
              </a:ln>
            </c:spPr>
          </c:marker>
          <c:dLbls>
            <c:dLbl>
              <c:idx val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2A78D6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0.0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2A78D6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</c:formatCode>
                <c:ptCount val="5"/>
                <c:pt idx="0">
                  <c:v>1.65</c:v>
                </c:pt>
                <c:pt idx="1">
                  <c:v>2.61</c:v>
                </c:pt>
                <c:pt idx="2">
                  <c:v>2.14</c:v>
                </c:pt>
                <c:pt idx="3">
                  <c:v>2.08</c:v>
                </c:pt>
                <c:pt idx="4">
                  <c:v>2.96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“Mikrokreditbank”</c:v>
                </c:pt>
              </c:strCache>
            </c:strRef>
          </c:tx>
          <c:spPr>
            <a:ln w="28575">
              <a:solidFill>
                <a:srgbClr val="EB6834"/>
              </a:solidFill>
            </a:ln>
          </c:spPr>
          <c:marker>
            <c:symbol val="circle"/>
            <c:size val="6"/>
            <c:spPr>
              <a:solidFill>
                <a:srgbClr val="EB6834"/>
              </a:solidFill>
              <a:ln>
                <a:noFill/>
              </a:ln>
            </c:spPr>
          </c:marker>
          <c:dLbls>
            <c:dLbl>
              <c:idx val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EB6834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EB6834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EB6834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EB6834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EB6834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0.0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EB6834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</c:formatCode>
                <c:ptCount val="5"/>
                <c:pt idx="0">
                  <c:v>2.95</c:v>
                </c:pt>
                <c:pt idx="1">
                  <c:v>2.81</c:v>
                </c:pt>
                <c:pt idx="2">
                  <c:v>2.77</c:v>
                </c:pt>
                <c:pt idx="3">
                  <c:v>3.3</c:v>
                </c:pt>
                <c:pt idx="4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“Aloqabank”</c:v>
                </c:pt>
              </c:strCache>
            </c:strRef>
          </c:tx>
          <c:spPr>
            <a:ln w="28575">
              <a:solidFill>
                <a:srgbClr val="70AD47"/>
              </a:solidFill>
            </a:ln>
          </c:spPr>
          <c:marker>
            <c:symbol val="circle"/>
            <c:size val="6"/>
            <c:spPr>
              <a:solidFill>
                <a:srgbClr val="70AD47"/>
              </a:solidFill>
              <a:ln>
                <a:noFill/>
              </a:ln>
            </c:spPr>
          </c:marker>
          <c:dLbls>
            <c:dLbl>
              <c:idx val="0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b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1000" b="1">
                      <a:solidFill>
                        <a:srgbClr val="70AD47"/>
                      </a:solidFill>
                      <a:latin typeface="Times New Roman"/>
                      <a:cs typeface="Times New Roman"/>
                    </a:defRPr>
                  </a:pPr>
                  <a:endParaRPr lang="uz-Latn-UZ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0.0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rgbClr val="70AD47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Sheet1!$D$2:$D$6</c:f>
              <c:numCache>
                <c:formatCode>0.0</c:formatCode>
                <c:ptCount val="5"/>
                <c:pt idx="0">
                  <c:v>2.46</c:v>
                </c:pt>
                <c:pt idx="1">
                  <c:v>4.9</c:v>
                </c:pt>
                <c:pt idx="2">
                  <c:v>4.01</c:v>
                </c:pt>
                <c:pt idx="3">
                  <c:v>4.01</c:v>
                </c:pt>
                <c:pt idx="4">
                  <c:v>2.83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Muvofiqlik darajasi (1,0)</c:v>
                </c:pt>
              </c:strCache>
            </c:strRef>
          </c:tx>
          <c:spPr>
            <a:ln w="28575">
              <a:solidFill>
                <a:srgbClr val="7F7F7F"/>
              </a:solidFill>
              <a:prstDash val="dash"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Sheet1!$E$2:$E$6</c:f>
              <c:numCache>
                <c:formatCode>0.0</c:formatCode>
                <c:ptCount val="5"/>
                <c:pt idx="0">
                  <c:v>1.0</c:v>
                </c:pt>
                <c:pt idx="1">
                  <c:v>1.0</c:v>
                </c:pt>
                <c:pt idx="2">
                  <c:v>1.0</c:v>
                </c:pt>
                <c:pt idx="3">
                  <c:v>1.0</c:v>
                </c:pt>
                <c:pt idx="4">
                  <c:v>1.0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5.5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Koeffitsiyent</a:t>
                </a:r>
              </a:p>
            </c:rich>
          </c:tx>
          <c:overlay val="0"/>
        </c:title>
        <c:numFmt formatCode="0.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1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