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20"/>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21"/>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22"/>
      </w:r>
      <w:r>
        <w:rPr>
          <w:rFonts w:ascii="Times New Roman" w:hAnsi="Times New Roman" w:cs="Times New Roman" w:eastAsia="Times New Roman"/>
          <w:sz w:val="28"/>
        </w:rPr>
        <w:t xml:space="preserve">. Ushbu tushunchalar o‘rtasidagi bog‘liqlik 1.1.1-rasmda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286000"/>
                <wp:effectExtent l="0" t="0" r="0" b="0"/>
                <wp:docPr id="100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2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24"/>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2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26"/>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2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28"/>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29"/>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tadqiqotlarda ham bu masalaga e’tibor kuchayib bormoqda. Xususan, 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31"/>
      </w:r>
      <w:r>
        <w:rPr>
          <w:rFonts w:ascii="Times New Roman" w:hAnsi="Times New Roman" w:cs="Times New Roman" w:eastAsia="Times New Roman"/>
          <w:sz w:val="28"/>
        </w:rPr>
        <w:t xml:space="preserve">. Bu ta’rifda uzluksizlik va dinamikaga urg‘u berilgani e’tiborga loyiq, ammo unda barqarorlikni qanday o‘lchash mumkinligi, ya’ni uning miqdoriy chegaralari ochiq qolgan.</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32"/>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538000"/>
                <wp:effectExtent l="0" t="0" r="0" b="0"/>
                <wp:docPr id="100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33"/>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34"/>
      </w:r>
      <w:r>
        <w:rPr>
          <w:rFonts w:ascii="Times New Roman" w:hAnsi="Times New Roman" w:cs="Times New Roman" w:eastAsia="Times New Roman"/>
          <w:sz w:val="28"/>
        </w:rPr>
        <w:t xml:space="preserve">. Ushbu darajalar va ular o‘rtasidagi bog‘liqlik 1.1.3-rasmda ko‘rsatildi.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926000"/>
                <wp:effectExtent l="0" t="0" r="0" b="0"/>
                <wp:docPr id="100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36"/>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37"/>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3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610000"/>
                <wp:effectExtent l="0" t="0" r="0" b="0"/>
                <wp:docPr id="100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
                                <w:ind w:firstLine="0"/>
                              </w:pPr>
                              <w:r>
                                <w:rPr>
                                  <w:rFonts w:ascii="Times New Roman" w:hAnsi="Times New Roman" w:cs="Times New Roman"/>
                                  <w:color w:val="000000"/>
                                  <w:sz w:val="19"/>
                                  <w:szCs w:val="19"/>
                                </w:rPr>
                                <w:t xml:space="preserve">1. Makroiqtisodiy holat</w:t>
                              </w:r>
                            </w:p>
                            <w:p>
                              <w:pPr>
                                <w:spacing w:before="0" w:after="0" w:line="228" w:lineRule="auto"/>
                                <w:jc w:val="l"/>
                                <w:ind w:firstLine="0"/>
                              </w:pPr>
                              <w:r>
                                <w:rPr>
                                  <w:rFonts w:ascii="Times New Roman" w:hAnsi="Times New Roman" w:cs="Times New Roman"/>
                                  <w:color w:val="000000"/>
                                  <w:sz w:val="19"/>
                                  <w:szCs w:val="19"/>
                                </w:rPr>
                                <w:t xml:space="preserve">2. Davlatning maqsadli mo‘ljallari</w:t>
                              </w:r>
                            </w:p>
                            <w:p>
                              <w:pPr>
                                <w:spacing w:before="0" w:after="0" w:line="228" w:lineRule="auto"/>
                                <w:jc w:val="l"/>
                                <w:ind w:firstLine="0"/>
                              </w:pPr>
                              <w:r>
                                <w:rPr>
                                  <w:rFonts w:ascii="Times New Roman" w:hAnsi="Times New Roman" w:cs="Times New Roman"/>
                                  <w:color w:val="000000"/>
                                  <w:sz w:val="19"/>
                                  <w:szCs w:val="19"/>
                                </w:rPr>
                                <w:t xml:space="preserve">3. Talab va to‘lov qobiliyati</w:t>
                              </w:r>
                            </w:p>
                            <w:p>
                              <w:pPr>
                                <w:spacing w:before="0" w:after="0" w:line="228" w:lineRule="auto"/>
                                <w:jc w:val="l"/>
                                <w:ind w:firstLine="0"/>
                              </w:pPr>
                              <w:r>
                                <w:rPr>
                                  <w:rFonts w:ascii="Times New Roman" w:hAnsi="Times New Roman" w:cs="Times New Roman"/>
                                  <w:color w:val="000000"/>
                                  <w:sz w:val="19"/>
                                  <w:szCs w:val="19"/>
                                </w:rPr>
                                <w:t xml:space="preserve">4. Pul bozori holati</w:t>
                              </w:r>
                            </w:p>
                            <w:p>
                              <w:pPr>
                                <w:spacing w:before="0" w:after="0" w:line="228" w:lineRule="auto"/>
                                <w:jc w:val="l"/>
                                <w:ind w:firstLine="0"/>
                              </w:pPr>
                              <w:r>
                                <w:rPr>
                                  <w:rFonts w:ascii="Times New Roman" w:hAnsi="Times New Roman" w:cs="Times New Roman"/>
                                  <w:color w:val="000000"/>
                                  <w:sz w:val="19"/>
                                  <w:szCs w:val="19"/>
                                </w:rPr>
                                <w:t xml:space="preserve">5. Pul muomalasi va inflyatsiya</w:t>
                              </w:r>
                            </w:p>
                            <w:p>
                              <w:pPr>
                                <w:spacing w:before="0" w:after="0" w:line="228" w:lineRule="auto"/>
                                <w:jc w:val="l"/>
                                <w:ind w:firstLine="0"/>
                              </w:pPr>
                              <w:r>
                                <w:rPr>
                                  <w:rFonts w:ascii="Times New Roman" w:hAnsi="Times New Roman" w:cs="Times New Roman"/>
                                  <w:color w:val="000000"/>
                                  <w:sz w:val="19"/>
                                  <w:szCs w:val="19"/>
                                </w:rPr>
                                <w:t xml:space="preserve">6. Raqobat</w:t>
                              </w:r>
                            </w:p>
                            <w:p>
                              <w:pPr>
                                <w:spacing w:before="0" w:after="0" w:line="228" w:lineRule="auto"/>
                                <w:jc w:val="l"/>
                                <w:ind w:firstLine="0"/>
                              </w:pPr>
                              <w:r>
                                <w:rPr>
                                  <w:rFonts w:ascii="Times New Roman" w:hAnsi="Times New Roman" w:cs="Times New Roman"/>
                                  <w:color w:val="000000"/>
                                  <w:sz w:val="19"/>
                                  <w:szCs w:val="19"/>
                                </w:rPr>
                                <w:t xml:space="preserve">7. Bank tizimining holati</w:t>
                              </w:r>
                            </w:p>
                            <w:p>
                              <w:pPr>
                                <w:spacing w:before="0" w:after="0" w:line="228" w:lineRule="auto"/>
                                <w:jc w:val="l"/>
                                <w:ind w:firstLine="0"/>
                              </w:pPr>
                              <w:r>
                                <w:rPr>
                                  <w:rFonts w:ascii="Times New Roman" w:hAnsi="Times New Roman" w:cs="Times New Roman"/>
                                  <w:color w:val="000000"/>
                                  <w:sz w:val="19"/>
                                  <w:szCs w:val="19"/>
                                </w:rPr>
                                <w:t xml:space="preserve">8. Qonunchilik</w:t>
                              </w:r>
                            </w:p>
                            <w:p>
                              <w:pPr>
                                <w:spacing w:before="0" w:after="0" w:line="228" w:lineRule="auto"/>
                                <w:jc w:val="l"/>
                                <w:ind w:firstLine="0"/>
                              </w:pPr>
                              <w:r>
                                <w:rPr>
                                  <w:rFonts w:ascii="Times New Roman" w:hAnsi="Times New Roman" w:cs="Times New Roman"/>
                                  <w:color w:val="000000"/>
                                  <w:sz w:val="19"/>
                                  <w:szCs w:val="19"/>
                                </w:rPr>
                                <w:t xml:space="preserve">9. Infratuzilma</w:t>
                              </w:r>
                            </w:p>
                            <w:p>
                              <w:pPr>
                                <w:spacing w:before="0" w:after="0" w:line="228" w:lineRule="auto"/>
                                <w:jc w:val="l"/>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
                                <w:ind w:firstLine="0"/>
                              </w:pPr>
                              <w:r>
                                <w:rPr>
                                  <w:rFonts w:ascii="Times New Roman" w:hAnsi="Times New Roman" w:cs="Times New Roman"/>
                                  <w:color w:val="000000"/>
                                  <w:sz w:val="19"/>
                                  <w:szCs w:val="19"/>
                                </w:rPr>
                                <w:t xml:space="preserve">1. Strategiya va prognozlash</w:t>
                              </w:r>
                            </w:p>
                            <w:p>
                              <w:pPr>
                                <w:spacing w:before="0" w:after="0" w:line="228" w:lineRule="auto"/>
                                <w:jc w:val="l"/>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
                                <w:ind w:firstLine="0"/>
                              </w:pPr>
                              <w:r>
                                <w:rPr>
                                  <w:rFonts w:ascii="Times New Roman" w:hAnsi="Times New Roman" w:cs="Times New Roman"/>
                                  <w:color w:val="000000"/>
                                  <w:sz w:val="19"/>
                                  <w:szCs w:val="19"/>
                                </w:rPr>
                                <w:t xml:space="preserve">4. Risklarga qarshi tura olish</w:t>
                              </w:r>
                            </w:p>
                            <w:p>
                              <w:pPr>
                                <w:spacing w:before="0" w:after="0" w:line="228" w:lineRule="auto"/>
                                <w:jc w:val="l"/>
                                <w:ind w:firstLine="0"/>
                              </w:pPr>
                              <w:r>
                                <w:rPr>
                                  <w:rFonts w:ascii="Times New Roman" w:hAnsi="Times New Roman" w:cs="Times New Roman"/>
                                  <w:color w:val="000000"/>
                                  <w:sz w:val="19"/>
                                  <w:szCs w:val="19"/>
                                </w:rPr>
                                <w:t xml:space="preserve">5. Xarajatlarni tejash</w:t>
                              </w:r>
                            </w:p>
                            <w:p>
                              <w:pPr>
                                <w:spacing w:before="0" w:after="0" w:line="228" w:lineRule="auto"/>
                                <w:jc w:val="l"/>
                                <w:ind w:firstLine="0"/>
                              </w:pPr>
                              <w:r>
                                <w:rPr>
                                  <w:rFonts w:ascii="Times New Roman" w:hAnsi="Times New Roman" w:cs="Times New Roman"/>
                                  <w:color w:val="000000"/>
                                  <w:sz w:val="19"/>
                                  <w:szCs w:val="19"/>
                                </w:rPr>
                                <w:t xml:space="preserve">6. Ichki infratuzilma va kadrlar</w:t>
                              </w:r>
                            </w:p>
                            <w:p>
                              <w:pPr>
                                <w:spacing w:before="0" w:after="0" w:line="228" w:lineRule="auto"/>
                                <w:jc w:val="l"/>
                                <w:ind w:firstLine="0"/>
                              </w:pPr>
                              <w:r>
                                <w:rPr>
                                  <w:rFonts w:ascii="Times New Roman" w:hAnsi="Times New Roman" w:cs="Times New Roman"/>
                                  <w:color w:val="000000"/>
                                  <w:sz w:val="19"/>
                                  <w:szCs w:val="19"/>
                                </w:rPr>
                                <w:t xml:space="preserve">7. Marketing va boshqaruv</w:t>
                              </w:r>
                            </w:p>
                            <w:p>
                              <w:pPr>
                                <w:spacing w:before="0" w:after="0" w:line="228" w:lineRule="auto"/>
                                <w:jc w:val="l"/>
                                <w:ind w:firstLine="0"/>
                              </w:pPr>
                              <w:r>
                                <w:rPr>
                                  <w:rFonts w:ascii="Times New Roman" w:hAnsi="Times New Roman" w:cs="Times New Roman"/>
                                  <w:color w:val="000000"/>
                                  <w:sz w:val="19"/>
                                  <w:szCs w:val="19"/>
                                </w:rPr>
                                <w:t xml:space="preserve">8. Texnologiyalar</w:t>
                              </w:r>
                            </w:p>
                            <w:p>
                              <w:pPr>
                                <w:spacing w:before="0" w:after="0" w:line="228" w:lineRule="auto"/>
                                <w:jc w:val="l"/>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39"/>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40"/>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5" name="1.1.5-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41"/>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42"/>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43"/>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44"/>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45"/>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46"/>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47"/>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48"/>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49"/>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50"/>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51"/>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52"/>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53"/>
      </w:r>
      <w:r>
        <w:rPr>
          <w:rFonts w:ascii="Times New Roman" w:hAnsi="Times New Roman" w:cs="Times New Roman" w:eastAsia="Times New Roman"/>
          <w:sz w:val="28"/>
        </w:rPr>
        <w:t xml:space="preserve">, bank faoliyatiga J.H. Boyd va S.L. Graham tomonidan tatbiq etilgan</w:t>
      </w:r>
      <w:r>
        <w:rPr>
          <w:rStyle w:val="FootnoteReference"/>
        </w:rPr>
        <w:footnoteReference w:id="54"/>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pPr>
        <w:pStyle w:val="BodyText"/>
        <w:keepNext/>
        <w:spacing w:line="240" w:lineRule="auto" w:before="0" w:after="0"/>
        <w:ind w:firstLine="0"/>
        <w:jc w:val="center"/>
      </w:pPr>
      <w:r xmlns:c="http://schemas.openxmlformats.org/drawingml/2006/chart">
        <w:rPr>
          <w:noProof/>
        </w:rPr>
        <w:drawing>
          <wp:inline distT="0" distB="0" distL="0" distR="0">
            <wp:extent cx="5400000" cy="2700000"/>
            <wp:effectExtent l="0" t="0" r="0" b="0"/>
            <wp:docPr id="1006" name="1.1.6-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56"/>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57"/>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58"/>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59"/>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60"/>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6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808000"/>
                <wp:effectExtent l="0" t="0" r="0" b="0"/>
                <wp:docPr id="100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62"/>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63"/>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2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2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2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Sharipova N.H. Tijorat banklari moliyaviy barqarorligini mustahkamlashning konseptual asoslarini takomillashtirish: iqtisodiyot fanlari doktori (DSc) dissertatsiyasi avtoreferati. – Toshkent, 2026. – B. 13–14.</w:t>
      </w:r>
    </w:p>
  </w:footnote>
  <w:footnote w:id="2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2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28">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29">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0">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31">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32">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3">
    <w:p>
      <w:pPr>
        <w:pStyle w:val="FootnoteText"/>
      </w:pPr>
      <w:r>
        <w:rPr>
          <w:rStyle w:val="FootnoteReference"/>
        </w:rPr>
        <w:footnoteRef/>
      </w:r>
      <w:r>
        <w:t xml:space="preserve"> </w:t>
      </w:r>
      <w:r>
        <w:t xml:space="preserve">Tadqiqot natijasida muallif tomonidan ishlab chiqildi.</w:t>
      </w:r>
    </w:p>
  </w:footnote>
  <w:footnote w:id="3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35">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3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3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39">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4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41">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4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4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44">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4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46">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47">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48">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49">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50">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51">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52">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53">
    <w:p>
      <w:pPr>
        <w:pStyle w:val="FootnoteText"/>
      </w:pPr>
      <w:r>
        <w:rPr>
          <w:rStyle w:val="FootnoteReference"/>
        </w:rPr>
        <w:footnoteRef/>
      </w:r>
      <w:r>
        <w:t xml:space="preserve"> </w:t>
      </w:r>
      <w:r>
        <w:t xml:space="preserve">Roy A.D. Safety First and the Holding of Assets // Econometrica. – 1952. – Vol. 20, No. 3. – P. 431–449.</w:t>
      </w:r>
    </w:p>
  </w:footnote>
  <w:footnote w:id="54">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55">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5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57">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58">
    <w:p>
      <w:pPr>
        <w:pStyle w:val="FootnoteText"/>
      </w:pPr>
      <w:r>
        <w:rPr>
          <w:rStyle w:val="FootnoteReference"/>
        </w:rPr>
        <w:footnoteRef/>
      </w:r>
      <w:r>
        <w:t xml:space="preserve"> </w:t>
      </w:r>
      <w:r>
        <w:t xml:space="preserve">Adrian T., Brunnermeier M.K. CoVaR // American Economic Review. – 2016. – Vol. 106, No. 7. – P. 1705–1741.</w:t>
      </w:r>
    </w:p>
  </w:footnote>
  <w:footnote w:id="5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60">
    <w:p>
      <w:pPr>
        <w:pStyle w:val="FootnoteText"/>
      </w:pPr>
      <w:r>
        <w:rPr>
          <w:rStyle w:val="FootnoteReference"/>
        </w:rPr>
        <w:footnoteRef/>
      </w:r>
      <w:r>
        <w:t xml:space="preserve"> </w:t>
      </w:r>
      <w:r>
        <w:t xml:space="preserve">IFRS 9 Financial Instruments. – London: International Accounting Standards Board, 2014.</w:t>
      </w:r>
    </w:p>
  </w:footnote>
  <w:footnote w:id="61">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62">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2026-10-10T17:46:02Z</dcterms:created>
  <dcterms:modified xsi:type="dcterms:W3CDTF">2026-10-10T17:46:02Z</dcterms:modified>
</cp:coreProperties>
</file>

<file path=docProps/custom.xml><?xml version="1.0" encoding="utf-8"?>
<Properties xmlns="http://schemas.openxmlformats.org/officeDocument/2006/custom-properties" xmlns:vt="http://schemas.openxmlformats.org/officeDocument/2006/docPropsVTypes"/>
</file>