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1.3.4-rasmning yangi varianti (namuna)</w:t>
      </w:r>
    </w:p>
    <w:p>
      <w:pPr>
        <w:ind w:firstLine="0"/>
        <w:jc w:val="both"/>
      </w:pPr>
      <w:r>
        <w:rPr>
          <w:b w:val="0"/>
          <w:i/>
          <w:color w:val="595959"/>
          <w:sz w:val="24"/>
        </w:rPr>
        <w:t>Ma’qul bo‘lsa: 1.3-§ dagi “Angliya banki 1997-yildan BAITE tizimini qo‘llab kelmoqda. … (1.3.4-rasm).” qismi quyidagi matn bilan, 1.3.4-rasm va undan keyingi “Matritsadan ko‘rinadiki, …” xatboshi esa quyidagi rasm va tahlil bilan almashtiriladi. Xatboshining boshi (“AQShdan farqli ravishda, … alohida o‘rin tutadi.”) va Lavrushin izohlari o‘zgarishsiz qoladi.</w:t>
      </w:r>
    </w:p>
    <w:p>
      <w:pPr>
        <w:ind w:firstLine="709"/>
        <w:jc w:val="both"/>
      </w:pPr>
      <w:r>
        <w:rPr>
          <w:b w:val="0"/>
          <w:i w:val="0"/>
          <w:sz w:val="28"/>
        </w:rPr>
        <w:t>… Angliya banki tomonidan ishlab chiqilgan va 1998-yildan Moliyaviy xizmatlar boshqarmasi tomonidan qo‘llangan RATE tizimi uch blokdan, ya’ni risklarni baholash, nazorat vositalari va samaradorlikni baholashdan iborat bo‘lgan[1]. Risklarni baholashda CAMEL-B omillari (kapital, aktivlar, bozor riski, foyda, majburiyatlar, biznes) va COM omillari (nazorat, tashkiliy tuzilma, boshqaruv) asosida yagona ball chiqarilib, nazorat davri 6 oydan 3 yilgacha belgilangan. 2013-yildan banklar nazorati Angliya banki tarkibidagi Prudensial tartibga solish boshqarmasiga o‘tgan bo‘lib, u nazorat intensivligini ikki o‘lchov asosida belgilaydi: bankning moliya tizimiga potensial ta’siri bo‘yicha to‘rt toifa va bankning faoliyati to‘xtatilishiga yaqinligi bo‘yicha faol aralashuv tizimining besh bosqichi[2] (1.3.4-rasm).</w:t>
      </w:r>
    </w:p>
    <w:p>
      <w:pPr>
        <w:jc w:val="center"/>
      </w:pPr>
      <w:r xmlns:a="http://schemas.openxmlformats.org/drawingml/2006/main">
        <w:rPr>
          <w:noProof/>
        </w:rPr>
        <mc:AlternateContent>
          <mc:Choice Requires="wpg">
            <w:drawing>
              <wp:inline distT="0" distB="0" distL="0" distR="0">
                <wp:extent cx="5832000" cy="3132000"/>
                <wp:effectExtent l="0" t="0" r="0" b="0"/>
                <wp:docPr id="1001" name="1.3.4-rasm"/>
                <wp:cNvGraphicFramePr/>
                <a:graphic>
                  <a:graphicData uri="http://schemas.microsoft.com/office/word/2010/wordprocessingGroup">
                    <wpg:wgp>
                      <wpg:cNvGrpSpPr/>
                      <wpg:grpSpPr>
                        <a:xfrm>
                          <a:off x="0" y="0"/>
                          <a:ext cx="5832000" cy="3132000"/>
                          <a:chOff x="0" y="0"/>
                          <a:chExt cx="5832000" cy="3132000"/>
                        </a:xfrm>
                      </wpg:grpSpPr>
                      <wps:wsp>
                        <wps:cNvPr id="2" name="Shape 2"/>
                        <wps:cNvSpPr/>
                        <wps:spPr>
                          <a:xfrm>
                            <a:off x="0" y="0"/>
                            <a:ext cx="129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PIF bosqichi</w:t>
                              </w:r>
                            </w:p>
                          </w:txbxContent>
                        </wps:txbx>
                        <wps:bodyPr rot="0" vert="horz" wrap="square" lIns="36000" tIns="18000" rIns="36000" bIns="18000" anchor="ctr" anchorCtr="0">
                          <a:noAutofit/>
                        </wps:bodyPr>
                      </wps:wsp>
                      <wps:wsp>
                        <wps:cNvPr id="3" name="Shape 3"/>
                        <wps:cNvSpPr/>
                        <wps:spPr>
                          <a:xfrm>
                            <a:off x="1368000" y="0"/>
                            <a:ext cx="1764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Bankning holati</w:t>
                              </w:r>
                            </w:p>
                          </w:txbxContent>
                        </wps:txbx>
                        <wps:bodyPr rot="0" vert="horz" wrap="square" lIns="36000" tIns="18000" rIns="36000" bIns="18000" anchor="ctr" anchorCtr="0">
                          <a:noAutofit/>
                        </wps:bodyPr>
                      </wps:wsp>
                      <wps:wsp>
                        <wps:cNvPr id="4" name="Shape 4"/>
                        <wps:cNvSpPr/>
                        <wps:spPr>
                          <a:xfrm>
                            <a:off x="3204000" y="0"/>
                            <a:ext cx="237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Nazorat choralari</w:t>
                              </w:r>
                            </w:p>
                          </w:txbxContent>
                        </wps:txbx>
                        <wps:bodyPr rot="0" vert="horz" wrap="square" lIns="36000" tIns="18000" rIns="36000" bIns="18000" anchor="ctr" anchorCtr="0">
                          <a:noAutofit/>
                        </wps:bodyPr>
                      </wps:wsp>
                      <wps:wsp>
                        <wps:cNvPr id="5" name="Shape 5"/>
                        <wps:cNvSpPr/>
                        <wps:spPr>
                          <a:xfrm>
                            <a:off x="0" y="252000"/>
                            <a:ext cx="1296000" cy="522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1-bosqich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Risk past</w:t>
                              </w:r>
                            </w:p>
                          </w:txbxContent>
                        </wps:txbx>
                        <wps:bodyPr rot="0" vert="horz" wrap="square" lIns="36000" tIns="18000" rIns="36000" bIns="18000" anchor="ctr" anchorCtr="0">
                          <a:noAutofit/>
                        </wps:bodyPr>
                      </wps:wsp>
                      <wps:wsp>
                        <wps:cNvPr id="6" name="Shape 6"/>
                        <wps:cNvSpPr/>
                        <wps:spPr>
                          <a:xfrm>
                            <a:off x="1368000" y="252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yashovchanligiga xavf past</w:t>
                              </w:r>
                            </w:p>
                          </w:txbxContent>
                        </wps:txbx>
                        <wps:bodyPr rot="0" vert="horz" wrap="square" lIns="36000" tIns="18000" rIns="36000" bIns="18000" anchor="ctr" anchorCtr="0">
                          <a:noAutofit/>
                        </wps:bodyPr>
                      </wps:wsp>
                      <wps:wsp>
                        <wps:cNvPr id="7" name="Shape 7"/>
                        <wps:cNvSpPr/>
                        <wps:spPr>
                          <a:xfrm>
                            <a:off x="3204000" y="252000"/>
                            <a:ext cx="2376000" cy="522000"/>
                          </a:xfrm>
                          <a:prstGeom prst="roundRect">
                            <a:avLst>
                              <a:gd name="adj" fmla="val 10000"/>
                            </a:avLst>
                          </a:prstGeom>
                          <a:solidFill>
                            <a:srgbClr val="FFFFFF"/>
                          </a:solidFill>
                          <a:ln w="12700">
                            <a:solidFill>
                              <a:srgbClr val="70AD47"/>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Odatiy nazorat: risklarni baholash, tiklash va tugatish rejalari</w:t>
                              </w:r>
                            </w:p>
                          </w:txbxContent>
                        </wps:txbx>
                        <wps:bodyPr rot="0" vert="horz" wrap="square" lIns="36000" tIns="18000" rIns="36000" bIns="18000" anchor="ctr" anchorCtr="0">
                          <a:noAutofit/>
                        </wps:bodyPr>
                      </wps:wsp>
                      <wps:wsp>
                        <wps:cNvPr id="8" name="Shape 8"/>
                        <wps:cNvSpPr/>
                        <wps:spPr>
                          <a:xfrm>
                            <a:off x="0" y="828000"/>
                            <a:ext cx="1296000" cy="522000"/>
                          </a:xfrm>
                          <a:prstGeom prst="roundRect">
                            <a:avLst>
                              <a:gd name="adj" fmla="val 10000"/>
                            </a:avLst>
                          </a:prstGeom>
                          <a:solidFill>
                            <a:srgbClr val="9BC2E6"/>
                          </a:solidFill>
                          <a:ln w="12700">
                            <a:solidFill>
                              <a:srgbClr val="9BC2E6"/>
                            </a:solid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2-bosqich</w:t>
                              </w:r>
                            </w:p>
                            <w:p>
                              <w:pPr>
                                <w:spacing w:before="0" w:after="0" w:line="228" w:lineRule="auto"/>
                                <w:jc w:val="center"/>
                                <w:ind w:firstLine="0"/>
                              </w:pPr>
                              <w:r>
                                <w:rPr>
                                  <w:rFonts w:ascii="Times New Roman" w:hAnsi="Times New Roman" w:eastAsia="Times New Roman" w:cs="Times New Roman"/>
                                  <w:b/>
                                  <w:color w:val="000000"/>
                                  <w:sz w:val="20"/>
                                  <w:szCs w:val="20"/>
                                </w:rPr>
                                <w:t xml:space="preserve">O‘rtacha risk</w:t>
                              </w:r>
                            </w:p>
                          </w:txbxContent>
                        </wps:txbx>
                        <wps:bodyPr rot="0" vert="horz" wrap="square" lIns="36000" tIns="18000" rIns="36000" bIns="18000" anchor="ctr" anchorCtr="0">
                          <a:noAutofit/>
                        </wps:bodyPr>
                      </wps:wsp>
                      <wps:wsp>
                        <wps:cNvPr id="9" name="Shape 9"/>
                        <wps:cNvSpPr/>
                        <wps:spPr>
                          <a:xfrm>
                            <a:off x="1368000" y="828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Moliyaviy holat, risk menejmenti yoki boshqaruvda zaifliklar aniqlangan</w:t>
                              </w:r>
                            </w:p>
                          </w:txbxContent>
                        </wps:txbx>
                        <wps:bodyPr rot="0" vert="horz" wrap="square" lIns="36000" tIns="18000" rIns="36000" bIns="18000" anchor="ctr" anchorCtr="0">
                          <a:noAutofit/>
                        </wps:bodyPr>
                      </wps:wsp>
                      <wps:wsp>
                        <wps:cNvPr id="10" name="Shape 10"/>
                        <wps:cNvSpPr/>
                        <wps:spPr>
                          <a:xfrm>
                            <a:off x="3204000" y="828000"/>
                            <a:ext cx="2376000" cy="522000"/>
                          </a:xfrm>
                          <a:prstGeom prst="roundRect">
                            <a:avLst>
                              <a:gd name="adj" fmla="val 10000"/>
                            </a:avLst>
                          </a:prstGeom>
                          <a:solidFill>
                            <a:srgbClr val="FFFFFF"/>
                          </a:solidFill>
                          <a:ln w="12700">
                            <a:solidFill>
                              <a:srgbClr val="9BC2E6"/>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Nazorat kuchaytiriladi, qo‘shimcha hisobot talab qilinadi, kamchiliklar belgilangan muddatda bartaraf etiladi</w:t>
                              </w:r>
                            </w:p>
                          </w:txbxContent>
                        </wps:txbx>
                        <wps:bodyPr rot="0" vert="horz" wrap="square" lIns="36000" tIns="18000" rIns="36000" bIns="18000" anchor="ctr" anchorCtr="0">
                          <a:noAutofit/>
                        </wps:bodyPr>
                      </wps:wsp>
                      <wps:wsp>
                        <wps:cNvPr id="11" name="Shape 11"/>
                        <wps:cNvSpPr/>
                        <wps:spPr>
                          <a:xfrm>
                            <a:off x="0" y="1404000"/>
                            <a:ext cx="1296000" cy="52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3-bosqich</w:t>
                              </w:r>
                            </w:p>
                            <w:p>
                              <w:pPr>
                                <w:spacing w:before="0" w:after="0" w:line="228" w:lineRule="auto"/>
                                <w:jc w:val="center"/>
                                <w:ind w:firstLine="0"/>
                              </w:pPr>
                              <w:r>
                                <w:rPr>
                                  <w:rFonts w:ascii="Times New Roman" w:hAnsi="Times New Roman" w:eastAsia="Times New Roman" w:cs="Times New Roman"/>
                                  <w:b/>
                                  <w:color w:val="000000"/>
                                  <w:sz w:val="20"/>
                                  <w:szCs w:val="20"/>
                                </w:rPr>
                                <w:t xml:space="preserve">Chora ko‘rilmasa xavf</w:t>
                              </w:r>
                            </w:p>
                          </w:txbxContent>
                        </wps:txbx>
                        <wps:bodyPr rot="0" vert="horz" wrap="square" lIns="36000" tIns="18000" rIns="36000" bIns="18000" anchor="ctr" anchorCtr="0">
                          <a:noAutofit/>
                        </wps:bodyPr>
                      </wps:wsp>
                      <wps:wsp>
                        <wps:cNvPr id="12" name="Shape 12"/>
                        <wps:cNvSpPr/>
                        <wps:spPr>
                          <a:xfrm>
                            <a:off x="1368000" y="1404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barqarorligiga jiddiy tahdidlar aniqlangan</w:t>
                              </w:r>
                            </w:p>
                          </w:txbxContent>
                        </wps:txbx>
                        <wps:bodyPr rot="0" vert="horz" wrap="square" lIns="36000" tIns="18000" rIns="36000" bIns="18000" anchor="ctr" anchorCtr="0">
                          <a:noAutofit/>
                        </wps:bodyPr>
                      </wps:wsp>
                      <wps:wsp>
                        <wps:cNvPr id="13" name="Shape 13"/>
                        <wps:cNvSpPr/>
                        <wps:spPr>
                          <a:xfrm>
                            <a:off x="3204000" y="1404000"/>
                            <a:ext cx="2376000" cy="522000"/>
                          </a:xfrm>
                          <a:prstGeom prst="roundRect">
                            <a:avLst>
                              <a:gd name="adj" fmla="val 10000"/>
                            </a:avLst>
                          </a:prstGeom>
                          <a:solidFill>
                            <a:srgbClr val="FFFFFF"/>
                          </a:solidFill>
                          <a:ln w="12700">
                            <a:solidFill>
                              <a:srgbClr val="FFC000"/>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Rahbariyat yoki kengash tarkibini o‘zgartirish; dividendlar, o‘sish va faoliyatni cheklash; kapital va likvidlik talablarini oshirish</w:t>
                              </w:r>
                            </w:p>
                          </w:txbxContent>
                        </wps:txbx>
                        <wps:bodyPr rot="0" vert="horz" wrap="square" lIns="36000" tIns="18000" rIns="36000" bIns="18000" anchor="ctr" anchorCtr="0">
                          <a:noAutofit/>
                        </wps:bodyPr>
                      </wps:wsp>
                      <wps:wsp>
                        <wps:cNvPr id="14" name="Shape 14"/>
                        <wps:cNvSpPr/>
                        <wps:spPr>
                          <a:xfrm>
                            <a:off x="0" y="1980000"/>
                            <a:ext cx="1296000" cy="522000"/>
                          </a:xfrm>
                          <a:prstGeom prst="roundRect">
                            <a:avLst>
                              <a:gd name="adj" fmla="val 10000"/>
                            </a:avLst>
                          </a:prstGeom>
                          <a:solidFill>
                            <a:srgbClr val="ED7D31"/>
                          </a:solidFill>
                          <a:ln w="12700">
                            <a:solidFill>
                              <a:srgbClr val="ED7D31"/>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4-bosqich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Xavf yaqin</w:t>
                              </w:r>
                            </w:p>
                          </w:txbxContent>
                        </wps:txbx>
                        <wps:bodyPr rot="0" vert="horz" wrap="square" lIns="36000" tIns="18000" rIns="36000" bIns="18000" anchor="ctr" anchorCtr="0">
                          <a:noAutofit/>
                        </wps:bodyPr>
                      </wps:wsp>
                      <wps:wsp>
                        <wps:cNvPr id="15" name="Shape 15"/>
                        <wps:cNvSpPr/>
                        <wps:spPr>
                          <a:xfrm>
                            <a:off x="1368000" y="1980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chegaraviy shartlarni bajara olmasligi xavfi real, biroq tuzatish imkoniyati saqlangan</w:t>
                              </w:r>
                            </w:p>
                          </w:txbxContent>
                        </wps:txbx>
                        <wps:bodyPr rot="0" vert="horz" wrap="square" lIns="36000" tIns="18000" rIns="36000" bIns="18000" anchor="ctr" anchorCtr="0">
                          <a:noAutofit/>
                        </wps:bodyPr>
                      </wps:wsp>
                      <wps:wsp>
                        <wps:cNvPr id="16" name="Shape 16"/>
                        <wps:cNvSpPr/>
                        <wps:spPr>
                          <a:xfrm>
                            <a:off x="3204000" y="1980000"/>
                            <a:ext cx="2376000" cy="522000"/>
                          </a:xfrm>
                          <a:prstGeom prst="roundRect">
                            <a:avLst>
                              <a:gd name="adj" fmla="val 10000"/>
                            </a:avLst>
                          </a:prstGeom>
                          <a:solidFill>
                            <a:srgbClr val="FFFFFF"/>
                          </a:solidFill>
                          <a:ln w="12700">
                            <a:solidFill>
                              <a:srgbClr val="ED7D31"/>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Tiklash choralari qisqa muddatda bajariladi, aktivlar yoki bankning o‘zi sotiladi</w:t>
                              </w:r>
                            </w:p>
                          </w:txbxContent>
                        </wps:txbx>
                        <wps:bodyPr rot="0" vert="horz" wrap="square" lIns="36000" tIns="18000" rIns="36000" bIns="18000" anchor="ctr" anchorCtr="0">
                          <a:noAutofit/>
                        </wps:bodyPr>
                      </wps:wsp>
                      <wps:wsp>
                        <wps:cNvPr id="17" name="Shape 17"/>
                        <wps:cNvSpPr/>
                        <wps:spPr>
                          <a:xfrm>
                            <a:off x="0" y="2556000"/>
                            <a:ext cx="1296000" cy="522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5-bosqich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Tugatish</w:t>
                              </w:r>
                            </w:p>
                          </w:txbxContent>
                        </wps:txbx>
                        <wps:bodyPr rot="0" vert="horz" wrap="square" lIns="36000" tIns="18000" rIns="36000" bIns="18000" anchor="ctr" anchorCtr="0">
                          <a:noAutofit/>
                        </wps:bodyPr>
                      </wps:wsp>
                      <wps:wsp>
                        <wps:cNvPr id="18" name="Shape 18"/>
                        <wps:cNvSpPr/>
                        <wps:spPr>
                          <a:xfrm>
                            <a:off x="1368000" y="2556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tugatish yoki faoliyatini to‘xtatish jarayonida</w:t>
                              </w:r>
                            </w:p>
                          </w:txbxContent>
                        </wps:txbx>
                        <wps:bodyPr rot="0" vert="horz" wrap="square" lIns="36000" tIns="18000" rIns="36000" bIns="18000" anchor="ctr" anchorCtr="0">
                          <a:noAutofit/>
                        </wps:bodyPr>
                      </wps:wsp>
                      <wps:wsp>
                        <wps:cNvPr id="19" name="Shape 19"/>
                        <wps:cNvSpPr/>
                        <wps:spPr>
                          <a:xfrm>
                            <a:off x="3204000" y="2556000"/>
                            <a:ext cx="2376000" cy="522000"/>
                          </a:xfrm>
                          <a:prstGeom prst="roundRect">
                            <a:avLst>
                              <a:gd name="adj" fmla="val 10000"/>
                            </a:avLst>
                          </a:prstGeom>
                          <a:solidFill>
                            <a:srgbClr val="FFFFFF"/>
                          </a:solidFill>
                          <a:ln w="12700">
                            <a:solidFill>
                              <a:srgbClr val="C00000"/>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Angliya bankining tugatish vakolatlari qo‘llanadi, omonatlar qoplanadi</w:t>
                              </w:r>
                            </w:p>
                          </w:txbxContent>
                        </wps:txbx>
                        <wps:bodyPr rot="0" vert="horz" wrap="square" lIns="36000" tIns="18000" rIns="36000" bIns="18000" anchor="ctr" anchorCtr="0">
                          <a:noAutofit/>
                        </wps:bodyPr>
                      </wps:wsp>
                      <wps:wsp>
                        <wps:cNvPr id="20" name="Connector 20"/>
                        <wps:cNvCnPr/>
                        <wps:spPr>
                          <a:xfrm>
                            <a:off x="5706000" y="270000"/>
                            <a:ext cx="0" cy="2790000"/>
                          </a:xfrm>
                          <a:prstGeom prst="straightConnector1">
                            <a:avLst/>
                          </a:prstGeom>
                          <a:ln w="28575">
                            <a:solidFill>
                              <a:srgbClr val="C00000"/>
                            </a:solidFill>
                            <a:tailEnd type="triangle" w="med" len="med"/>
                          </a:ln>
                        </wps:spPr>
                        <wps:bodyPr/>
                      </wps:wsp>
                    </wpg:wgp>
                  </a:graphicData>
                </a:graphic>
              </wp:inline>
            </w:drawing>
          </mc:Choice>
          <mc:Fallback/>
        </mc:AlternateContent>
      </w:r>
    </w:p>
    <w:p>
      <w:pPr>
        <w:ind w:firstLine="0"/>
        <w:jc w:val="center"/>
      </w:pPr>
      <w:r>
        <w:rPr>
          <w:b/>
          <w:i w:val="0"/>
          <w:sz w:val="28"/>
        </w:rPr>
        <w:t>1.3.4-rasm. Angliya banki Prudensial tartibga solish boshqarmasining faol aralashuv tizimi bosqichlari[4]</w:t>
      </w:r>
    </w:p>
    <w:p>
      <w:pPr>
        <w:ind w:firstLine="709"/>
        <w:jc w:val="both"/>
      </w:pPr>
      <w:r>
        <w:rPr>
          <w:b w:val="0"/>
          <w:i w:val="0"/>
          <w:sz w:val="28"/>
        </w:rPr>
        <w:t>Rasmdan ko‘rinadiki, bank yuqori bosqichga o‘tgan sari nazorat organining choralari kuchayib boradi va 3-bosqichdan boshlab bank boshqaruvi, dividendlari va faoliyatiga bevosita aralashuvga aylanadi. Muhim jihati shundaki, nazorat organi bankning qaysi bosqichda ekanini bozorga ham, bankning o‘ziga ham muntazam ravishda oshkor qilmaydi, chunki bu stress sharoitida beqarorlikni kuchaytirishi mumkin[3]. Bu yondashuvning afzalligi cheklangan nazorat resurslarini eng riskli va moliya tizimi uchun eng ahamiyatli banklarga yo‘naltirishdadir. Boshqacha aytganda, baholash natijasi shunchaki reyting bo‘lib qolmaydi, balki aniq nazorat qaroriga aylanadi.</w:t>
      </w:r>
    </w:p>
    <w:p>
      <w:pPr>
        <w:ind w:firstLine="0"/>
        <w:jc w:val="center"/>
      </w:pPr>
      <w:r>
        <w:rPr>
          <w:b/>
          <w:i w:val="0"/>
          <w:sz w:val="28"/>
        </w:rPr>
        <w:t>Sahifa osti snoskalari</w:t>
      </w:r>
    </w:p>
    <w:p>
      <w:pPr>
        <w:ind w:firstLine="0"/>
        <w:jc w:val="both"/>
      </w:pPr>
      <w:r>
        <w:rPr>
          <w:b w:val="0"/>
          <w:i w:val="0"/>
          <w:sz w:val="22"/>
        </w:rPr>
        <w:t>[1] Sahajwala R., Van den Bergh P. Supervisory risk assessment and early warning systems: Basel Committee on Banking Supervision Working Papers No. 4. – Basel: BIS, December 2000.</w:t>
      </w:r>
    </w:p>
    <w:p>
      <w:pPr>
        <w:ind w:firstLine="0"/>
        <w:jc w:val="both"/>
      </w:pPr>
      <w:r>
        <w:rPr>
          <w:b w:val="0"/>
          <w:i w:val="0"/>
          <w:sz w:val="22"/>
        </w:rPr>
        <w:t>[2] Bank of England, Prudential Regulation Authority. The Prudential Regulation Authority’s approach to banking supervision. – London: Bank of England, July 2023 – P. 18, 43.</w:t>
      </w:r>
    </w:p>
    <w:p>
      <w:pPr>
        <w:ind w:firstLine="0"/>
        <w:jc w:val="both"/>
      </w:pPr>
      <w:r>
        <w:rPr>
          <w:b w:val="0"/>
          <w:i w:val="0"/>
          <w:sz w:val="22"/>
        </w:rPr>
        <w:t>[3] Bank of England, Prudential Regulation Authority. The Prudential Regulation Authority’s approach to banking supervision. – London: Bank of England, July 2023 – P. 43.</w:t>
      </w:r>
    </w:p>
    <w:p>
      <w:pPr>
        <w:ind w:firstLine="0"/>
        <w:jc w:val="both"/>
      </w:pPr>
      <w:r>
        <w:rPr>
          <w:b w:val="0"/>
          <w:i w:val="0"/>
          <w:sz w:val="22"/>
        </w:rPr>
        <w:t>[4] Tadqiqot natijasida muallif tomonidan quyidagi manba asosida ishlab chiqildi: Bank of England, Prudential Regulation Authority. The Prudential Regulation Authority’s approach to banking supervision. – London: Bank of England, July 2023 – P. 43–45 (Box 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