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bcd6da71180214302fa2c75f57626c82e5c9a7c"/>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2.3-§. Tijorat banklari moliyaviy ko‘rsatkichlarining milliy va MHXS hisobotlari bo‘yicha qiyosiy tahlili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O‘zbekiston bank tizimi va tanlangan banklarning moliyaviy barqarorlik ko‘rsatkichlari asosan Markaziy bankka taqdim etiladigan prudensial hisobot ma’lumotlari bo‘yicha tahlil qilindi va ularning ayrimlari xalqaro moliyaviy hisobot ma’lumotlari bilan solishtirildi. Ushbu solishtirish bir xil bank, bir xil davr uchun ikki xil hisobot ikki xil manzarani ko‘rsatishi mumkinligini aniqlab berdi. Bu holat tasodifiy emas: 2021-yildan boshlab tijorat banklari moliyaviy hisobotni Moliyaviy hisobotning xalqaro standartlari (MHXS) bo‘yicha tuzishga o‘tgan bo‘lsa-da</w:t>
      </w:r>
      <w:r>
        <w:rPr>
          <w:rStyle w:val="FootnoteReference"/>
        </w:rPr>
        <w:footnoteReference w:id="20"/>
      </w:r>
      <w:r>
        <w:rPr>
          <w:rFonts w:ascii="Times New Roman" w:hAnsi="Times New Roman" w:cs="Times New Roman" w:eastAsia="Times New Roman"/>
          <w:sz w:val="28"/>
        </w:rPr>
        <w:t xml:space="preserve">, prudensial nazorat, ya’ni kapital yetarliligi, aktivlar sifati va likvidlik me’yorlariga rioya etilishi hamon milliy buxgalteriya hisobi va Markaziy bankning aktivlarni tasniflash qoidalari asosida tuzilgan hisobotlar bo‘yicha amalga oshiriladi</w:t>
      </w:r>
      <w:r>
        <w:rPr>
          <w:rStyle w:val="FootnoteReference"/>
        </w:rPr>
        <w:footnoteReference w:id="21"/>
      </w:r>
      <w:r>
        <w:rPr>
          <w:rFonts w:ascii="Times New Roman" w:hAnsi="Times New Roman" w:cs="Times New Roman" w:eastAsia="Times New Roman"/>
          <w:sz w:val="28"/>
        </w:rPr>
        <w:t xml:space="preserve">. Natijada O‘zbekistonda har bir bank ikki parallel hisobot tizimiga ega bo‘lib, ulardan biri nazorat organi uchun, ikkinchisi esa investorlar, xalqaro moliya institutlari va reyting agentliklari uchun mo‘ljallangan. Shu sababli moliyaviy barqarorlikni xalqaro standartlar asosida baholash metodologiyasini takomillashtirish uchun ikki hisobot o‘rtasidagi farqlarning manbalari, ko‘lami va qaysi ko‘rsatkichlarga ko‘proq ta’sir qilishini aniqlash zarur.</w:t>
      </w:r>
    </w:p>
    <w:p>
      <w:pPr>
        <w:pStyle w:val="BodyText"/>
        <w:spacing w:line="360" w:lineRule="auto" w:before="0" w:after="0"/>
        <w:ind w:firstLine="709"/>
        <w:jc w:val="both"/>
      </w:pPr>
      <w:r>
        <w:rPr>
          <w:rFonts w:ascii="Times New Roman" w:hAnsi="Times New Roman" w:cs="Times New Roman" w:eastAsia="Times New Roman"/>
          <w:sz w:val="28"/>
        </w:rPr>
        <w:t xml:space="preserve">Masalaning nazariy jihati shundaki, Bazel qo‘mitasi o‘z standartlarini buxgalteriya hisobiga nisbatan neytral deb hisoblaydi va ma’lumotlar qaysi buxgalteriya standarti asosida tuzilishini belgilamaydi, biroq kutilgan kredit zararlari modeliga o‘tish regulyativ kapitalga sezilarli ta’sir ko‘rsatishini tan olib, bu ta’sirni bosqichma-bosqich hisobga olish uchun maxsus o‘tish qoidalarini qabul qilgan</w:t>
      </w:r>
      <w:r>
        <w:rPr>
          <w:rStyle w:val="FootnoteReference"/>
        </w:rPr>
        <w:footnoteReference w:id="22"/>
      </w:r>
      <w:r>
        <w:rPr>
          <w:rFonts w:ascii="Times New Roman" w:hAnsi="Times New Roman" w:cs="Times New Roman" w:eastAsia="Times New Roman"/>
          <w:sz w:val="28"/>
        </w:rPr>
        <w:t xml:space="preserve">. Bundan oldin qo‘mita banklarga kutilgan kredit zararlarini baholashda buxgalteriya talablari va kredit riskini boshqarish amaliyotini o‘zaro uyg‘unlashtirish bo‘yicha alohida yo‘riqnoma bergan edi</w:t>
      </w:r>
      <w:r>
        <w:rPr>
          <w:rStyle w:val="FootnoteReference"/>
        </w:rPr>
        <w:footnoteReference w:id="23"/>
      </w:r>
      <w:r>
        <w:rPr>
          <w:rFonts w:ascii="Times New Roman" w:hAnsi="Times New Roman" w:cs="Times New Roman" w:eastAsia="Times New Roman"/>
          <w:sz w:val="28"/>
        </w:rPr>
        <w:t xml:space="preserve">. Xalqaro adabiyotda ham hisobot standarti bank ko‘rsatkichlariga sezilarli ta’sir qilishi qayd etilgan. Jumladan, H. Huizinga va L. Laeven 2007–2009-yillardagi inqiroz davrida AQSh banklari muammoli aktivlarni balansda bozor bahosidan yuqori qiymatda aks ettirib, buxgalteriya hisobidagi erkinlikdan kapital ko‘rsatkichlarini yaxshiroq ko‘rsatish uchun foydalanganini aniqlagan</w:t>
      </w:r>
      <w:r>
        <w:rPr>
          <w:rStyle w:val="FootnoteReference"/>
        </w:rPr>
        <w:footnoteReference w:id="24"/>
      </w:r>
      <w:r>
        <w:rPr>
          <w:rFonts w:ascii="Times New Roman" w:hAnsi="Times New Roman" w:cs="Times New Roman" w:eastAsia="Times New Roman"/>
          <w:sz w:val="28"/>
        </w:rPr>
        <w:t xml:space="preserve">. D. Bholat va hammualliflar esa muammoli kreditlarning buxgalteriya va nazorat ta’riflari mamlakatlar va standartlar bo‘yicha turlicha bo‘lgani sababli bu ko‘rsatkich bo‘yicha banklarni solishtirish qiyinligini, MHXS 9 ning joriy etilishi esa bu ta’riflarni yaqinlashtirish imkonini berishini ko‘rsatgan</w:t>
      </w:r>
      <w:r>
        <w:rPr>
          <w:rStyle w:val="FootnoteReference"/>
        </w:rPr>
        <w:footnoteReference w:id="25"/>
      </w:r>
      <w:r>
        <w:rPr>
          <w:rFonts w:ascii="Times New Roman" w:hAnsi="Times New Roman" w:cs="Times New Roman" w:eastAsia="Times New Roman"/>
          <w:sz w:val="28"/>
        </w:rPr>
        <w:t xml:space="preserve">. J. Abad va J. Suarez kutilgan kredit zararlari modeli zaxiralarni iqtisodiy pasayish boshlanishida keskin oshirib, kapitalga bosimni avvalgi modelga nisbatan ertaroq yuzaga keltirishini isbotlagan</w:t>
      </w:r>
      <w:r>
        <w:rPr>
          <w:rStyle w:val="FootnoteReference"/>
        </w:rPr>
        <w:footnoteReference w:id="26"/>
      </w:r>
      <w:r>
        <w:rPr>
          <w:rFonts w:ascii="Times New Roman" w:hAnsi="Times New Roman" w:cs="Times New Roman" w:eastAsia="Times New Roman"/>
          <w:sz w:val="28"/>
        </w:rPr>
        <w:t xml:space="preserve">. Rossiya iqtisodchisi N.E. Sokolinskaya bank moliyaviy holatini MHXS asosida tahlil qilish milliy hisobotga nisbatan aktivlar sifati va kapitalning haqiqiy darajasini aniqroq ko‘rsatishini ta’kidlagan</w:t>
      </w:r>
      <w:r>
        <w:rPr>
          <w:rStyle w:val="FootnoteReference"/>
        </w:rPr>
        <w:footnoteReference w:id="27"/>
      </w:r>
      <w:r>
        <w:rPr>
          <w:rFonts w:ascii="Times New Roman" w:hAnsi="Times New Roman" w:cs="Times New Roman" w:eastAsia="Times New Roman"/>
          <w:sz w:val="28"/>
        </w:rPr>
        <w:t xml:space="preserve">. Bu tadqiqotlar bitta umumiy xulosaga olib keladi: hisobot standarti moliyaviy barqarorlik ko‘rsatkichlarining shunchaki texnik sharti emas, balki baholash natijasini o‘zgartira oladigan mustaqil omildir.</w:t>
      </w:r>
    </w:p>
    <w:p>
      <w:pPr>
        <w:pStyle w:val="BodyText"/>
        <w:spacing w:line="360" w:lineRule="auto" w:before="0" w:after="0"/>
        <w:ind w:firstLine="709"/>
        <w:jc w:val="both"/>
      </w:pPr>
      <w:r>
        <w:rPr>
          <w:rFonts w:ascii="Times New Roman" w:hAnsi="Times New Roman" w:cs="Times New Roman" w:eastAsia="Times New Roman"/>
          <w:sz w:val="28"/>
        </w:rPr>
        <w:t xml:space="preserve">O‘zbekiston amaliyotida ikki hisobot o‘rtasidagi farqlar bir nechta manbadan kelib chiqadi. Ularni tadqiq etilgan banklarning auditdan o‘tgan hisobotlari va Markaziy bankning me’yoriy hujjatlarini solishtirish asosida tizimlashtirish mumkin (2.3.1-jadval).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Milliy prudensial hisobot va MHXS bo‘yicha hisobot o‘rtasidagi asosiy farqlar</w:t>
      </w:r>
      <w:r>
        <w:rPr>
          <w:rStyle w:val="FootnoteReference"/>
        </w:rPr>
        <w:footnoteReference w:id="2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2494"/>
        <w:gridCol w:w="2608"/>
        <w:gridCol w:w="2494"/>
      </w:tblGrid>
      <w:tr>
        <w:trPr>
          <w:tblHeader w:val="true"/>
          <w:cantSplit/>
          <w:tblHeader/>
        </w:trPr>
        <w:tc>
          <w:tcPr>
            <w:tcW w:type="dxa" w:w="170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Belgi</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Milliy prudensial hisobot</w:t>
            </w:r>
          </w:p>
        </w:tc>
        <w:tc>
          <w:tcPr>
            <w:tcW w:type="dxa" w:w="260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bo‘yicha hisobot</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Ko‘rsatkichlarga ta’siri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Hisobot doirasi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Alohida bank</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Bank guruhi (sho‘ba korxonalar bilan birga)</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Aktivlar, kapital va foyda tarkibi o‘zgaradi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Kreditlarni tasniflash asosi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Besh toifa: standart, substandart, qoniqarsiz, shubhali, umidsiz; asosiy mezon – muddati o‘tgan kunlar</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Uch bosqich: 1-bosqich, kredit riski sezilarli oshgan 2-bosqich, kredit qadrsizlangan 3-bosqich; restrukturizatsiya, defolt tarixi va kelajakka yo‘naltirilgan ma’lumotlar ham hisobga olinadi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Muammoli kreditlar ulushi MHXS bo‘yicha yuqori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Zaxira shakllantirish</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Toifa bo‘yicha qat’iy stavkalar: 1, 10, 25, 50 va 100 foiz</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Kutilgan kredit zararlari: defolt ehtimoli, defolt holatidagi yo‘qotish va riskdagi summa asosida</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Zaxiralar va zararlar MHXS bo‘yicha ko‘proq va ertaroq tan olinadi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Bozor stavkasidan past stavkadagi kreditlar va resurslar</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Nominal qiymatda aks ettiriladi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Haqqoniy qiymatda tan olinadi, farq dastlabki tan olishdagi foyda yoki zarar sifatida ko‘rsatiladi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Davlat dasturlari bo‘yicha imtiyozli operatsiyalar foydaga ta’sir qiladi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Regulyativ kapital</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Milliy buxgalteriya hisobi asosida hisoblanadi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Hisoblanmaydi, faqat oshkor qilinadi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MHXS bo‘yicha kapital farqi kapital monandligida aks etmaydi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Hisobot muddati va oshkoralik</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Har oylik, choraklik; asosiy shakllar e’lon qilinadi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Yillik, auditorlik xulosasi bilan; bosqichlar, garov va risklar bo‘yicha batafsil izohlar</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MHXS chuqurroq, ammo kechroq ma’lumot beradi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ikki hisobot o‘rtasidagi farqlarning eng muhimlari kreditlarni tasniflash va zaxira shakllantirish qoidalari bilan bog‘liq. Milliy tizimda zaxira miqdori kreditning toifasiga qarab qat’iy stavkalarda belgilanadi</w:t>
      </w:r>
      <w:r>
        <w:rPr>
          <w:rStyle w:val="FootnoteReference"/>
        </w:rPr>
        <w:footnoteReference w:id="29"/>
      </w:r>
      <w:r>
        <w:rPr>
          <w:rFonts w:ascii="Times New Roman" w:hAnsi="Times New Roman" w:cs="Times New Roman" w:eastAsia="Times New Roman"/>
          <w:sz w:val="28"/>
        </w:rPr>
        <w:t xml:space="preserve">. Ushbu stavkalar haqiqatda qo‘llanayotganini «O‘zsanoatqurilishbank» ATB ning 2025-yil yakunidagi hisoboti tasdiqlaydi: standart kreditlar bo‘yicha zaxira 511,9 mlrd so‘mni, ya’ni ushbu kreditlarning 1,0 foizini tashkil etgan, boshqa toifalar bo‘yicha zaxiralar yig‘indisi esa 10, 25, 50 va 100 foizlik stavkalar bo‘yicha hisoblangan qiymatga to‘liq mos keladi</w:t>
      </w:r>
      <w:r>
        <w:rPr>
          <w:rStyle w:val="FootnoteReference"/>
        </w:rPr>
        <w:footnoteReference w:id="30"/>
      </w:r>
      <w:r>
        <w:rPr>
          <w:rFonts w:ascii="Times New Roman" w:hAnsi="Times New Roman" w:cs="Times New Roman" w:eastAsia="Times New Roman"/>
          <w:sz w:val="28"/>
        </w:rPr>
        <w:t xml:space="preserve">. MHXS 9 da esa zaxira har bir kredit yoki kreditlar guruhi bo‘yicha defolt ehtimoli, garov qiymati va kutilayotgan undirish summasini hisobga olgan holda aniqlanadi</w:t>
      </w:r>
      <w:r>
        <w:rPr>
          <w:rStyle w:val="FootnoteReference"/>
        </w:rPr>
        <w:footnoteReference w:id="31"/>
      </w:r>
      <w:r>
        <w:rPr>
          <w:rFonts w:ascii="Times New Roman" w:hAnsi="Times New Roman" w:cs="Times New Roman" w:eastAsia="Times New Roman"/>
          <w:sz w:val="28"/>
        </w:rPr>
        <w:t xml:space="preserve">. Shu bilan birga, ikki tizimdagi farq zaxiradan boshlanib, ketma-ket bir necha ko‘rsatkichga o‘tadi: tasniflash farqi zaxiraga, zaxira foydaga, foyda kapitalga, kapital esa kapital monandligi va sof barqaror moliyalashtirish me’yoriga ta’sir qiladi (2.3.1-rasm).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6012000" cy="2160000"/>
                <wp:effectExtent l="0" t="0" r="0" b="0"/>
                <wp:docPr id="1001" name="2.3.1-rasm"/>
                <wp:cNvGraphicFramePr/>
                <a:graphic>
                  <a:graphicData uri="http://schemas.microsoft.com/office/word/2010/wordprocessingGroup">
                    <wpg:wgp>
                      <wpg:cNvGrpSpPr/>
                      <wpg:grpSpPr>
                        <a:xfrm>
                          <a:off x="0" y="0"/>
                          <a:ext cx="6012000" cy="2160000"/>
                          <a:chOff x="0" y="0"/>
                          <a:chExt cx="6012000" cy="2160000"/>
                        </a:xfrm>
                      </wpg:grpSpPr>
                      <wps:wsp>
                        <wps:cNvPr id="2" name="Shape 2"/>
                        <wps:cNvSpPr/>
                        <wps:spPr>
                          <a:xfrm>
                            <a:off x="36000" y="108000"/>
                            <a:ext cx="1008000" cy="54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Kreditlarni</w:t>
                              </w:r>
                            </w:p>
                            <w:p>
                              <w:pPr>
                                <w:spacing w:before="0" w:after="0" w:line="228" w:lineRule="auto"/>
                                <w:jc w:val="center"/>
                                <w:ind w:firstLine="0"/>
                              </w:pPr>
                              <w:r>
                                <w:rPr>
                                  <w:rFonts w:ascii="Times New Roman" w:hAnsi="Times New Roman" w:cs="Times New Roman"/>
                                  <w:b/>
                                  <w:color w:val="FFFFFF"/>
                                  <w:sz w:val="22"/>
                                  <w:szCs w:val="22"/>
                                </w:rPr>
                                <w:t xml:space="preserve">tasniflash</w:t>
                              </w:r>
                            </w:p>
                          </w:txbxContent>
                        </wps:txbx>
                        <wps:bodyPr rot="0" vert="horz" wrap="square" lIns="36000" tIns="18000" rIns="36000" bIns="18000" anchor="ctr" anchorCtr="0">
                          <a:noAutofit/>
                        </wps:bodyPr>
                      </wps:wsp>
                      <wps:wsp>
                        <wps:cNvPr id="3" name="Shape 3"/>
                        <wps:cNvSpPr/>
                        <wps:spPr>
                          <a:xfrm>
                            <a:off x="36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Toifa (milliy) /</w:t>
                              </w:r>
                            </w:p>
                            <w:p>
                              <w:pPr>
                                <w:spacing w:before="0" w:after="0" w:line="228" w:lineRule="auto"/>
                                <w:jc w:val="center"/>
                                <w:ind w:firstLine="0"/>
                              </w:pPr>
                              <w:r>
                                <w:rPr>
                                  <w:rFonts w:ascii="Times New Roman" w:hAnsi="Times New Roman" w:cs="Times New Roman"/>
                                  <w:color w:val="000000"/>
                                  <w:sz w:val="20"/>
                                  <w:szCs w:val="20"/>
                                </w:rPr>
                                <w:t xml:space="preserve">bosqich (MHXS 9)</w:t>
                              </w:r>
                            </w:p>
                          </w:txbxContent>
                        </wps:txbx>
                        <wps:bodyPr rot="0" vert="horz" wrap="square" lIns="36000" tIns="18000" rIns="36000" bIns="18000" anchor="ctr" anchorCtr="0">
                          <a:noAutofit/>
                        </wps:bodyPr>
                      </wps:wsp>
                      <wps:wsp>
                        <wps:cNvPr id="4" name="Connector 4"/>
                        <wps:cNvCnPr/>
                        <wps:spPr>
                          <a:xfrm>
                            <a:off x="1051200" y="378000"/>
                            <a:ext cx="201600" cy="0"/>
                          </a:xfrm>
                          <a:prstGeom prst="straightConnector1">
                            <a:avLst/>
                          </a:prstGeom>
                          <a:ln w="19050">
                            <a:solidFill>
                              <a:srgbClr val="404040"/>
                            </a:solidFill>
                            <a:tailEnd type="triangle" w="med" len="med"/>
                          </a:ln>
                        </wps:spPr>
                        <wps:bodyPr/>
                      </wps:wsp>
                      <wps:wsp>
                        <wps:cNvPr id="5" name="Shape 5"/>
                        <wps:cNvSpPr/>
                        <wps:spPr>
                          <a:xfrm>
                            <a:off x="1260000" y="108000"/>
                            <a:ext cx="1008000" cy="54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Zaxiralar</w:t>
                              </w:r>
                            </w:p>
                          </w:txbxContent>
                        </wps:txbx>
                        <wps:bodyPr rot="0" vert="horz" wrap="square" lIns="36000" tIns="18000" rIns="36000" bIns="18000" anchor="ctr" anchorCtr="0">
                          <a:noAutofit/>
                        </wps:bodyPr>
                      </wps:wsp>
                      <wps:wsp>
                        <wps:cNvPr id="6" name="Shape 6"/>
                        <wps:cNvSpPr/>
                        <wps:spPr>
                          <a:xfrm>
                            <a:off x="1260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Qat’iy stavkalar /</w:t>
                              </w:r>
                            </w:p>
                            <w:p>
                              <w:pPr>
                                <w:spacing w:before="0" w:after="0" w:line="228" w:lineRule="auto"/>
                                <w:jc w:val="center"/>
                                <w:ind w:firstLine="0"/>
                              </w:pPr>
                              <w:r>
                                <w:rPr>
                                  <w:rFonts w:ascii="Times New Roman" w:hAnsi="Times New Roman" w:cs="Times New Roman"/>
                                  <w:color w:val="000000"/>
                                  <w:sz w:val="20"/>
                                  <w:szCs w:val="20"/>
                                </w:rPr>
                                <w:t xml:space="preserve">kutilgan zararlar</w:t>
                              </w:r>
                            </w:p>
                          </w:txbxContent>
                        </wps:txbx>
                        <wps:bodyPr rot="0" vert="horz" wrap="square" lIns="36000" tIns="18000" rIns="36000" bIns="18000" anchor="ctr" anchorCtr="0">
                          <a:noAutofit/>
                        </wps:bodyPr>
                      </wps:wsp>
                      <wps:wsp>
                        <wps:cNvPr id="7" name="Connector 7"/>
                        <wps:cNvCnPr/>
                        <wps:spPr>
                          <a:xfrm>
                            <a:off x="2275200" y="378000"/>
                            <a:ext cx="201600" cy="0"/>
                          </a:xfrm>
                          <a:prstGeom prst="straightConnector1">
                            <a:avLst/>
                          </a:prstGeom>
                          <a:ln w="19050">
                            <a:solidFill>
                              <a:srgbClr val="404040"/>
                            </a:solidFill>
                            <a:tailEnd type="triangle" w="med" len="med"/>
                          </a:ln>
                        </wps:spPr>
                        <wps:bodyPr/>
                      </wps:wsp>
                      <wps:wsp>
                        <wps:cNvPr id="8" name="Shape 8"/>
                        <wps:cNvSpPr/>
                        <wps:spPr>
                          <a:xfrm>
                            <a:off x="2484000" y="108000"/>
                            <a:ext cx="1008000" cy="54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Sof foyda</w:t>
                              </w:r>
                            </w:p>
                          </w:txbxContent>
                        </wps:txbx>
                        <wps:bodyPr rot="0" vert="horz" wrap="square" lIns="36000" tIns="18000" rIns="36000" bIns="18000" anchor="ctr" anchorCtr="0">
                          <a:noAutofit/>
                        </wps:bodyPr>
                      </wps:wsp>
                      <wps:wsp>
                        <wps:cNvPr id="9" name="Shape 9"/>
                        <wps:cNvSpPr/>
                        <wps:spPr>
                          <a:xfrm>
                            <a:off x="2484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Zaxira xarajati,</w:t>
                              </w:r>
                            </w:p>
                            <w:p>
                              <w:pPr>
                                <w:spacing w:before="0" w:after="0" w:line="228" w:lineRule="auto"/>
                                <w:jc w:val="center"/>
                                <w:ind w:firstLine="0"/>
                              </w:pPr>
                              <w:r>
                                <w:rPr>
                                  <w:rFonts w:ascii="Times New Roman" w:hAnsi="Times New Roman" w:cs="Times New Roman"/>
                                  <w:color w:val="000000"/>
                                  <w:sz w:val="20"/>
                                  <w:szCs w:val="20"/>
                                </w:rPr>
                                <w:t xml:space="preserve">dastlabki tan olish</w:t>
                              </w:r>
                            </w:p>
                          </w:txbxContent>
                        </wps:txbx>
                        <wps:bodyPr rot="0" vert="horz" wrap="square" lIns="36000" tIns="18000" rIns="36000" bIns="18000" anchor="ctr" anchorCtr="0">
                          <a:noAutofit/>
                        </wps:bodyPr>
                      </wps:wsp>
                      <wps:wsp>
                        <wps:cNvPr id="10" name="Connector 10"/>
                        <wps:cNvCnPr/>
                        <wps:spPr>
                          <a:xfrm>
                            <a:off x="3499200" y="378000"/>
                            <a:ext cx="201600" cy="0"/>
                          </a:xfrm>
                          <a:prstGeom prst="straightConnector1">
                            <a:avLst/>
                          </a:prstGeom>
                          <a:ln w="19050">
                            <a:solidFill>
                              <a:srgbClr val="404040"/>
                            </a:solidFill>
                            <a:tailEnd type="triangle" w="med" len="med"/>
                          </a:ln>
                        </wps:spPr>
                        <wps:bodyPr/>
                      </wps:wsp>
                      <wps:wsp>
                        <wps:cNvPr id="11" name="Shape 11"/>
                        <wps:cNvSpPr/>
                        <wps:spPr>
                          <a:xfrm>
                            <a:off x="3708000" y="108000"/>
                            <a:ext cx="1008000" cy="54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Xususiy</w:t>
                              </w:r>
                            </w:p>
                            <w:p>
                              <w:pPr>
                                <w:spacing w:before="0" w:after="0" w:line="228" w:lineRule="auto"/>
                                <w:jc w:val="center"/>
                                <w:ind w:firstLine="0"/>
                              </w:pPr>
                              <w:r>
                                <w:rPr>
                                  <w:rFonts w:ascii="Times New Roman" w:hAnsi="Times New Roman" w:cs="Times New Roman"/>
                                  <w:b/>
                                  <w:color w:val="FFFFFF"/>
                                  <w:sz w:val="22"/>
                                  <w:szCs w:val="22"/>
                                </w:rPr>
                                <w:t xml:space="preserve">kapital</w:t>
                              </w:r>
                            </w:p>
                          </w:txbxContent>
                        </wps:txbx>
                        <wps:bodyPr rot="0" vert="horz" wrap="square" lIns="36000" tIns="18000" rIns="36000" bIns="18000" anchor="ctr" anchorCtr="0">
                          <a:noAutofit/>
                        </wps:bodyPr>
                      </wps:wsp>
                      <wps:wsp>
                        <wps:cNvPr id="12" name="Shape 12"/>
                        <wps:cNvSpPr/>
                        <wps:spPr>
                          <a:xfrm>
                            <a:off x="3708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Taqsimlanmagan</w:t>
                              </w:r>
                            </w:p>
                            <w:p>
                              <w:pPr>
                                <w:spacing w:before="0" w:after="0" w:line="228" w:lineRule="auto"/>
                                <w:jc w:val="center"/>
                                <w:ind w:firstLine="0"/>
                              </w:pPr>
                              <w:r>
                                <w:rPr>
                                  <w:rFonts w:ascii="Times New Roman" w:hAnsi="Times New Roman" w:cs="Times New Roman"/>
                                  <w:color w:val="000000"/>
                                  <w:sz w:val="20"/>
                                  <w:szCs w:val="20"/>
                                </w:rPr>
                                <w:t xml:space="preserve">foyda</w:t>
                              </w:r>
                            </w:p>
                          </w:txbxContent>
                        </wps:txbx>
                        <wps:bodyPr rot="0" vert="horz" wrap="square" lIns="36000" tIns="18000" rIns="36000" bIns="18000" anchor="ctr" anchorCtr="0">
                          <a:noAutofit/>
                        </wps:bodyPr>
                      </wps:wsp>
                      <wps:wsp>
                        <wps:cNvPr id="13" name="Connector 13"/>
                        <wps:cNvCnPr/>
                        <wps:spPr>
                          <a:xfrm>
                            <a:off x="4723200" y="378000"/>
                            <a:ext cx="201600" cy="0"/>
                          </a:xfrm>
                          <a:prstGeom prst="straightConnector1">
                            <a:avLst/>
                          </a:prstGeom>
                          <a:ln w="19050">
                            <a:solidFill>
                              <a:srgbClr val="404040"/>
                            </a:solidFill>
                            <a:tailEnd type="triangle" w="med" len="med"/>
                          </a:ln>
                        </wps:spPr>
                        <wps:bodyPr/>
                      </wps:wsp>
                      <wps:wsp>
                        <wps:cNvPr id="14" name="Shape 14"/>
                        <wps:cNvSpPr/>
                        <wps:spPr>
                          <a:xfrm>
                            <a:off x="4932000" y="108000"/>
                            <a:ext cx="1008000" cy="540000"/>
                          </a:xfrm>
                          <a:prstGeom prst="roundRect">
                            <a:avLst>
                              <a:gd name="adj" fmla="val 10000"/>
                            </a:avLst>
                          </a:prstGeom>
                          <a:solidFill>
                            <a:srgbClr val="7030A0"/>
                          </a:solidFill>
                          <a:ln w="12700">
                            <a:solidFill>
                              <a:srgbClr val="7030A0"/>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Kapital</w:t>
                              </w:r>
                            </w:p>
                            <w:p>
                              <w:pPr>
                                <w:spacing w:before="0" w:after="0" w:line="228" w:lineRule="auto"/>
                                <w:jc w:val="center"/>
                                <w:ind w:firstLine="0"/>
                              </w:pPr>
                              <w:r>
                                <w:rPr>
                                  <w:rFonts w:ascii="Times New Roman" w:hAnsi="Times New Roman" w:cs="Times New Roman"/>
                                  <w:b/>
                                  <w:color w:val="FFFFFF"/>
                                  <w:sz w:val="22"/>
                                  <w:szCs w:val="22"/>
                                </w:rPr>
                                <w:t xml:space="preserve">monandligi va</w:t>
                              </w:r>
                            </w:p>
                            <w:p>
                              <w:pPr>
                                <w:spacing w:before="0" w:after="0" w:line="228" w:lineRule="auto"/>
                                <w:jc w:val="center"/>
                                <w:ind w:firstLine="0"/>
                              </w:pPr>
                              <w:r>
                                <w:rPr>
                                  <w:rFonts w:ascii="Times New Roman" w:hAnsi="Times New Roman" w:cs="Times New Roman"/>
                                  <w:b/>
                                  <w:color w:val="FFFFFF"/>
                                  <w:sz w:val="22"/>
                                  <w:szCs w:val="22"/>
                                </w:rPr>
                                <w:t xml:space="preserve">NSFR</w:t>
                              </w:r>
                            </w:p>
                          </w:txbxContent>
                        </wps:txbx>
                        <wps:bodyPr rot="0" vert="horz" wrap="square" lIns="36000" tIns="18000" rIns="36000" bIns="18000" anchor="ctr" anchorCtr="0">
                          <a:noAutofit/>
                        </wps:bodyPr>
                      </wps:wsp>
                      <wps:wsp>
                        <wps:cNvPr id="15" name="Shape 15"/>
                        <wps:cNvSpPr/>
                        <wps:spPr>
                          <a:xfrm>
                            <a:off x="4932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Regulyativ</w:t>
                              </w:r>
                            </w:p>
                            <w:p>
                              <w:pPr>
                                <w:spacing w:before="0" w:after="0" w:line="228" w:lineRule="auto"/>
                                <w:jc w:val="center"/>
                                <w:ind w:firstLine="0"/>
                              </w:pPr>
                              <w:r>
                                <w:rPr>
                                  <w:rFonts w:ascii="Times New Roman" w:hAnsi="Times New Roman" w:cs="Times New Roman"/>
                                  <w:color w:val="000000"/>
                                  <w:sz w:val="20"/>
                                  <w:szCs w:val="20"/>
                                </w:rPr>
                                <w:t xml:space="preserve">ko‘rsatkichlar</w:t>
                              </w:r>
                            </w:p>
                          </w:txbxContent>
                        </wps:txbx>
                        <wps:bodyPr rot="0" vert="horz" wrap="square" lIns="36000" tIns="18000" rIns="36000" bIns="18000" anchor="ctr" anchorCtr="0">
                          <a:noAutofit/>
                        </wps:bodyPr>
                      </wps:wsp>
                      <wps:wsp>
                        <wps:cNvPr id="16" name="Connector 16"/>
                        <wps:cNvCnPr/>
                        <wps:spPr>
                          <a:xfrm>
                            <a:off x="108000" y="1440000"/>
                            <a:ext cx="5868000" cy="0"/>
                          </a:xfrm>
                          <a:prstGeom prst="straightConnector1">
                            <a:avLst/>
                          </a:prstGeom>
                          <a:ln w="28575">
                            <a:solidFill>
                              <a:srgbClr val="C00000"/>
                            </a:solidFill>
                            <a:tailEnd type="triangle" w="med" len="med"/>
                          </a:ln>
                        </wps:spPr>
                        <wps:bodyPr/>
                      </wps:wsp>
                      <wps:wsp>
                        <wps:cNvPr id="17" name="Shape 17"/>
                        <wps:cNvSpPr/>
                        <wps:spPr>
                          <a:xfrm>
                            <a:off x="36000" y="1512000"/>
                            <a:ext cx="1512000" cy="324000"/>
                          </a:xfrm>
                          <a:prstGeom prst="roundRect">
                            <a:avLst>
                              <a:gd name="adj" fmla="val 10000"/>
                            </a:avLst>
                          </a:prstGeom>
                          <a:solidFill>
                            <a:srgbClr val="FCE4D6"/>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Tafovut: 2–3 barobar</w:t>
                              </w:r>
                            </w:p>
                          </w:txbxContent>
                        </wps:txbx>
                        <wps:bodyPr rot="0" vert="horz" wrap="square" lIns="36000" tIns="18000" rIns="36000" bIns="18000" anchor="ctr" anchorCtr="0">
                          <a:noAutofit/>
                        </wps:bodyPr>
                      </wps:wsp>
                      <wps:wsp>
                        <wps:cNvPr id="18" name="Shape 18"/>
                        <wps:cNvSpPr/>
                        <wps:spPr>
                          <a:xfrm>
                            <a:off x="2232000" y="1512000"/>
                            <a:ext cx="1512000" cy="324000"/>
                          </a:xfrm>
                          <a:prstGeom prst="roundRect">
                            <a:avLst>
                              <a:gd name="adj" fmla="val 10000"/>
                            </a:avLst>
                          </a:prstGeom>
                          <a:solidFill>
                            <a:srgbClr val="FCE4D6"/>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Tafovut: 10–20 foiz</w:t>
                              </w:r>
                            </w:p>
                          </w:txbxContent>
                        </wps:txbx>
                        <wps:bodyPr rot="0" vert="horz" wrap="square" lIns="36000" tIns="18000" rIns="36000" bIns="18000" anchor="ctr" anchorCtr="0">
                          <a:noAutofit/>
                        </wps:bodyPr>
                      </wps:wsp>
                      <wps:wsp>
                        <wps:cNvPr id="19" name="Shape 19"/>
                        <wps:cNvSpPr/>
                        <wps:spPr>
                          <a:xfrm>
                            <a:off x="4428000" y="1512000"/>
                            <a:ext cx="1548000" cy="324000"/>
                          </a:xfrm>
                          <a:prstGeom prst="roundRect">
                            <a:avLst>
                              <a:gd name="adj" fmla="val 10000"/>
                            </a:avLst>
                          </a:prstGeom>
                          <a:solidFill>
                            <a:srgbClr val="FCE4D6"/>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Tafovut: 2–3 foiz punkt</w:t>
                              </w:r>
                            </w:p>
                          </w:txbxContent>
                        </wps:txbx>
                        <wps:bodyPr rot="0" vert="horz" wrap="square" lIns="36000" tIns="18000" rIns="36000" bIns="18000" anchor="ctr" anchorCtr="0">
                          <a:noAutofit/>
                        </wps:bodyPr>
                      </wps:wsp>
                      <wps:wsp>
                        <wps:cNvPr id="20" name="Shape 20"/>
                        <wps:cNvSpPr/>
                        <wps:spPr>
                          <a:xfrm>
                            <a:off x="36000" y="1908000"/>
                            <a:ext cx="5940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Ta’sir zanjir bo‘ylab kuchsizlanib boradi: aktivlar sifati → daromadlilik → kapital → likvidlik</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2.3.1-rasm. Milliy hisobot va MHXS ko‘rsatkichlari o‘rtasidagi tafovutning shakllanish mexanizmi</w:t>
      </w:r>
      <w:r>
        <w:rPr>
          <w:rStyle w:val="FootnoteReference"/>
        </w:rPr>
        <w:footnoteReference w:id="32"/>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tafovut zanjirining boshlang‘ich bo‘g‘ini kreditlarni tasniflash bo‘lib, uning ta’siri moliyaviy barqarorlikning barcha asosiy bloklariga – aktivlar sifati, daromadlilik, kapital va likvidlikka yetib boradi. Bu zanjirning muhim xususiyati shundaki, uning har bir bo‘g‘inida ta’sir kuchsizlanib boradi: kreditlar tasnifidagi farq bir necha barobarni tashkil etsa, kapitaldagi farq o‘n foizlar atrofida, likvidlik me’yoridagi farq esa bir necha foiz punkt bilan o‘lchanadi. Muallif fikricha, aynan shu sababli faqat yakuniy kapital va likvidlik koeffitsiyentlariga tayanuvchi baholash hisobot standartidagi tafovutni deyarli sezmaydi, aktivlar sifatini ham qamrab oluvchi baholash esa uni yaqqol ko‘rsatadi.</w:t>
      </w:r>
    </w:p>
    <w:p>
      <w:pPr>
        <w:pStyle w:val="BodyText"/>
        <w:spacing w:line="360" w:lineRule="auto" w:before="0" w:after="0"/>
        <w:ind w:firstLine="709"/>
        <w:jc w:val="both"/>
      </w:pPr>
      <w:r>
        <w:rPr>
          <w:rFonts w:ascii="Times New Roman" w:hAnsi="Times New Roman" w:cs="Times New Roman" w:eastAsia="Times New Roman"/>
          <w:sz w:val="28"/>
        </w:rPr>
        <w:t xml:space="preserve">Tafovutning ko‘lamini aniqlash uchun tahlilda ikki bank – tizimli ahamiyatga ega «O‘zsanoatqurilishbank» ATB va ijtimoiy yo‘naltirilgan kreditlash bilan shug‘ullanuvchi «Mikrokreditbank» ATB tanlandi. Har ikki bankning 2021–2025-yillar yakunidagi Markaziy bankka taqdim etilgan prudensial hisobot shakllari</w:t>
      </w:r>
      <w:r>
        <w:rPr>
          <w:rStyle w:val="FootnoteReference"/>
        </w:rPr>
        <w:footnoteReference w:id="33"/>
      </w:r>
      <w:r>
        <w:rPr>
          <w:rStyle w:val="FootnoteReference"/>
        </w:rPr>
        <w:footnoteReference w:id="34"/>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xalqaro auditorlik tashkilotlari tomonidan tasdiqlangan MHXS bo‘yicha moliyaviy hisobotlari bilan solishtirildi. Solishtirish uchun ikki ko‘rsatkich qo‘llandi. Birinchisi – nisbiy tafovut koeffitsiyenti, ya’ni MHXS bo‘yicha ko‘rsatkichning milliy hisobotdagi ko‘rsatkichdan farqining milliy ko‘rsatkichga nisbati:</w:t>
      </w:r>
    </w:p>
    <w:p>
      <w:pPr>
        <w:pStyle w:val="BodyText"/>
        <w:spacing w:line="360" w:lineRule="auto" w:before="0" w:after="0"/>
        <w:ind w:firstLine="709"/>
        <w:jc w:val="both"/>
      </w:pPr>
      <w:r>
        <w:rPr>
          <w:iCs/>
          <w:rFonts w:ascii="Times New Roman" w:hAnsi="Times New Roman" w:cs="Times New Roman" w:eastAsia="Times New Roman"/>
          <w:i/>
          <w:sz w:val="28"/>
        </w:rPr>
        <w:t xml:space="preserve">K</w:t>
      </w:r>
      <w:r>
        <w:rPr>
          <w:rFonts w:ascii="Times New Roman" w:hAnsi="Times New Roman" w:cs="Times New Roman" w:eastAsia="Times New Roman"/>
          <w:sz w:val="28"/>
          <w:vertAlign w:val="subscript"/>
        </w:rPr>
        <w:t xml:space="preserve">taf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100%,</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mos ravishda MHXS va milliy hisobot bo‘yicha ko‘rsatkich qiymati. Ikkinchisi – dissertatsiyada taklif etilayotgan yashirin kredit riski koeffitsiyenti bo‘lib, u MHXS 9 bo‘yicha 3-bosqich kreditlari ulushining milliy tasnifdagi muammoli, ya’ni qoniqarsiz, shubhali va umidsiz kreditlar ulushiga nisbati sifatida aniqlanadi:</w:t>
      </w:r>
    </w:p>
    <w:p>
      <w:pPr>
        <w:pStyle w:val="BodyText"/>
        <w:spacing w:line="360" w:lineRule="auto" w:before="0" w:after="0"/>
        <w:ind w:firstLine="709"/>
        <w:jc w:val="both"/>
      </w:pPr>
      <w:r>
        <w:rPr>
          <w:iCs/>
          <w:rFonts w:ascii="Times New Roman" w:hAnsi="Times New Roman" w:cs="Times New Roman" w:eastAsia="Times New Roman"/>
          <w:i/>
          <w:sz w:val="28"/>
        </w:rPr>
        <w:t xml:space="preserve">K</w:t>
      </w:r>
      <w:r>
        <w:rPr>
          <w:rFonts w:ascii="Times New Roman" w:hAnsi="Times New Roman" w:cs="Times New Roman" w:eastAsia="Times New Roman"/>
          <w:sz w:val="28"/>
          <w:vertAlign w:val="subscript"/>
        </w:rPr>
        <w:t xml:space="preserve">ykr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 (</w:t>
      </w:r>
      <w:r>
        <w:rPr>
          <w:iCs/>
          <w:rFonts w:ascii="Times New Roman" w:hAnsi="Times New Roman" w:cs="Times New Roman" w:eastAsia="Times New Roman"/>
          <w:i/>
          <w:sz w:val="28"/>
        </w:rPr>
        <w:t xml:space="preserve">NPL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MHXS 9 bo‘yicha 3-bosqich kreditlari,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NPL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milliy tasnif bo‘yicha muammoli kreditlar,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ikki hisobot bo‘yicha jami kreditlar (brutto). Koeffitsiyent birga teng bo‘lsa, milliy tasnif kredit riskini MHXS bilan bir xil darajada aks ettiradi, birdan katta bo‘lsa, milliy hisobot kredit riskining bir qismini yashiradi. Shuni ta’kidlash lozimki, milliy hisobot alohida bank bo‘yicha, MHXS hisoboti esa bank guruhi bo‘yicha tuzilgan, biroq ikkala bankda ham sho‘ba korxonalar ulushi kichik bo‘lgani sababli ikki hisobot bo‘yicha jami aktivlar o‘rtasidagi farq 1–5 foizdan oshmaydi va tahlil xulosalariga sezilarli ta’sir qilmaydi.</w:t>
      </w:r>
    </w:p>
    <w:p>
      <w:pPr>
        <w:pStyle w:val="BodyText"/>
        <w:spacing w:line="360" w:lineRule="auto" w:before="0" w:after="0"/>
        <w:ind w:firstLine="709"/>
        <w:jc w:val="both"/>
      </w:pPr>
      <w:r>
        <w:rPr>
          <w:rFonts w:ascii="Times New Roman" w:hAnsi="Times New Roman" w:cs="Times New Roman" w:eastAsia="Times New Roman"/>
          <w:sz w:val="28"/>
        </w:rPr>
        <w:t xml:space="preserve">«O‘zsanoatqurilishbank» ATB bo‘yicha solishtirish natijalari 2.3.2-jadvalda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ning asosiy ko‘rsatkichlari: milliy hisobot va MHXS, 2021–2025-yillar</w:t>
      </w:r>
      <w:r>
        <w:rPr>
          <w:rStyle w:val="FootnoteReference"/>
        </w:rPr>
        <w:footnoteReference w:id="3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56 511,3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64 263,8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74 634,4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87 597,0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102 438,7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55 731,9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63 189,3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73 293,3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84 800,2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97 184,4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Xususiy kapital,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7 700,9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7 828,1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8 728,4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10 025,4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11 875,2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6 944,8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7 581,2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8 439,9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9 352,8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10 273,8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Tafovut,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foyda,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1 228,3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588,9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911,7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1 303,2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1 880,1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857,0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633,7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856,2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1 115,0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1 543,8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Tafovut,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ROE,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Birinchi darajali asosiy kapital monandligi,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11,86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12,08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 asosida qayta hisoblangan</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11,89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10,72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8,87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 zaxiralari / kreditlar,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(milliy) / 3-bosqich (MHXS),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 / 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 / 7,4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 / 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 / 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2,5 / 7,5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(milliy) / 2-bosqich (MHXS),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6,2 / 20,4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5,3 / 14,7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 / 15,8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14,8 / 27,1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18,4 / 35,7</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milliy kredit zaxiralari – kreditlar bo‘yicha maxsus zaxiralar va standart kreditlar bo‘yicha zaxiralar yig‘indisi; 2022-yil uchun MHXS ma’lumotlari 2023-yil hisobotidagi qayta hisoblangan qiymatlar, 2024-yil uchun 2025-yil hisobotidagi qiyosiy ma’lumotlar olindi; MHXS asosidagi kapital monandligi rasmiy hisobotdagi risk bo‘yicha tortilgan aktivlar va chegirmalar asosida qayta hisoblandi.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tahlil davrining barcha yillarida MHXS bo‘yicha xususiy kapital milliy hisobotdagidan kam bo‘lgan, tafovut esa 2022–2023-yillardagi 3,2–3,3 foizdan 2025-yilda 13,5 foizgacha, ya’ni to‘rt barobar kengaygan. Kapitaldagi bu tafovut kapital monandligiga ham bevosita ta’sir qiladi: MHXS ma’lumotlari asosida qayta hisoblangan birinchi darajali asosiy kapital monandligi 2021-yildagi 11,89 foizdan 2025-yilda 8,87 foizgacha pasaygan, rasmiy hisobotda esa 2025-yilda 10,21 foizni tashkil etgan. Boshqacha aytganda, 8 foizlik minimal talabdan ortiqcha kapital zaxirasi rasmiy hisobot bo‘yicha 2,21 foiz punkt, MHXS bo‘yicha esa atigi 0,87 foiz punkt, ya’ni 2,5 barobar kichik. Sof foyda bo‘yicha tafovut bir yo‘nalishli emas: 2022-yilda MHXS bo‘yicha foyda milliy hisobotdagidan 7,6 foiz ko‘p, qolgan yillarda esa 6,1–30,2 foiz kam bo‘lgan. Besh yil davomida bank milliy hisobot bo‘yicha jami 5 912,2 mlrd so‘m, MHXS bo‘yicha esa 5 005,7 mlrd so‘m sof foyda olgan, boshqacha aytganda, milliy hisobot bank daromadliligini besh yillik yig‘indida 906,5 mlrd so‘mga yoki 18,1 foizga oshirib ko‘rsatgan (2.3.2-rasm).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2.3.2-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2.3.2-rasm. «O‘zsanoatqurilishbank» ATB ning sof foydasi: milliy hisobot va MHXS, mlrd so‘m</w:t>
      </w:r>
      <w:r>
        <w:rPr>
          <w:rStyle w:val="FootnoteReference"/>
        </w:rPr>
        <w:footnoteReference w:id="36"/>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sof foydadagi tafovut 2023-yildan boshlab har yili kengayib borgan. Bunga ikki omil sabab bo‘lgan. Birinchi omil – kredit zaxiralari: bankning MHXS bo‘yicha foyda va zarar hisobotida kreditlar bo‘yicha kredit zararlari xarajati 2021-yildagi 420,9 mlrd so‘mdan 2024-yilda 1 481,5 mlrd so‘mgacha oshgan, 2025-yilda esa 1 116,4 mlrd so‘mni tashkil etgan</w:t>
      </w:r>
      <w:r>
        <w:rPr>
          <w:rStyle w:val="FootnoteReference"/>
        </w:rPr>
        <w:footnoteReference w:id="37"/>
      </w:r>
      <w:r>
        <w:rPr>
          <w:rStyle w:val="FootnoteReference"/>
        </w:rPr>
        <w:footnoteReference w:id="38"/>
      </w:r>
      <w:r>
        <w:rPr>
          <w:rFonts w:ascii="Times New Roman" w:hAnsi="Times New Roman" w:cs="Times New Roman" w:eastAsia="Times New Roman"/>
          <w:sz w:val="28"/>
        </w:rPr>
        <w:t xml:space="preserve">. Ikkinchi omil – milliy hisobotda umuman aks etmaydigan dastlabki tan olish va modifikatsiya natijalari: 2025-yilda bank bozor stavkasidan past stavkada berilgan kreditlarni dastlabki tan olishdan 420,7 mlrd so‘m, modifikatsiya qilingan va balansdan chiqarilgan moliyaviy aktivlardan yana 324,1 mlrd so‘m zarar ko‘rgan, ayni paytda imtiyozli shartlarda jalb qilingan qarz mablag‘larini dastlabki tan olishdan 260,8 mlrd so‘m foyda olgan</w:t>
      </w:r>
      <w:r>
        <w:rPr>
          <w:rStyle w:val="FootnoteReference"/>
        </w:rPr>
        <w:footnoteReference w:id="39"/>
      </w:r>
      <w:r>
        <w:rPr>
          <w:rFonts w:ascii="Times New Roman" w:hAnsi="Times New Roman" w:cs="Times New Roman" w:eastAsia="Times New Roman"/>
          <w:sz w:val="28"/>
        </w:rPr>
        <w:t xml:space="preserve">. Bu raqamlar davlat dasturlari doirasidagi imtiyozli operatsiyalarning haqiqiy iqtisodiy qiymati faqat MHXS hisobotida aks etishini ko‘rsatadi.</w:t>
      </w:r>
    </w:p>
    <w:p>
      <w:pPr>
        <w:pStyle w:val="BodyText"/>
        <w:spacing w:line="360" w:lineRule="auto" w:before="0" w:after="0"/>
        <w:ind w:firstLine="709"/>
        <w:jc w:val="both"/>
      </w:pPr>
      <w:r>
        <w:rPr>
          <w:rFonts w:ascii="Times New Roman" w:hAnsi="Times New Roman" w:cs="Times New Roman" w:eastAsia="Times New Roman"/>
          <w:sz w:val="28"/>
        </w:rPr>
        <w:t xml:space="preserve">Kredit zaxiralari bo‘yicha tafovut yanada sezilarli. Milliy hisobot bo‘yicha zaxiralarning kreditlarga nisbati 2,7–4,5 foiz oralig‘ida bo‘lgan bo‘lsa, MHXS bo‘yicha bu ko‘rsatkich 4,0–6,0 foizni tashkil etgan, ya’ni MHXS bo‘yicha zaxiralar mutlaq qiymatda milliy hisobotdagidan 1,3–2,2 barobar ko‘p bo‘lgan (2.3.3-rasm).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2.3.3-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2.3.3-rasm. «O‘zsanoatqurilishbank» ATB da kredit zaxiralarining jami kreditlarga nisbati: milliy hisobot va MHXS, %</w:t>
      </w:r>
      <w:r>
        <w:rPr>
          <w:rStyle w:val="FootnoteReference"/>
        </w:rPr>
        <w:footnoteReference w:id="40"/>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muhim qonuniyatni ochib beradi: ikki hisobot o‘rtasidagi zaxiralar tafovuti eng katta bo‘lgan 2022-yilda MHXS bo‘yicha zaxiralar milliy hisobotdagidan 2,2 barobar ko‘p bo‘lgan, aynan shu yili milliy hisobot bo‘yicha zaxiralar ulushi besh yillik davrdagi eng past – 2,7 foizgacha pasaygan. Demak, milliy tizim kredit riski oshgan yillarda zaxiralarni kamaytirgan, MHXS esa aksincha oshirgan. Bu milliy zaxira tizimining riskka sezgirligi pastligini, MHXS 9 ning esa kredit riskini o‘z vaqtida aks ettirishini ko‘rsatadi. Shu bilan birga, MHXS bo‘yicha 3-bosqich kreditlarining zaxira bilan qoplanishi 2021–2025-yillarda 71,7–82,6 foiz oralig‘ida barqaror saqlangan, milliy hisobotda esa jami zaxiralarning muammoli kreditlarga nisbati 94,5 foizdan 179,5 foizgacha tebrangan. Milliy ko‘rsatkichdagi bunday keskin o‘sish kredit sifati yaxshilangani emas, balki muammoli kreditlar sifatida tan olinadigan kreditlar doirasi torligi natijasidir.</w:t>
      </w:r>
    </w:p>
    <w:p>
      <w:pPr>
        <w:pStyle w:val="BodyText"/>
        <w:spacing w:line="360" w:lineRule="auto" w:before="0" w:after="0"/>
        <w:ind w:firstLine="709"/>
        <w:jc w:val="both"/>
      </w:pPr>
      <w:r>
        <w:rPr>
          <w:rFonts w:ascii="Times New Roman" w:hAnsi="Times New Roman" w:cs="Times New Roman" w:eastAsia="Times New Roman"/>
          <w:sz w:val="28"/>
        </w:rPr>
        <w:t xml:space="preserve">Ikki tasniflash tizimi o‘rtasidagi farqning mazmunini bankning 2025-yil uchun MHXS hisobotida oshkor qilingan kesishma jadval aniq ko‘rsatadi. Unda har bir MHXS 9 bosqichidagi kreditlar Markaziy bank tasnifi bo‘yicha qaysi toifaga kiritilgani ko‘rsatilgan</w:t>
      </w:r>
      <w:r>
        <w:rPr>
          <w:rStyle w:val="FootnoteReference"/>
        </w:rPr>
        <w:footnoteReference w:id="41"/>
      </w:r>
      <w:r>
        <w:rPr>
          <w:rFonts w:ascii="Times New Roman" w:hAnsi="Times New Roman" w:cs="Times New Roman" w:eastAsia="Times New Roman"/>
          <w:sz w:val="28"/>
        </w:rPr>
        <w:t xml:space="preserve">. Ushbu jadval ma’lumotlari asosida 3-bosqich kreditlarining milliy tasnif bo‘yicha tarkibi aniqlandi (2.3.4-rasm).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4" name="2.3.4-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2.3.4-rasm. «O‘zsanoatqurilishbank» ATB da MHXS 9 bo‘yicha 3-bosqich kreditlarining milliy tasnif toifalari bo‘yicha tarkibi, mlrd so‘m</w:t>
      </w:r>
      <w:r>
        <w:rPr>
          <w:rStyle w:val="FootnoteReference"/>
        </w:rPr>
        <w:footnoteReference w:id="42"/>
      </w:r>
    </w:p>
    <w:p>
      <w:pPr>
        <w:pStyle w:val="BodyText"/>
        <w:spacing w:line="360" w:lineRule="auto" w:before="0" w:after="0"/>
        <w:ind w:firstLine="709"/>
        <w:jc w:val="both"/>
      </w:pPr>
      <w:r>
        <w:rPr>
          <w:rFonts w:ascii="Times New Roman" w:hAnsi="Times New Roman" w:cs="Times New Roman" w:eastAsia="Times New Roman"/>
          <w:sz w:val="28"/>
        </w:rPr>
        <w:t xml:space="preserve">Rasm ma’lumotlari shuni ko‘rsatadiki, MHXS 9 bo‘yicha kredit qadrsizlangan deb tan olingan kreditlarning katta qismi milliy tasnifda muammoli hisoblanmaydi. 2025-yil yakunida 5 310,2 mlrd so‘mlik 3-bosqich kreditlarining 746,4 mlrd so‘mi, ya’ni 14,1 foizi milliy tasnifda «standart», 2 290,9 mlrd so‘mi, ya’ni 43,1 foizi esa «substandart» toifasiga kiritilgan. Shunday qilib, qadrsizlangan kreditlarning 57,2 foizi milliy hisobotdagi muammoli kreditlar ko‘rsatkichida umuman aks etmagan. 2024-yilda bu ulush 38,9 foizni tashkil etgan edi, ya’ni bir yil ichida ikki tasnif o‘rtasidagi nomuvofiqlik sezilarli kuchaygan. Bank bu farqni shunday izohlaydi: milliy tasnif asosan muddati o‘tgan kunlar soniga tayanadi, MHXS 9 esa qo‘shimcha ravishda restrukturizatsiya, 90 kundan ortiq muddati o‘tgan qarzdorlik tarixi kabi miqdoriy va sifat belgilarini hisobga oladi, bunday kreditlar esa belgilangan sinov muddati o‘tmaguncha 3-bosqichda qoladi</w:t>
      </w:r>
      <w:r>
        <w:rPr>
          <w:rStyle w:val="FootnoteReference"/>
        </w:rPr>
        <w:footnoteReference w:id="43"/>
      </w:r>
      <w:r>
        <w:rPr>
          <w:rFonts w:ascii="Times New Roman" w:hAnsi="Times New Roman" w:cs="Times New Roman" w:eastAsia="Times New Roman"/>
          <w:sz w:val="28"/>
        </w:rPr>
        <w:t xml:space="preserve">. 2-bosqich kreditlari bo‘yicha ham manzara o‘xshash: 2025-yilda kredit riski sezilarli oshgan 25 320,4 mlrd so‘mlik kreditlarning 51,2 foizi milliy tasnifda «standart» kreditlar hisoblangan.</w:t>
      </w:r>
    </w:p>
    <w:p>
      <w:pPr>
        <w:pStyle w:val="BodyText"/>
        <w:spacing w:line="360" w:lineRule="auto" w:before="0" w:after="0"/>
        <w:ind w:firstLine="709"/>
        <w:jc w:val="both"/>
      </w:pPr>
      <w:r>
        <w:rPr>
          <w:rFonts w:ascii="Times New Roman" w:hAnsi="Times New Roman" w:cs="Times New Roman" w:eastAsia="Times New Roman"/>
          <w:sz w:val="28"/>
        </w:rPr>
        <w:t xml:space="preserve">Bu ma’lumotlar yuqorida keltirilgan nazariy xulosani amaliy jihatdan tasdiqlaydi: milliy va MHXS ko‘rsatkichlari o‘rtasidagi tafovut hisob-kitob texnikasidagi farq emas, balki kredit riskini tan olish mezonlaridagi tub farqdir. Muddati o‘tgan kunlarga asoslangan tasnif qarz oluvchining to‘lov intizomini kuzatadi, ammo uning moliyaviy holati yomonlashganini, kredit restrukturizatsiya qilinganini yoki takroriy qiyinchiliklarni o‘z vaqtida sezmaydi. Shuning uchun yuqorida taklif etilgan yashirin kredit riski koeffitsiyenti milliy hisobot asosidagi baholashga kiritilishi lozim bo‘lgan tuzatishning miqdoriy o‘lchovi bo‘lib xizmat qilishi mumkin. Uning ikkala bank bo‘yicha dinamikasi 2.3.5-rasmda keltirildi.</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5" name="2.3.5-rasm"/>
            <wp:cNvGraphicFramePr/>
            <a:graphic>
              <a:graphicData uri="http://schemas.openxmlformats.org/drawingml/2006/chart">
                <c:chart r:id="rId1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2.3.5-rasm. «O‘zsanoatqurilishbank» ATB va «Mikrokreditbank» ATB da yashirin kredit riski koeffitsiyenti</w:t>
      </w:r>
      <w:r>
        <w:rPr>
          <w:rStyle w:val="FootnoteReference"/>
        </w:rPr>
        <w:footnoteReference w:id="4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yashirin kredit riski koeffitsiyenti ikkala bankda ham tahlil davrining barcha yillarida birdan ancha yuqori bo‘lgan. «O‘zsanoatqurilishbank» ATB da u 2021-yildagi 1,65 dan 2025-yilda 2,96 gacha oshgan, ya’ni milliy hisobotdagi muammoli kreditlar ulushi MHXS bo‘yicha qadrsizlangan kreditlar ulushidan qariyb uch barobar kam bo‘lgan. «Mikrokreditbank» ATB da koeffitsiyent butun davr mobaynida 2,77–3,30 oralig‘ida yuqori darajada saqlangan, uning eng yuqori qiymati esa 2024-yilga to‘g‘ri kelgan</w:t>
      </w:r>
      <w:r>
        <w:rPr>
          <w:rStyle w:val="FootnoteReference"/>
        </w:rPr>
        <w:footnoteReference w:id="45"/>
      </w:r>
      <w:r>
        <w:rPr>
          <w:rFonts w:ascii="Times New Roman" w:hAnsi="Times New Roman" w:cs="Times New Roman" w:eastAsia="Times New Roman"/>
          <w:sz w:val="28"/>
        </w:rPr>
        <w:t xml:space="preserve">. Ikkala bank uchun ham koeffitsiyentning nisbatan barqarorligi muhim amaliy xulosaga olib keladi: milliy hisobot asosidagi muammoli kreditlar ko‘rsatkichi kredit riskini tasodifan emas, balki muntazam ravishda kamsitib ko‘rsatadi, demak, uni tegishli koeffitsiyent yordamida tuzatish metodologik jihatdan asoslidir.</w:t>
      </w:r>
    </w:p>
    <w:p>
      <w:pPr>
        <w:pStyle w:val="BodyText"/>
        <w:spacing w:line="360" w:lineRule="auto" w:before="0" w:after="0"/>
        <w:ind w:firstLine="709"/>
        <w:jc w:val="both"/>
      </w:pPr>
      <w:r>
        <w:rPr>
          <w:rFonts w:ascii="Times New Roman" w:hAnsi="Times New Roman" w:cs="Times New Roman" w:eastAsia="Times New Roman"/>
          <w:sz w:val="28"/>
        </w:rPr>
        <w:t xml:space="preserve">«Mikrokreditbank» ATB bo‘yicha solishtirish natijalari esa tafovutning yana bir jihatini – zararlarni tan olish vaqtidagi farqni ochib beradi (2.3.3-jadval).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«Mikrokreditbank» ATB ning asosiy ko‘rsatkichlari: milliy hisobot va MHXS, 2021–2025-yillar</w:t>
      </w:r>
      <w:r>
        <w:rPr>
          <w:rStyle w:val="FootnoteReference"/>
        </w:rPr>
        <w:footnoteReference w:id="4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13 483,4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16 782,5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19 061,5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23 542,5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30 728,8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12 802,3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16 521,3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18 244,1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23 851,4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30 969,3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Xususiy kapital,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2 321,1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3 643,9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3 933,6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3 550,6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5 739,2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2 291,6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3 650,9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3 578,1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4 101,3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6 270,8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Tafovut,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foyda (zarar),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−1 703,8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160,8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−471,2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−961,3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42,1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(milliy) / 3-bosqich (MHXS),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5,9 / 17,4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4,8 / 13,5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6,0 / 16,6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 / 15,2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4,4 / 12,3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Birinchi darajali asosiy kapital monandligi,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20,03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17,60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12,95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16,39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 asosida qayta hisoblangan</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20,17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16,20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18,24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Yashirin kredit riski koeffitsiyenti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2,95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2,77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2,80</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«Mikrokreditbank» ATB da ikki hisobot o‘rtasidagi munosabat «O‘zsanoatqurilishbank» ATB dagidan farq qilishini ko‘rsatadi. Bu bankda besh yillik jami moliyaviy natija ikki hisobotda deyarli bir xil: milliy hisobot bo‘yicha 1 429,2 mlrd so‘m, MHXS bo‘yicha 1 374,9 mlrd so‘m zarar. Ammo zararning yillar bo‘yicha taqsimlanishi tubdan farq qiladi. MHXS bo‘yicha bank 2023-yildayoq 471,2 mlrd so‘m zarar ko‘rgan, bunga kredit zararlari bo‘yicha 470,4 mlrd so‘m zaxira ajratilishi sabab bo‘lgan</w:t>
      </w:r>
      <w:r>
        <w:rPr>
          <w:rStyle w:val="FootnoteReference"/>
        </w:rPr>
        <w:footnoteReference w:id="47"/>
      </w:r>
      <w:r>
        <w:rPr>
          <w:rFonts w:ascii="Times New Roman" w:hAnsi="Times New Roman" w:cs="Times New Roman" w:eastAsia="Times New Roman"/>
          <w:sz w:val="28"/>
        </w:rPr>
        <w:t xml:space="preserve">, milliy hisobotda esa shu yili 41,1 mlrd so‘m foyda ko‘rsatilgan. 2024-yilda esa milliy hisobotda 1 703,8 mlrd so‘m zarar bir yo‘la tan olingan, MHXS bo‘yicha zarar 961,3 mlrd so‘mni tashkil etgan (2.3.6-rasm).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6" name="2.3.6-rasm"/>
            <wp:cNvGraphicFramePr/>
            <a:graphic>
              <a:graphicData uri="http://schemas.openxmlformats.org/drawingml/2006/chart">
                <c:chart r:id="rId1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2.3.6-rasm. «Mikrokreditbank» ATB ning sof foydasi (zarari): milliy hisobot va MHXS, mlrd so‘m</w:t>
      </w:r>
      <w:r>
        <w:rPr>
          <w:rStyle w:val="FootnoteReference"/>
        </w:rPr>
        <w:footnoteReference w:id="48"/>
      </w:r>
    </w:p>
    <w:p>
      <w:pPr>
        <w:pStyle w:val="BodyText"/>
        <w:spacing w:line="360" w:lineRule="auto" w:before="0" w:after="0"/>
        <w:ind w:firstLine="709"/>
        <w:jc w:val="both"/>
      </w:pPr>
      <w:r>
        <w:rPr>
          <w:rFonts w:ascii="Times New Roman" w:hAnsi="Times New Roman" w:cs="Times New Roman" w:eastAsia="Times New Roman"/>
          <w:sz w:val="28"/>
        </w:rPr>
        <w:t xml:space="preserve">Rasm ma’lumotlari kutilgan kredit zararlari modelining asosiy afzalligini, ya’ni kredit riskini o‘z vaqtida tan olishini yaqqol ko‘rsatadi. MHXS bo‘yicha zarar 2023 va 2024-yillarga taqsimlangan, milliy hisobotda esa u bir yil kechikib va bir yo‘la tan olingan. Natijada 2023-yil yakunida milliy hisobot bo‘yicha xususiy kapital MHXS bo‘yicha kapitaldan 355,5 mlrd so‘mga ko‘p bo‘lgan, 2024-yilda esa, aksincha, 550,7 mlrd so‘mga kam bo‘lib qolgan. Shunga mos ravishda birinchi darajali asosiy kapital monandligi 2023-yilda rasmiy hisobot bo‘yicha 17,60 foiz, MHXS asosida esa 16,20 foiz, 2024-yilda esa mos ravishda 12,95 va 15,02 foizni tashkil etgan. Boshqacha aytganda, milliy hisobot asosidagi baholash 2023-yil yakunida bankning kapitali va daromadliligi bo‘yicha xavfsiz signal bergan, holbuki MHXS hisobotida muammo allaqachon namoyon bo‘lgan edi. Bu holat 1.2-paragrafda ko‘rib chiqilgan kutilgan kredit zararlari modelining prosiklik xususiyati to‘g‘risidagi xulosani boshqa tomondan ham to‘ldiradi: ertaroq tan olingan zarar kapitalga bosimni ertaroq yuzaga keltiradi, ammo nazorat organi va bank rahbariyatiga choralar ko‘rish uchun vaqt beradi.</w:t>
      </w:r>
    </w:p>
    <w:p>
      <w:pPr>
        <w:pStyle w:val="BodyText"/>
        <w:spacing w:line="360" w:lineRule="auto" w:before="0" w:after="0"/>
        <w:ind w:firstLine="709"/>
        <w:jc w:val="both"/>
      </w:pPr>
      <w:r>
        <w:rPr>
          <w:rFonts w:ascii="Times New Roman" w:hAnsi="Times New Roman" w:cs="Times New Roman" w:eastAsia="Times New Roman"/>
          <w:sz w:val="28"/>
        </w:rPr>
        <w:t xml:space="preserve">Ikki bank misolida olingan natijalarni umumlashtirish uchun «O‘zsanoatqurilishbank» ATB ning 2025-yil yakunidagi ko‘rsatkichlari moliyaviy barqarorlikning asosiy bloklari bo‘yicha guruhlandi va ularning har biri uchun milliy va xalqaro yondashuv o‘rtasidagi tafovut hisoblandi. Kapital monandligi bo‘yicha alohida izoh berish lozim. Bankning MHXS hisobotida e’lon qilingan kapital monandligi koeffitsiyentlari ham milliy buxgalteriya hisobi ma’lumotlari asosida hisoblangani qayd etilgan</w:t>
      </w:r>
      <w:r>
        <w:rPr>
          <w:rStyle w:val="FootnoteReference"/>
        </w:rPr>
        <w:footnoteReference w:id="49"/>
      </w:r>
      <w:r>
        <w:rPr>
          <w:rFonts w:ascii="Times New Roman" w:hAnsi="Times New Roman" w:cs="Times New Roman" w:eastAsia="Times New Roman"/>
          <w:sz w:val="28"/>
        </w:rPr>
        <w:t xml:space="preserve">, MHXS ma’lumotlariga asoslangan koeffitsiyentlar esa banklar tomonidan e’lon qilinmaydi. Shu sababli ular Markaziy bank metodikasi bo‘yicha muallif tomonidan qayta hisoblandi: birinchi darajali asosiy kapital MHXS bo‘yicha xususiy kapitaldan joriy yil sof foydasi va ozchilik ulushini ayirib, so‘ngra bankning rasmiy hisobot shaklidagi 257,4 mlrd so‘mlik chegirmalarni qo‘llash orqali aniqlandi; qo‘shimcha birinchi darajali kapital (3 615,3 mlrd so‘mlik muddatsiz obligatsiyalar) va ikkinchi darajali kapital rasmiy hisobotdagi qiymatda olinib, faqat joriy yil foydasidagi farqqa tuzatildi; risk bo‘yicha tortilgan aktivlar sifatida esa rasmiy hisobotdagi 95 179,7 mlrd so‘m qabul qilindi</w:t>
      </w:r>
      <w:r>
        <w:rPr>
          <w:rStyle w:val="FootnoteReference"/>
        </w:rPr>
        <w:footnoteReference w:id="50"/>
      </w:r>
      <w:r>
        <w:rPr>
          <w:rFonts w:ascii="Times New Roman" w:hAnsi="Times New Roman" w:cs="Times New Roman" w:eastAsia="Times New Roman"/>
          <w:sz w:val="28"/>
        </w:rPr>
        <w:t xml:space="preserve">. MHXS bo‘yicha zaxiralar ko‘pligi sababli risk bo‘yicha tortilgan aktivlar amalda biroz kichikroq bo‘lishi mumkin, biroq bu koeffitsiyentlarni 0,1 foiz punktdan ko‘p o‘zgartirmaydi. Sof barqaror moliyalashtirish me’yori esa ikki metodika – Markaziy bank va Bazel III metodikasi hamda ikki hisobot turi bo‘yicha to‘rt variantda hisoblandi</w:t>
      </w:r>
      <w:r>
        <w:rPr>
          <w:rStyle w:val="FootnoteReference"/>
        </w:rPr>
        <w:footnoteReference w:id="51"/>
      </w:r>
      <w:r>
        <w:rPr>
          <w:rStyle w:val="FootnoteReference"/>
        </w:rPr>
        <w:footnoteReference w:id="52"/>
      </w:r>
      <w:r>
        <w:rPr>
          <w:rFonts w:ascii="Times New Roman" w:hAnsi="Times New Roman" w:cs="Times New Roman" w:eastAsia="Times New Roman"/>
          <w:sz w:val="28"/>
        </w:rPr>
        <w:t xml:space="preserve">. Likvidlikni qoplash koeffitsiyenti uchun esa milliy amaliyotda yuqori likvid aktivlarga kiritiladigan, ammo Bazel III da bunday aktiv hisoblanmaydigan boshqa banklardagi mablag‘lar alohida ajratildi</w:t>
      </w:r>
      <w:r>
        <w:rPr>
          <w:rStyle w:val="FootnoteReference"/>
        </w:rPr>
        <w:footnoteReference w:id="53"/>
      </w:r>
      <w:r>
        <w:rPr>
          <w:rFonts w:ascii="Times New Roman" w:hAnsi="Times New Roman" w:cs="Times New Roman" w:eastAsia="Times New Roman"/>
          <w:sz w:val="28"/>
        </w:rPr>
        <w:t xml:space="preserve">. Hisob-kitob natijalari 2.3.4-jadvalda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2.3.4-jadval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moliyaviy barqarorlik ko‘rsatkichlarining milliy va xalqaro yondashuv bo‘yicha tafovuti, 2025-yil yakuni</w:t>
      </w:r>
      <w:r>
        <w:rPr>
          <w:rStyle w:val="FootnoteReference"/>
        </w:rPr>
        <w:footnoteReference w:id="5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2835"/>
        <w:gridCol w:w="1587"/>
        <w:gridCol w:w="1587"/>
        <w:gridCol w:w="1814"/>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Blok</w:t>
            </w:r>
          </w:p>
        </w:tc>
        <w:tc>
          <w:tcPr>
            <w:tcW w:type="dxa" w:w="283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Milliy hisobot va metodika</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va Bazel III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Tafovut</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Muammoli kreditlar (3-bosqich) ulushi,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2,53</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7,48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+4,95 p.p. (2,96 barobar)</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Substandart kreditlar (2-bosqich) ulushi,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18,44</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35,66</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+17,22 p.p. (1,93 barobar)</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Kredit zaxiralari, mlrd so‘m</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2 947,5</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4 250,9</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+44,2%</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Daromadlilik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Sof foyda, mlrd so‘m</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1 880,1</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1 543,8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−17,9%</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Daromadlilik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17,2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15,7</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−1,5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Xususiy kapital, mlrd so‘m</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11 875,2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10 273,8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Birinchi darajali asosiy kapital monandligi,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10,21</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8,87</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−1,34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Birinchi darajali kapital monandligi,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14,01</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12,66</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−1,35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17,02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15,32</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−1,70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Likvidlik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Sof barqaror moliyalashtirish me’yori,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122,2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124,8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+2,6 p.p. (metodika +5,4; hisobot −2,8)</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Likvidlik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Banklardagi mablag‘larning yuqori likvid aktivlardagi ulushi,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30,9</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0</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Bazel III bo‘yicha yuqori likvid aktiv emas</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ikki yondashuv o‘rtasidagi tafovut moliyaviy barqarorlik bloklari bo‘yicha bir tekis taqsimlanmaganini ko‘rsatadi. Eng katta tafovut aktivlar sifati blokida bo‘lib, muammoli kreditlar ulushi xalqaro yondashuv bo‘yicha qariyb uch barobar, kredit riski oshgan kreditlar ulushi esa ikki barobar yuqori. Daromadlilik va kapital bloklarida tafovut 13–18 foiz atrofida bo‘lib, MHXS ma’lumotlari asosida qayta hisoblangan birinchi darajali asosiy kapital monandligi 8,87 foizgacha pasayib, 8 foizlik minimal talabga yaqinlashadi. Likvidlik blokida esa umumiy tafovut kichik, chunki metodika va hisobot standarti ta’siri qarama-qarshi yo‘nalishda bo‘lib, bir-birini qisman qoplaydi: Bazel III koeffitsiyentlari me’yorni 5,4 foiz punktga oshiradi, MHXS tuzatishlari esa 2,8 foiz punktga pasaytiradi. Ammo likvidlikni qoplash koeffitsiyenti tarkibida xalqaro standart bo‘yicha yuqori likvid aktiv hisoblanmaydigan mablag‘lar ulushi 30,9 foizni tashkil etadi, demak, bu blokda ham yashirin risk mavjud. Tafovutning nisbiy ko‘lamini taqqoslash uchun asosiy ko‘rsatkichlar bo‘yicha nisbiy tafovut koeffitsiyenti hisoblandi (2.3.7-rasm).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7" name="2.3.7-rasm"/>
            <wp:cNvGraphicFramePr/>
            <a:graphic>
              <a:graphicData uri="http://schemas.openxmlformats.org/drawingml/2006/chart">
                <c:chart r:id="rId14"/>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2.3.7-rasm. «O‘zsanoatqurilishbank» ATB ko‘rsatkichlarining milliy va xalqaro yondashuv bo‘yicha nisbiy tafovuti, 2025-yil, %</w:t>
      </w:r>
      <w:r>
        <w:rPr>
          <w:rStyle w:val="FootnoteReference"/>
        </w:rPr>
        <w:footnoteReference w:id="55"/>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nisbiy tafovut koeffitsiyenti muammoli kreditlar ulushi bo‘yicha +195,7 foizni, kredit zaxiralari bo‘yicha +44,2 foizni tashkil etgan bo‘lsa, birinchi darajali asosiy kapital monandligi, xususiy kapital va sof foyda bo‘yicha −13,1 dan −17,9 foizgacha, jami aktivlar bo‘yicha −5,1 foizni, sof barqaror moliyalashtirish me’yori bo‘yicha esa bor-yo‘g‘i +2,1 foizni tashkil etgan. Shunday qilib, tafovut 2.3.1-rasmda ko‘rsatilgan zanjir bo‘ylab kamayib boradi va bu nazariy xulosani real bank ma’lumotlari to‘liq tasdiqlaydi. Muallif fikricha, bu natija integral baholash metodikasini ishlab chiqish uchun ikki muhim talabni belgilaydi. Birinchidan, metodikada aktivlar sifati bloki xalqaro standartlar, ya’ni MHXS 9 ning bosqichlar tasnifi asosida baholanishi, milliy ko‘rsatkichlar qo‘llanganda esa ular yashirin kredit riski koeffitsiyenti yordamida tuzatilishi lozim. Ikkinchidan, kapital blokida milliy hisobot bo‘yicha regulyativ kapital bilan bir qatorda MHXS bo‘yicha xususiy kapitalga asoslangan tuzatilgan kapital monandligi ham hisobga olinishi kerak.</w:t>
      </w:r>
    </w:p>
    <w:p>
      <w:pPr>
        <w:pStyle w:val="BodyText"/>
        <w:spacing w:line="360" w:lineRule="auto" w:before="0" w:after="0"/>
        <w:ind w:firstLine="709"/>
        <w:jc w:val="both"/>
      </w:pPr>
      <w:r>
        <w:rPr>
          <w:rFonts w:ascii="Times New Roman" w:hAnsi="Times New Roman" w:cs="Times New Roman" w:eastAsia="Times New Roman"/>
          <w:sz w:val="28"/>
        </w:rPr>
        <w:t xml:space="preserve">Tahlil natijalari amaldagi islohotlar yo‘nalishiga ham mos keladi. Xalqaro valyuta jamg‘armasi va Jahon bankining moliya sektorini baholash dasturi doirasida Markaziy bankning aktivlarni tasniflash va zaxiralash qoidalarini MHXS 9 ga yaqinlashtirish, muammoli kreditlarning ta’rifini xalqaro amaliyotga moslashtirish tavsiya etilgan</w:t>
      </w:r>
      <w:r>
        <w:rPr>
          <w:rStyle w:val="FootnoteReference"/>
        </w:rPr>
        <w:footnoteReference w:id="56"/>
      </w:r>
      <w:r>
        <w:rPr>
          <w:rFonts w:ascii="Times New Roman" w:hAnsi="Times New Roman" w:cs="Times New Roman" w:eastAsia="Times New Roman"/>
          <w:sz w:val="28"/>
        </w:rPr>
        <w:t xml:space="preserve">, Markaziy bank tomonidan qabul qilingan «yo‘l xaritasi»da esa aktivlar tasnifi va zaxiralarni MHXS 9 ga moslashtirish ishlari belgilangan</w:t>
      </w:r>
      <w:r>
        <w:rPr>
          <w:rStyle w:val="FootnoteReference"/>
        </w:rPr>
        <w:footnoteReference w:id="57"/>
      </w:r>
      <w:r>
        <w:rPr>
          <w:rFonts w:ascii="Times New Roman" w:hAnsi="Times New Roman" w:cs="Times New Roman" w:eastAsia="Times New Roman"/>
          <w:sz w:val="28"/>
        </w:rPr>
        <w:t xml:space="preserve">. Biroq «yo‘l xaritasi» amalga oshirilgunga qadar, shuningdek, keyinchalik ham tarixiy ma’lumotlarni solishtirish uchun ikki hisobot o‘rtasidagi tafovutni o‘lchash va hisobga olish vositasi zarur. Bunday vosita sifatida tadqiqotda quyidagi uch tuzatish koeffitsiyenti taklif etiladi: aktivlar sifati bloki uchun yashirin kredit riski koeffitsiyenti; kapital bloki uchun MHXS va milliy hisobot bo‘yicha xususiy kapital nisbati; daromadlilik bloki uchun ko‘p yillik jami sof foyda nisbati. Bu koeffitsiyentlarni har yili bankning auditdan o‘tgan MHXS hisoboti e’lon qilingandan so‘ng yangilab borish va oraliq davrlarda milliy hisobot ko‘rsatkichlariga qo‘llash mumkin. Shu bilan birga, banklarning MHXS hisobotlarida «O‘zsanoatqurilishbank» ATB 2025-yil hisobotida oshkor qilgan bosqichlar va milliy toifalar kesishma jadvalini barcha banklar uchun majburiy oshkor qilinadigan ma’lumotlar tarkibiga kiritish ikki tasnif o‘rtasidagi tafovutni nazorat qilish va ochiq ma’lumotlar asosida baholashni amalga oshirish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ko‘rsatkichlarining milliy va MHXS hisobotlari bo‘yicha qiyosiy tahlili asosida xulosa qilish mumkinki, O‘zbekiston banklarida ikki hisobot o‘rtasidagi tafovut muntazam xususiyatga ega bo‘lib, uning asosiy manbai kreditlarni tasniflash va zaxira shakllantirish qoidalaridagi farqdir. «O‘zsanoatqurilishbank» ATB da MHXS bo‘yicha kapital milliy hisobotdagidan 3,2–13,5 foiz kam, besh yillik jami sof foyda 15,3 foiz kam bo‘lib, qadrsizlangan kreditlarning 57,2 foizi milliy tasnifda muammoli hisoblanmaydi. «Mikrokreditbank» ATB misolida esa milliy hisobot zararni bir yil kechikib tan olgani aniqlandi. Yashirin kredit riski koeffitsiyenti ikkala bankda ham 1,65–3,30 oralig‘ida bo‘lib, milliy muammoli kreditlar ko‘rsatkichi kredit riskini muntazam kamsitib ko‘rsatishini tasdiqlaydi. Tafovut aktivlar sifati blokida eng katta, kapital va daromadlilik bloklarida sezilarli, likvidlik blokida esa nisbatan kichik. Bu o‘z navbatida, dissertatsiyaning keyingi bobida taklif etiladigan integral baholash metodikasida aktivlar sifatini MHXS 9 asosida baholash, milliy ko‘rsatkichlarni esa taklif etilgan tuzatish koeffitsiyentlari yordamida xalqaro standartlarga moslashtirish zaruratini asoslaydi.</w:t>
      </w:r>
    </w:p>
    <w:bookmarkEnd w:id="58"/>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O‘zbekiston Respublikasi Prezidentining 2020-yil 24-fevraldagi PQ-4611-son «Moliyaviy hisobotning xalqaro standartlariga o‘tish bo‘yicha qo‘shimcha chora-tadbirlar to‘g‘risida»gi qarori // Qonunchilik ma’lumotlari milliy bazasi, 25.02.2020-y.</w:t>
      </w:r>
    </w:p>
  </w:footnote>
  <w:footnote w:id="21">
    <w:p>
      <w:pPr>
        <w:pStyle w:val="FootnoteText"/>
      </w:pPr>
      <w:r>
        <w:rPr>
          <w:rStyle w:val="FootnoteReference"/>
        </w:rPr>
        <w:footnoteRef/>
      </w:r>
      <w:r>
        <w:t xml:space="preserve"> </w:t>
      </w:r>
      <w:r>
        <w:t xml:space="preserve">O‘zbekiston Respublikasining 2019-yil 5-noyabrdagi O‘RQ-580-son «Banklar va bank faoliyati to‘g‘risida»gi Qonuni // Qonunchilik ma’lumotlari milliy bazasi, 06.11.2019-y.</w:t>
      </w:r>
    </w:p>
  </w:footnote>
  <w:footnote w:id="22">
    <w:p>
      <w:pPr>
        <w:pStyle w:val="FootnoteText"/>
      </w:pPr>
      <w:r>
        <w:rPr>
          <w:rStyle w:val="FootnoteReference"/>
        </w:rPr>
        <w:footnoteRef/>
      </w:r>
      <w:r>
        <w:t xml:space="preserve"> </w:t>
      </w:r>
      <w:r>
        <w:t xml:space="preserve">Basel Committee on Banking Supervision. Regulatory treatment of accounting provisions – interim approach and transitional arrangements. – Basel: Bank for International Settlements, March 2017.</w:t>
      </w:r>
    </w:p>
  </w:footnote>
  <w:footnote w:id="23">
    <w:p>
      <w:pPr>
        <w:pStyle w:val="FootnoteText"/>
      </w:pPr>
      <w:r>
        <w:rPr>
          <w:rStyle w:val="FootnoteReference"/>
        </w:rPr>
        <w:footnoteRef/>
      </w:r>
      <w:r>
        <w:t xml:space="preserve"> </w:t>
      </w:r>
      <w:r>
        <w:t xml:space="preserve">Basel Committee on Banking Supervision. Guidance on credit risk and accounting for expected credit losses. – Basel: Bank for International Settlements, December 2015.</w:t>
      </w:r>
    </w:p>
  </w:footnote>
  <w:footnote w:id="24">
    <w:p>
      <w:pPr>
        <w:pStyle w:val="FootnoteText"/>
      </w:pPr>
      <w:r>
        <w:rPr>
          <w:rStyle w:val="FootnoteReference"/>
        </w:rPr>
        <w:footnoteRef/>
      </w:r>
      <w:r>
        <w:t xml:space="preserve"> </w:t>
      </w:r>
      <w:r>
        <w:t xml:space="preserve">Huizinga H., Laeven L. Bank valuation and accounting discretion during a financial crisis // Journal of Financial Economics. – 2012. – Vol. 106, No. 3. – P. 614–634.</w:t>
      </w:r>
    </w:p>
  </w:footnote>
  <w:footnote w:id="25">
    <w:p>
      <w:pPr>
        <w:pStyle w:val="FootnoteText"/>
      </w:pPr>
      <w:r>
        <w:rPr>
          <w:rStyle w:val="FootnoteReference"/>
        </w:rPr>
        <w:footnoteRef/>
      </w:r>
      <w:r>
        <w:t xml:space="preserve"> </w:t>
      </w:r>
      <w:r>
        <w:t xml:space="preserve">Bholat D., Lastra R.M., Markose S.M., Miglionico A., Sen K. Non-performing loans at the dawn of IFRS 9: regulatory and accounting treatment of asset quality // Journal of Banking Regulation. – 2018. – Vol. 19, No. 1. – P. 33–54.</w:t>
      </w:r>
    </w:p>
  </w:footnote>
  <w:footnote w:id="26">
    <w:p>
      <w:pPr>
        <w:pStyle w:val="FootnoteText"/>
      </w:pPr>
      <w:r>
        <w:rPr>
          <w:rStyle w:val="FootnoteReference"/>
        </w:rPr>
        <w:footnoteRef/>
      </w:r>
      <w:r>
        <w:t xml:space="preserve"> </w:t>
      </w:r>
      <w:r>
        <w:t xml:space="preserve">Abad J., Suarez J. Assessing the cyclical implications of IFRS 9 – a recursive model // European Systemic Risk Board Occasional Paper Series. – 2017. – No. 12. – 48 p.</w:t>
      </w:r>
    </w:p>
  </w:footnote>
  <w:footnote w:id="27">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28">
    <w:p>
      <w:pPr>
        <w:pStyle w:val="FootnoteText"/>
      </w:pPr>
      <w:r>
        <w:rPr>
          <w:rStyle w:val="FootnoteReference"/>
        </w:rPr>
        <w:footnoteRef/>
      </w:r>
      <w:r>
        <w:t xml:space="preserve"> </w:t>
      </w:r>
      <w:r>
        <w:t xml:space="preserve">Tadqiqot natijasida muallif tomonidan quyidagi manbalar asosida ishlab chiqildi: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 IFRS 9 Financial Instruments. – London: International Accounting Standards Board, 2014;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29">
    <w:p>
      <w:pPr>
        <w:pStyle w:val="FootnoteText"/>
      </w:pPr>
      <w:r>
        <w:rPr>
          <w:rStyle w:val="FootnoteReference"/>
        </w:rPr>
        <w:footnoteRef/>
      </w:r>
      <w:r>
        <w:t xml:space="preserve"> </w:t>
      </w:r>
      <w:r>
        <w:t xml:space="preserve">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footnote>
  <w:footnote w:id="30">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1">
    <w:p>
      <w:pPr>
        <w:pStyle w:val="FootnoteText"/>
      </w:pPr>
      <w:r>
        <w:rPr>
          <w:rStyle w:val="FootnoteReference"/>
        </w:rPr>
        <w:footnoteRef/>
      </w:r>
      <w:r>
        <w:t xml:space="preserve"> </w:t>
      </w:r>
      <w:r>
        <w:t xml:space="preserve">IFRS 9 Financial Instruments. – London: International Accounting Standards Board, 2014.</w:t>
      </w:r>
    </w:p>
  </w:footnote>
  <w:footnote w:id="32">
    <w:p>
      <w:pPr>
        <w:pStyle w:val="FootnoteText"/>
      </w:pPr>
      <w:r>
        <w:rPr>
          <w:rStyle w:val="FootnoteReference"/>
        </w:rPr>
        <w:footnoteRef/>
      </w:r>
      <w:r>
        <w:t xml:space="preserve"> </w:t>
      </w:r>
      <w:r>
        <w:t xml:space="preserve">Tadqiqot natijasida muallif tomonidan ishlab chiqildi.</w:t>
      </w:r>
    </w:p>
  </w:footnote>
  <w:footnote w:id="33">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4">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5">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6">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 Joint Stock Commercial Bank «Uzbek Industrial and Construction Bank» and its subsidiaries. Consolidated Financial Statements for the year ended 31 December 2025 and Independent Auditor’s Report. – Tashkent, 2026. – P. 3.</w:t>
      </w:r>
    </w:p>
  </w:footnote>
  <w:footnote w:id="37">
    <w:p>
      <w:pPr>
        <w:pStyle w:val="FootnoteText"/>
      </w:pPr>
      <w:r>
        <w:rPr>
          <w:rStyle w:val="FootnoteReference"/>
        </w:rPr>
        <w:footnoteRef/>
      </w:r>
      <w:r>
        <w:t xml:space="preserve"> </w:t>
      </w:r>
      <w:r>
        <w:t xml:space="preserve">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w:t>
      </w:r>
    </w:p>
  </w:footnote>
  <w:footnote w:id="38">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w:t>
      </w:r>
    </w:p>
  </w:footnote>
  <w:footnote w:id="39">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w:t>
      </w:r>
    </w:p>
  </w:footnote>
  <w:footnote w:id="40">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41">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37–38.</w:t>
      </w:r>
    </w:p>
  </w:footnote>
  <w:footnote w:id="42">
    <w:p>
      <w:pPr>
        <w:pStyle w:val="FootnoteText"/>
      </w:pPr>
      <w:r>
        <w:rPr>
          <w:rStyle w:val="FootnoteReference"/>
        </w:rPr>
        <w:footnoteRef/>
      </w:r>
      <w:r>
        <w:t xml:space="preserve"> </w:t>
      </w:r>
      <w:r>
        <w:t xml:space="preserve">Tadqiqot natijasida muallif tomonidan quyidagi manbalar ma’lumotlari asosida ishlab chiqildi: Joint Stock Commercial Bank «Uzbek Industrial and Construction Bank» and its subsidiaries. Consolidated Financial Statements for the year ended 31 December 2025 and Independent Auditor’s Report. – Tashkent, 2026. – P. 37–38.</w:t>
      </w:r>
    </w:p>
  </w:footnote>
  <w:footnote w:id="43">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37.</w:t>
      </w:r>
    </w:p>
  </w:footnote>
  <w:footnote w:id="44">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45">
    <w:p>
      <w:pPr>
        <w:pStyle w:val="FootnoteText"/>
      </w:pPr>
      <w:r>
        <w:rPr>
          <w:rStyle w:val="FootnoteReference"/>
        </w:rPr>
        <w:footnoteRef/>
      </w:r>
      <w:r>
        <w:t xml:space="preserve"> </w:t>
      </w:r>
      <w:r>
        <w:t xml:space="preserve">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46">
    <w:p>
      <w:pPr>
        <w:pStyle w:val="FootnoteText"/>
      </w:pPr>
      <w:r>
        <w:rPr>
          <w:rStyle w:val="FootnoteReference"/>
        </w:rPr>
        <w:footnoteRef/>
      </w:r>
      <w:r>
        <w:t xml:space="preserve"> </w:t>
      </w:r>
      <w:r>
        <w:t xml:space="preserve">Tadqiqot natijasida muallif tomonidan quyidagi manbalar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47">
    <w:p>
      <w:pPr>
        <w:pStyle w:val="FootnoteText"/>
      </w:pPr>
      <w:r>
        <w:rPr>
          <w:rStyle w:val="FootnoteReference"/>
        </w:rPr>
        <w:footnoteRef/>
      </w:r>
      <w:r>
        <w:t xml:space="preserve"> </w:t>
      </w:r>
      <w:r>
        <w:t xml:space="preserve">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w:t>
      </w:r>
    </w:p>
  </w:footnote>
  <w:footnote w:id="48">
    <w:p>
      <w:pPr>
        <w:pStyle w:val="FootnoteText"/>
      </w:pPr>
      <w:r>
        <w:rPr>
          <w:rStyle w:val="FootnoteReference"/>
        </w:rPr>
        <w:footnoteRef/>
      </w:r>
      <w:r>
        <w:t xml:space="preserve"> </w:t>
      </w:r>
      <w:r>
        <w:t xml:space="preserve">Tadqiqot natijasida muallif tomonidan quyidagi manbalar ma’lumotlari asosida ishlab chiqildi: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12.</w:t>
      </w:r>
    </w:p>
  </w:footnote>
  <w:footnote w:id="49">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74.</w:t>
      </w:r>
    </w:p>
  </w:footnote>
  <w:footnote w:id="50">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51">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52">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53">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54">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Basel Committee on Banking Supervision. Basel III: The Net Stable Funding Ratio. – Basel: BIS, October 2014; Basel Committee on Banking Supervision. Basel III: The Liquidity Coverage Ratio and liquidity risk monitoring tools. – Basel: BIS, January 2013.</w:t>
      </w:r>
    </w:p>
  </w:footnote>
  <w:footnote w:id="55">
    <w:p>
      <w:pPr>
        <w:pStyle w:val="FootnoteText"/>
      </w:pPr>
      <w:r>
        <w:rPr>
          <w:rStyle w:val="FootnoteReference"/>
        </w:rPr>
        <w:footnoteRef/>
      </w:r>
      <w:r>
        <w:t xml:space="preserve"> </w:t>
      </w:r>
      <w:r>
        <w:t xml:space="preserve">Tadqiqot natijasida muallif tomonidan 2.3.4-jadval ma’lumotlari asosida ishlab chiqildi.</w:t>
      </w:r>
    </w:p>
  </w:footnote>
  <w:footnote w:id="56">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57">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 Id="rId13" Type="http://schemas.openxmlformats.org/officeDocument/2006/relationships/chart" Target="charts/chart5.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1228.3</c:v>
                </c:pt>
                <c:pt idx="1">
                  <c:v>588.9</c:v>
                </c:pt>
                <c:pt idx="2">
                  <c:v>911.7</c:v>
                </c:pt>
                <c:pt idx="3">
                  <c:v>1303.2</c:v>
                </c:pt>
                <c:pt idx="4">
                  <c:v>1880.1</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857.0</c:v>
                </c:pt>
                <c:pt idx="1">
                  <c:v>633.7</c:v>
                </c:pt>
                <c:pt idx="2">
                  <c:v>856.2</c:v>
                </c:pt>
                <c:pt idx="3">
                  <c:v>1115.0</c:v>
                </c:pt>
                <c:pt idx="4">
                  <c:v>1543.8</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3.6</c:v>
                </c:pt>
                <c:pt idx="1">
                  <c:v>2.7</c:v>
                </c:pt>
                <c:pt idx="2">
                  <c:v>2.9</c:v>
                </c:pt>
                <c:pt idx="3">
                  <c:v>3.4</c:v>
                </c:pt>
                <c:pt idx="4">
                  <c:v>4.5</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4.5</c:v>
                </c:pt>
                <c:pt idx="1">
                  <c:v>5.6</c:v>
                </c:pt>
                <c:pt idx="2">
                  <c:v>4.0</c:v>
                </c:pt>
                <c:pt idx="3">
                  <c:v>4.7</c:v>
                </c:pt>
                <c:pt idx="4">
                  <c:v>6.0</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7"/>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Standart</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Sheet1!$B$2:$B$3</c:f>
              <c:numCache>
                <c:formatCode>General</c:formatCode>
                <c:ptCount val="2"/>
                <c:pt idx="0">
                  <c:v>1013.3</c:v>
                </c:pt>
                <c:pt idx="1">
                  <c:v>746.4</c:v>
                </c:pt>
              </c:numCache>
            </c:numRef>
          </c:val>
        </c:ser>
        <c:ser>
          <c:idx val="1"/>
          <c:order val="1"/>
          <c:tx>
            <c:strRef>
              <c:f>Sheet1!$C$1</c:f>
              <c:strCache>
                <c:ptCount val="1"/>
                <c:pt idx="0">
                  <c:v>Substandart</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Sheet1!$C$2:$C$3</c:f>
              <c:numCache>
                <c:formatCode>General</c:formatCode>
                <c:ptCount val="2"/>
                <c:pt idx="0">
                  <c:v>577.8</c:v>
                </c:pt>
                <c:pt idx="1">
                  <c:v>2290.9</c:v>
                </c:pt>
              </c:numCache>
            </c:numRef>
          </c:val>
        </c:ser>
        <c:ser>
          <c:idx val="2"/>
          <c:order val="2"/>
          <c:tx>
            <c:strRef>
              <c:f>Sheet1!$D$1</c:f>
              <c:strCache>
                <c:ptCount val="1"/>
                <c:pt idx="0">
                  <c:v>Qoniqarsiz</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Sheet1!$D$2:$D$3</c:f>
              <c:numCache>
                <c:formatCode>General</c:formatCode>
                <c:ptCount val="2"/>
                <c:pt idx="0">
                  <c:v>1326.1</c:v>
                </c:pt>
                <c:pt idx="1">
                  <c:v>243.9</c:v>
                </c:pt>
              </c:numCache>
            </c:numRef>
          </c:val>
        </c:ser>
        <c:ser>
          <c:idx val="3"/>
          <c:order val="3"/>
          <c:tx>
            <c:strRef>
              <c:f>Sheet1!$E$1</c:f>
              <c:strCache>
                <c:ptCount val="1"/>
                <c:pt idx="0">
                  <c:v>Shubhali</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Sheet1!$E$2:$E$3</c:f>
              <c:numCache>
                <c:formatCode>General</c:formatCode>
                <c:ptCount val="2"/>
                <c:pt idx="0">
                  <c:v>628.2</c:v>
                </c:pt>
                <c:pt idx="1">
                  <c:v>642.1</c:v>
                </c:pt>
              </c:numCache>
            </c:numRef>
          </c:val>
        </c:ser>
        <c:ser>
          <c:idx val="4"/>
          <c:order val="4"/>
          <c:tx>
            <c:strRef>
              <c:f>Sheet1!$F$1</c:f>
              <c:strCache>
                <c:ptCount val="1"/>
                <c:pt idx="0">
                  <c:v>Umidsiz</c:v>
                </c:pt>
              </c:strCache>
            </c:strRef>
          </c:tx>
          <c:spPr>
            <a:solidFill>
              <a:srgbClr val="7F7F7F"/>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Sheet1!$F$2:$F$3</c:f>
              <c:numCache>
                <c:formatCode>General</c:formatCode>
                <c:ptCount val="2"/>
                <c:pt idx="0">
                  <c:v>540.2</c:v>
                </c:pt>
                <c:pt idx="1">
                  <c:v>1386.9</c:v>
                </c:pt>
              </c:numCache>
            </c:numRef>
          </c:val>
        </c:ser>
        <c:gapWidth val="7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6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«O‘zsanoatqurilishbank»</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1.65</c:v>
                </c:pt>
                <c:pt idx="1">
                  <c:v>2.61</c:v>
                </c:pt>
                <c:pt idx="2">
                  <c:v>2.14</c:v>
                </c:pt>
                <c:pt idx="3">
                  <c:v>2.08</c:v>
                </c:pt>
                <c:pt idx="4">
                  <c:v>2.96</c:v>
                </c:pt>
              </c:numCache>
            </c:numRef>
          </c:yVal>
          <c:smooth val="0"/>
        </c:ser>
        <c:ser>
          <c:idx val="1"/>
          <c:order val="1"/>
          <c:tx>
            <c:strRef>
              <c:f>Sheet1!$D$1</c:f>
              <c:strCache>
                <c:ptCount val="1"/>
                <c:pt idx="0">
                  <c:v>«Mikrokreditbank»</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2.95</c:v>
                </c:pt>
                <c:pt idx="1">
                  <c:v>2.81</c:v>
                </c:pt>
                <c:pt idx="2">
                  <c:v>2.77</c:v>
                </c:pt>
                <c:pt idx="3">
                  <c:v>3.3</c:v>
                </c:pt>
                <c:pt idx="4">
                  <c:v>2.8</c:v>
                </c:pt>
              </c:numCache>
            </c:numRef>
          </c:yVal>
          <c:smooth val="0"/>
        </c:ser>
        <c:ser>
          <c:idx val="2"/>
          <c:order val="2"/>
          <c:tx>
            <c:strRef>
              <c:f>Sheet1!$F$1</c:f>
              <c:strCache>
                <c:ptCount val="1"/>
                <c:pt idx="0">
                  <c:v>Muvofiqlik darajasi (1,0)</c:v>
                </c:pt>
              </c:strCache>
            </c:strRef>
          </c:tx>
          <c:spPr>
            <a:ln w="19050">
              <a:solidFill>
                <a:srgbClr val="A5A5A5"/>
              </a:solidFill>
              <a:prstDash val="dash"/>
            </a:ln>
          </c:spPr>
          <c:marker>
            <c:symbol val="none"/>
          </c:marker>
          <c:xVal>
            <c:numRef>
              <c:f>Sheet1!$E$2:$E$3</c:f>
              <c:numCache>
                <c:formatCode>General</c:formatCode>
                <c:ptCount val="2"/>
                <c:pt idx="0">
                  <c:v>2021</c:v>
                </c:pt>
                <c:pt idx="1">
                  <c:v>2025</c:v>
                </c:pt>
              </c:numCache>
            </c:numRef>
          </c:xVal>
          <c:yVal>
            <c:numRef>
              <c:f>Sheet1!$F$2:$F$3</c:f>
              <c:numCache>
                <c:formatCode>General</c:formatCode>
                <c:ptCount val="2"/>
                <c:pt idx="0">
                  <c:v>1</c:v>
                </c:pt>
                <c:pt idx="1">
                  <c:v>1</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Koeffitsiyent</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51.4</c:v>
                </c:pt>
                <c:pt idx="1">
                  <c:v>21.3</c:v>
                </c:pt>
                <c:pt idx="2">
                  <c:v>41.1</c:v>
                </c:pt>
                <c:pt idx="3">
                  <c:v>-1703.8</c:v>
                </c:pt>
                <c:pt idx="4">
                  <c:v>160.8</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5.1</c:v>
                </c:pt>
                <c:pt idx="1">
                  <c:v>10.4</c:v>
                </c:pt>
                <c:pt idx="2">
                  <c:v>-471.2</c:v>
                </c:pt>
                <c:pt idx="3">
                  <c:v>-961.3</c:v>
                </c:pt>
                <c:pt idx="4">
                  <c:v>42.1</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00"/>
          <c:min val="-200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Nisbiy tafovut</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Sheet1!$A$2:$A$8</c:f>
              <c:strCache>
                <c:ptCount val="7"/>
                <c:pt idx="0">
                  <c:v>Muammoli kreditlar ulushi</c:v>
                </c:pt>
                <c:pt idx="1">
                  <c:v>Kredit zaxiralari</c:v>
                </c:pt>
                <c:pt idx="2">
                  <c:v>NSFR</c:v>
                </c:pt>
                <c:pt idx="3">
                  <c:v>Jami aktivlar</c:v>
                </c:pt>
                <c:pt idx="4">
                  <c:v>CET1 monandligi</c:v>
                </c:pt>
                <c:pt idx="5">
                  <c:v>Xususiy kapital</c:v>
                </c:pt>
                <c:pt idx="6">
                  <c:v>Sof foyda</c:v>
                </c:pt>
              </c:strCache>
            </c:strRef>
          </c:cat>
          <c:val>
            <c:numRef>
              <c:f>Sheet1!$B$2:$B$8</c:f>
              <c:numCache>
                <c:formatCode>General</c:formatCode>
                <c:ptCount val="7"/>
                <c:pt idx="0">
                  <c:v>195.7</c:v>
                </c:pt>
                <c:pt idx="1">
                  <c:v>44.2</c:v>
                </c:pt>
                <c:pt idx="2">
                  <c:v>2.1</c:v>
                </c:pt>
                <c:pt idx="3">
                  <c:v>-5.1</c:v>
                </c:pt>
                <c:pt idx="4">
                  <c:v>-13.1</c:v>
                </c:pt>
                <c:pt idx="5">
                  <c:v>-13.5</c:v>
                </c:pt>
                <c:pt idx="6">
                  <c:v>-17.9</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2026-10-11T09:20:22Z</dcterms:created>
  <dcterms:modified xsi:type="dcterms:W3CDTF">2026-10-11T09:20:22Z</dcterms:modified>
</cp:coreProperties>
</file>

<file path=docProps/custom.xml><?xml version="1.0" encoding="utf-8"?>
<Properties xmlns="http://schemas.openxmlformats.org/officeDocument/2006/custom-properties" xmlns:vt="http://schemas.openxmlformats.org/officeDocument/2006/docPropsVTypes"/>
</file>