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i-bob-boyicha-xulosalar"/>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II bob bo‘yicha xulosalar</w:t>
      </w:r>
    </w:p>
    <w:p>
      <w:pPr>
        <w:pStyle w:val="FirstParagraph"/>
        <w:spacing w:line="360" w:lineRule="auto" w:before="0" w:after="0"/>
        <w:ind w:firstLine="709"/>
        <w:jc w:val="both"/>
      </w:pPr>
      <w:r>
        <w:rPr>
          <w:rFonts w:ascii="Times New Roman" w:hAnsi="Times New Roman" w:cs="Times New Roman" w:eastAsia="Times New Roman"/>
          <w:sz w:val="28"/>
        </w:rPr>
        <w:t xml:space="preserve">Dissertatsiyaning ikkinchi bobida O‘zbekiston bank tizimida moliyaviy barqarorlikni baholash amaliyotining xalqaro standartlarga muvofiqligi tahlil qilindi va quyidagi xulosalar shakllantirildi.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 prudensial me’yorlar, risklarga asoslangan nazorat va makroprudensial monitoring orqali amalga oshiriladi. 2025-yilda kapital monandligiga qo‘yiladigan talablar to‘g‘risidagi yangi nizomning qabul qilinishi va Bazel III kapital buferlarining joriy etilishi bilan me’yoriy baza sezilarli darajada yangilandi. Biroq xalqaro standartlarga muvofiqlik asosan miqdoriy talablar bo‘yicha ta’minlangan, kapital sifati, aktivlar tasnifi, oshkoralik va erta ogohlantirish kabi mazmuniy elementlar hali shakllanish bosqichida.</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Amaldagi baholash tizimida bankning barqarorligini ochiq ma’lumotlar asosida, yagona integral ko‘rsatkich orqali va istiqbolli element bilan baholaydigan vosita mavjud emas.</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2021–2025-yillarda bank tizimi jadal o‘sib, davlat banklarining aktivlardagi ulushi 81,5 foizdan 63,5 foizgacha kamaydi, biroq ular tizimda ustunligicha qolmoqda. Regulyativ kapital monandligi 17,4–18,3 foiz, likvidlikni qoplash koeffitsiyenti va sof barqaror moliyalashtirish me’yori Bazel III talablaridan ancha yuqori. Shu bilan birga, salbiy stress-ssenariy kapitalning katta qismi jiddiy makroiqtisodiy shok sharoitida yo‘qolishi mumkinligini ko‘rsatdi, demak, bir sanadagi kapital ko‘rsatkichiga tayanuvchi baholash yetarli emas.</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Aktivlar sifati bank tizimining eng zaif bo‘g‘ini hisoblanadi. Rasmiy muammoli kreditlar ulushi 2021-yildagi 5,2 foizdan 2025-yilda 3 foizgacha pasaygan bo‘lsa-da, substandart va muammoli kreditlarning birgalikdagi ulushi 2023-yilda 19,5 foizga, 2024-yilda 21 foizga yetgan. «O‘zsanoatqurilishbank» ATB da substandart kreditlar ulushi 2021–2025-yillarda 6,2 foizdan 18,4 foizgacha, ya’ni qariyb uch barobar oshgan, bu esa kredit riskining yashirin to‘planishidan dalolat beradi.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Bank darajasidagi tahlil davlat banklarida kapital yetarliligining yuqori ko‘rsatkichlari har doim ham bankning o‘z daromadi natijasi emasligini ko‘rsatdi. «Mikrokreditbank» ATB da 2021–2023-yillarda kapital rentabelligi 0,7–2,5 foiz bilan inflyatsiyadan ancha past bo‘lgan, 2024-yilda esa bank yashirin kredit riskining bir yo‘la tan olinishi natijasida 1 703,8 mlrd so‘m zarar ko‘rgan va kapital monandligi davlat tomonidan qayta kapitallashtirish hisobiga tiklangan.</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Milliy prudensial hisobot va MHXS bo‘yicha hisobot o‘rtasidagi tafovut muntazam xususiyatga ega bo‘lib, uning asosiy manbai kreditlarni tasniflash va zaxira shakllantirish qoidalaridagi farqdir. «O‘zsanoatqurilishbank» ATB da MHXS bo‘yicha xususiy kapital milliy hisobotdagidan 3,2–13,5 foiz, besh yillik jami sof foyda 15,3 foiz kam bo‘lib, kredit zaxiralari 1,3–2,2 barobar ko‘p. 2025-yil yakunida MHXS 9 bo‘yicha qadrsizlangan kreditlarning 57,2 foizi milliy tasnifda «standart» yoki «substandart» toifasida aks etgan. «Mikrokreditbank» ATB misolida esa besh yillik jami zarar ikki hisobotda deyarli bir xil bo‘lsa-da, milliy hisobot uni MHXS ga nisbatan bir yil kechikib tan olgani aniqlandi.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Milliy hisobotdagi muammoli kreditlar ko‘rsatkichining kredit riskini kamsitib ko‘rsatish darajasini o‘lchash uchun yashirin kredit riski koeffitsiyenti, ya’ni MHXS 9 bo‘yicha 3-bosqich kreditlari ulushining milliy tasnifdagi muammoli kreditlar ulushiga nisbati taklif etildi. Koeffitsiyent «O‘zsanoatqurilishbank» ATB da 1,65–2,96, «Mikrokreditbank» ATB da 2,77–3,30 oralig‘ida bo‘lib, uning nisbiy barqarorligi milliy ko‘rsatkichlarni tuzatish koeffitsiyenti yordamida xalqaro standartlarga moslashtirishning metodologik asosliligini tasdiqlaydi.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Milliy va xalqaro yondashuv o‘rtasidagi tafovut moliyaviy barqarorlik bloklari bo‘yicha bir tekis taqsimlanmagan: u aktivlar sifati blokida eng katta (muammoli kreditlar ulushi bo‘yicha qariyb uch barobar), daromadlilik va kapital bloklarida sezilarli (13–18 foiz, birinchi darajali asosiy kapital monandligi MHXS ma’lumotlari asosida qayta hisoblanganda 10,21 foizdan 8,87 foizgacha pasayadi), likvidlik blokida esa nisbatan kichik. Sof barqaror moliyalashtirish me’yorida metodika (+5,4 foiz punkt) va MHXS tuzatishlari (−2,8 foiz punkt) qarama-qarshi yo‘nalishda ta’sir ko‘rsatadi.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Tahlil natijalari integral baholash metodikasini ishlab chiqish uchun quyidagi talablarni belgilaydi: aktivlar sifati bloki MHXS 9 ning bosqichlar tasnifi asosida baholanishi, milliy ko‘rsatkichlar qo‘llanganda esa ular yashirin kredit riski koeffitsiyenti bilan tuzatilishi; kapital blokida regulyativ kapital bilan bir qatorda MHXS bo‘yicha xususiy kapitalga asoslangan tuzatilgan kapital monandligi hisobga olinishi; likvidlik blokida koeffitsiyentlar Bazel III metodikasi bo‘yicha qayta hisoblanishi; davlat ko‘magiga bog‘liqlik alohida ko‘rsatkich sifatida baholanishi. Shuningdek, banklarning MHXS hisobotlarida MHXS 9 bosqichlari va Markaziy bank tasnifi toifalari kesishma jadvalini majburiy oshkor qilinadigan ma’lumotlar tarkibiga kiritish taklif etiladi.</w:t>
      </w:r>
    </w:p>
    <w:p>
      <w:pPr>
        <w:pStyle w:val="FirstParagraph"/>
        <w:spacing w:line="360" w:lineRule="auto" w:before="0" w:after="0"/>
        <w:ind w:firstLine="709"/>
        <w:jc w:val="both"/>
      </w:pPr>
      <w:r>
        <w:rPr>
          <w:rFonts w:ascii="Times New Roman" w:hAnsi="Times New Roman" w:cs="Times New Roman" w:eastAsia="Times New Roman"/>
          <w:sz w:val="28"/>
        </w:rPr>
        <w:t xml:space="preserve">Umuman olganda, rasmiy ko‘rsatkichlar bo‘yicha qoniqarli manzara ortida xalqaro standartlar bo‘yicha aniqlanadigan sezilarli risklar mavjud. Bu turli yo‘nalishdagi signallarni yagona bahoga keltiradigan, aktivlar sifatini xalqaro standartlar asosida hisobga oladigan va milliy hamda MHXS hisobotlari o‘rtasidagi tafovutni tuzatadigan integral baholash metodikasini ishlab chiqish zaruratini asoslaydi. Bunday metodika dissertatsiyaning uchinchi bobida taklif etiladi.</w:t>
      </w:r>
    </w:p>
    <w:bookmarkEnd w:id="20"/>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2026-10-11T09:20:23Z</dcterms:created>
  <dcterms:modified xsi:type="dcterms:W3CDTF">2026-10-11T09:20:23Z</dcterms:modified>
</cp:coreProperties>
</file>

<file path=docProps/custom.xml><?xml version="1.0" encoding="utf-8"?>
<Properties xmlns="http://schemas.openxmlformats.org/officeDocument/2006/custom-properties" xmlns:vt="http://schemas.openxmlformats.org/officeDocument/2006/docPropsVTypes"/>
</file>