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637944ed30af1a5c7e12bfca1a7866b67ed51e5"/>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Ushbu paragrafda shu tizim natijalari – bank tizimining moliyaviy barqarorlik ko‘rsatkichlari 2021–2025-yillar dinamikasida tahlil qilinadi. Tahlil Xalqaro valyuta jamg‘armasining moliyaviy barqarorlik ko‘rsatkichlari (FSI) tuzilmasi asosida besh yo‘nalishda olib boriladi: kapital yetarliligi, aktivlar sifati, daromadlilik, likvidlik va bozor (valyuta) riskiga sezgirlik</w:t>
      </w:r>
      <w:r>
        <w:rPr>
          <w:rStyle w:val="FootnoteReference"/>
        </w:rPr>
        <w:footnoteReference w:id="20"/>
      </w:r>
      <w:r>
        <w:rPr>
          <w:rFonts w:ascii="Times New Roman" w:hAnsi="Times New Roman" w:cs="Times New Roman" w:eastAsia="Times New Roman"/>
          <w:sz w:val="28"/>
        </w:rPr>
        <w:t xml:space="preserve">. Har bir yo‘nalishda ko‘rsatkichlar milliy talablar bilan bir qatorda Bazel III, XVJ va CAMELS tizimida qo‘llanadigan xalqaro mezonlar bilan solishtiriladi.</w:t>
      </w:r>
    </w:p>
    <w:p>
      <w:pPr>
        <w:pStyle w:val="BodyText"/>
        <w:spacing w:line="360" w:lineRule="auto" w:before="0" w:after="0"/>
        <w:ind w:firstLine="709"/>
        <w:jc w:val="both"/>
      </w:pPr>
      <w:r>
        <w:rPr>
          <w:rFonts w:ascii="Times New Roman" w:hAnsi="Times New Roman" w:cs="Times New Roman" w:eastAsia="Times New Roman"/>
          <w:sz w:val="28"/>
        </w:rPr>
        <w:t xml:space="preserve">Tahlil uchun asosiy manbalar sifatida O‘zbekiston Respublikasi Markaziy bankining moliyaviy barqarorlik sharhlari hamda XVJ va Jahon bankining 2024–2025-yillarda o‘tkazilgan moliya sektorini baholash dasturi (FSAP) materiallari olindi. Ayrim yillar bo‘yicha ko‘rsatkichlar yil oxiri holatiga emas, balki yil o‘rtasi holatiga to‘g‘ri keladi; bunday hollar jadval va rasmlarda alohida ko‘rsatilgan.</w:t>
      </w:r>
    </w:p>
    <w:bookmarkStart w:id="28" w:name="bank-tizimining-umumiy-tavsifi"/>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1. Bank tizimining umumiy tavsifi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 bank tizimi so‘nggi yillarda jadal o‘sdi. 2017-yildan keyin kreditlar yiliga 50–60 foiz sur’atda o‘sgan bo‘lsa, 2020-yilda bu sur’at 31 foizgacha, 2021-yilda esa 18 foizgacha sekinlashdi</w:t>
      </w:r>
      <w:r>
        <w:rPr>
          <w:rStyle w:val="FootnoteReference"/>
        </w:rPr>
        <w:footnoteReference w:id="21"/>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2"/>
      </w:r>
      <w:r>
        <w:rPr>
          <w:rFonts w:ascii="Times New Roman" w:hAnsi="Times New Roman" w:cs="Times New Roman" w:eastAsia="Times New Roman"/>
          <w:sz w:val="28"/>
        </w:rPr>
        <w:t xml:space="preserve">. 2026-yil 1-yanvar holatiga tijorat banklari aktivlari 924,8 trln so‘mni, kreditlari esa 604 trln so‘mni tashkil etgan</w:t>
      </w:r>
      <w:r>
        <w:rPr>
          <w:rStyle w:val="FootnoteReference"/>
        </w:rPr>
        <w:footnoteReference w:id="2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 tizimining muhim tuzilmaviy xususiyati – davlat ulushining yuqoriligi. Davlat ishtirokidagi banklarning jami aktivlardagi ulushi 2019-yil boshida 84 foizni, 2021-yil oxirida 81 foizni tashkil etgan bo‘lsa</w:t>
      </w:r>
      <w:r>
        <w:rPr>
          <w:rStyle w:val="FootnoteReference"/>
        </w:rPr>
        <w:footnoteReference w:id="24"/>
      </w:r>
      <w:r>
        <w:rPr>
          <w:rFonts w:ascii="Times New Roman" w:hAnsi="Times New Roman" w:cs="Times New Roman" w:eastAsia="Times New Roman"/>
          <w:sz w:val="28"/>
        </w:rPr>
        <w:t xml:space="preserve">, 2024-yilga kelib 67 foizgacha, 2026-yil o‘rtasida esa 62 foizgacha pasaygan</w:t>
      </w:r>
      <w:r>
        <w:rPr>
          <w:rStyle w:val="FootnoteReference"/>
        </w:rPr>
        <w:footnoteReference w:id="25"/>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 Bu jarayon xususiy banklar ulushining oshishi hisobiga yuz bermoqda, ammo davlat banklari hali ham tizimda ustun mavqega ega.</w:t>
      </w:r>
    </w:p>
    <w:p>
      <w:pPr>
        <w:pStyle w:val="BodyText"/>
        <w:keepNext/>
        <w:spacing w:line="240" w:lineRule="auto" w:before="0" w:after="0"/>
        <w:ind w:firstLine="0"/>
        <w:jc w:val="center"/>
      </w:pPr>
      <w:r xmlns:c="http://schemas.openxmlformats.org/drawingml/2006/chart">
        <w:rPr>
          <w:noProof/>
        </w:rPr>
        <w:drawing>
          <wp:inline distT="0" distB="0" distL="0" distR="0">
            <wp:extent cx="5400000" cy="2520000"/>
            <wp:effectExtent l="0" t="0" r="0" b="0"/>
            <wp:docPr id="1001" name="2.2.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ishtirokidagi banklarning bank tizimi aktivlaridagi ulushi, %</w:t>
      </w:r>
      <w:r>
        <w:rPr>
          <w:rStyle w:val="FootnoteReference"/>
        </w:rPr>
        <w:footnoteReference w:id="26"/>
      </w:r>
    </w:p>
    <w:p>
      <w:pPr>
        <w:pStyle w:val="BodyText"/>
        <w:spacing w:line="360" w:lineRule="auto" w:before="0" w:after="0"/>
        <w:ind w:firstLine="709"/>
        <w:jc w:val="both"/>
      </w:pPr>
      <w:r>
        <w:rPr>
          <w:rFonts w:ascii="Times New Roman" w:hAnsi="Times New Roman" w:cs="Times New Roman" w:eastAsia="Times New Roman"/>
          <w:sz w:val="28"/>
        </w:rPr>
        <w:t xml:space="preserve">Davlat banklari ulushining yuqoriligi moliyaviy barqarorlik ko‘rsatkichlarini talqin qilishda hisobga olinishi kerak: XVJ ta’kidlashicha, bu banklar imtiyozli va yo‘naltirilgan kreditlashda katta rol o‘ynaydi va aynan shu segmentlarda aktivlar sifati to‘g‘risidagi hisobotlarda kamsitib ko‘rsatish holatlari ko‘proq uchraydi</w:t>
      </w:r>
      <w:r>
        <w:rPr>
          <w:rStyle w:val="FootnoteReference"/>
        </w:rPr>
        <w:footnoteReference w:id="27"/>
      </w:r>
      <w:r>
        <w:rPr>
          <w:rFonts w:ascii="Times New Roman" w:hAnsi="Times New Roman" w:cs="Times New Roman" w:eastAsia="Times New Roman"/>
          <w:sz w:val="28"/>
        </w:rPr>
        <w:t xml:space="preserve">.</w:t>
      </w:r>
    </w:p>
    <w:bookmarkEnd w:id="28"/>
    <w:bookmarkStart w:id="30" w:name="Xf31d08ba6c45ce010f7eb11909c01e3cccadbe8"/>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 Moliyaviy barqarorlik ko‘rsatkichlarining umumlashtirilgan dinamikasi</w:t>
      </w:r>
    </w:p>
    <w:p>
      <w:pPr>
        <w:pStyle w:val="FirstParagraph"/>
        <w:spacing w:line="360" w:lineRule="auto" w:before="0" w:after="0"/>
        <w:ind w:firstLine="709"/>
        <w:jc w:val="both"/>
      </w:pPr>
      <w:r>
        <w:rPr>
          <w:rFonts w:ascii="Times New Roman" w:hAnsi="Times New Roman" w:cs="Times New Roman" w:eastAsia="Times New Roman"/>
          <w:sz w:val="28"/>
        </w:rPr>
        <w:t xml:space="preserve">Bank tizimining XVJ FSI tuzilmasi bo‘yicha asosiy ko‘rsatkichlari 2.2.1-jadvalda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w:t>
      </w:r>
      <w:r>
        <w:rPr>
          <w:rStyle w:val="FootnoteReference"/>
        </w:rPr>
        <w:footnoteReference w:id="29"/>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Regulyativ kapital / RWA</w:t>
            </w:r>
          </w:p>
        </w:tc>
        <w:tc>
          <w:tcPr/>
          <w:p>
            <w:pPr>
              <w:pStyle w:val="Compact"/>
              <w:spacing w:line="240" w:lineRule="auto"/>
              <w:ind w:firstLine="0"/>
              <w:jc w:val="left"/>
            </w:pPr>
            <w:r>
              <w:rPr>
                <w:rFonts w:ascii="Times New Roman" w:hAnsi="Times New Roman" w:cs="Times New Roman" w:eastAsia="Times New Roman"/>
                <w:sz w:val="22"/>
              </w:rPr>
              <w:t xml:space="preserve">17,5</w:t>
            </w:r>
          </w:p>
        </w:tc>
        <w:tc>
          <w:tcPr/>
          <w:p>
            <w:pPr>
              <w:pStyle w:val="Compact"/>
              <w:spacing w:line="240" w:lineRule="auto"/>
              <w:ind w:firstLine="0"/>
              <w:jc w:val="left"/>
            </w:pPr>
            <w:r>
              <w:rPr>
                <w:rFonts w:ascii="Times New Roman" w:hAnsi="Times New Roman" w:cs="Times New Roman" w:eastAsia="Times New Roman"/>
                <w:sz w:val="22"/>
              </w:rPr>
              <w:t xml:space="preserve">17,8</w:t>
            </w:r>
          </w:p>
        </w:tc>
        <w:tc>
          <w:tcPr/>
          <w:p>
            <w:pPr>
              <w:pStyle w:val="Compact"/>
              <w:spacing w:line="240" w:lineRule="auto"/>
              <w:ind w:firstLine="0"/>
              <w:jc w:val="left"/>
            </w:pPr>
            <w:r>
              <w:rPr>
                <w:rFonts w:ascii="Times New Roman" w:hAnsi="Times New Roman" w:cs="Times New Roman" w:eastAsia="Times New Roman"/>
                <w:sz w:val="22"/>
              </w:rPr>
              <w:t xml:space="preserve">17,5</w:t>
            </w:r>
          </w:p>
        </w:tc>
        <w:tc>
          <w:tcPr/>
          <w:p>
            <w:pPr>
              <w:pStyle w:val="Compact"/>
              <w:spacing w:line="240" w:lineRule="auto"/>
              <w:ind w:firstLine="0"/>
              <w:jc w:val="left"/>
            </w:pPr>
            <w:r>
              <w:rPr>
                <w:rFonts w:ascii="Times New Roman" w:hAnsi="Times New Roman" w:cs="Times New Roman" w:eastAsia="Times New Roman"/>
                <w:sz w:val="22"/>
              </w:rPr>
              <w:t xml:space="preserve">17,0</w:t>
            </w:r>
          </w:p>
        </w:tc>
        <w:tc>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 darajali kapital / RWA</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14,5</w:t>
            </w:r>
          </w:p>
        </w:tc>
        <w:tc>
          <w:tcPr/>
          <w:p>
            <w:pPr>
              <w:pStyle w:val="Compact"/>
              <w:spacing w:line="240" w:lineRule="auto"/>
              <w:ind w:firstLine="0"/>
              <w:jc w:val="left"/>
            </w:pPr>
            <w:r>
              <w:rPr>
                <w:rFonts w:ascii="Times New Roman" w:hAnsi="Times New Roman" w:cs="Times New Roman" w:eastAsia="Times New Roman"/>
                <w:sz w:val="22"/>
              </w:rPr>
              <w:t xml:space="preserve">14,1</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Asosiy kapital (CET1) / RWA</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14,4</w:t>
            </w:r>
          </w:p>
        </w:tc>
        <w:tc>
          <w:tcPr/>
          <w:p>
            <w:pPr>
              <w:pStyle w:val="Compact"/>
              <w:spacing w:line="240" w:lineRule="auto"/>
              <w:ind w:firstLine="0"/>
              <w:jc w:val="left"/>
            </w:pPr>
            <w:r>
              <w:rPr>
                <w:rFonts w:ascii="Times New Roman" w:hAnsi="Times New Roman" w:cs="Times New Roman" w:eastAsia="Times New Roman"/>
                <w:sz w:val="22"/>
              </w:rPr>
              <w:t xml:space="preserve">14,1</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Muammoli kreditlar / jami kreditlar</w:t>
            </w:r>
          </w:p>
        </w:tc>
        <w:tc>
          <w:tcPr/>
          <w:p>
            <w:pPr>
              <w:pStyle w:val="Compact"/>
              <w:spacing w:line="240" w:lineRule="auto"/>
              <w:ind w:firstLine="0"/>
              <w:jc w:val="left"/>
            </w:pPr>
            <w:r>
              <w:rPr>
                <w:rFonts w:ascii="Times New Roman" w:hAnsi="Times New Roman" w:cs="Times New Roman" w:eastAsia="Times New Roman"/>
                <w:sz w:val="22"/>
              </w:rPr>
              <w:t xml:space="preserve">5,8¹</w:t>
            </w:r>
          </w:p>
        </w:tc>
        <w:tc>
          <w:tcPr/>
          <w:p>
            <w:pPr>
              <w:pStyle w:val="Compact"/>
              <w:spacing w:line="240" w:lineRule="auto"/>
              <w:ind w:firstLine="0"/>
              <w:jc w:val="left"/>
            </w:pPr>
            <w:r>
              <w:rPr>
                <w:rFonts w:ascii="Times New Roman" w:hAnsi="Times New Roman" w:cs="Times New Roman" w:eastAsia="Times New Roman"/>
                <w:sz w:val="22"/>
              </w:rPr>
              <w:t xml:space="preserve">3,5</w:t>
            </w:r>
          </w:p>
        </w:tc>
        <w:tc>
          <w:tcPr/>
          <w:p>
            <w:pPr>
              <w:pStyle w:val="Compact"/>
              <w:spacing w:line="240" w:lineRule="auto"/>
              <w:ind w:firstLine="0"/>
              <w:jc w:val="left"/>
            </w:pPr>
            <w:r>
              <w:rPr>
                <w:rFonts w:ascii="Times New Roman" w:hAnsi="Times New Roman" w:cs="Times New Roman" w:eastAsia="Times New Roman"/>
                <w:sz w:val="22"/>
              </w:rPr>
              <w:t xml:space="preserve">3,5</w:t>
            </w:r>
          </w:p>
        </w:tc>
        <w:tc>
          <w:tcPr/>
          <w:p>
            <w:pPr>
              <w:pStyle w:val="Compact"/>
              <w:spacing w:line="240" w:lineRule="auto"/>
              <w:ind w:firstLine="0"/>
              <w:jc w:val="left"/>
            </w:pPr>
            <w:r>
              <w:rPr>
                <w:rFonts w:ascii="Times New Roman" w:hAnsi="Times New Roman" w:cs="Times New Roman" w:eastAsia="Times New Roman"/>
                <w:sz w:val="22"/>
              </w:rPr>
              <w:t xml:space="preserve">4,2²</w:t>
            </w:r>
          </w:p>
        </w:tc>
        <w:tc>
          <w:tcPr/>
          <w:p>
            <w:pPr>
              <w:pStyle w:val="Compact"/>
              <w:spacing w:line="240" w:lineRule="auto"/>
              <w:ind w:firstLine="0"/>
              <w:jc w:val="left"/>
            </w:pPr>
            <w:r>
              <w:rPr>
                <w:rFonts w:ascii="Times New Roman" w:hAnsi="Times New Roman" w:cs="Times New Roman" w:eastAsia="Times New Roman"/>
                <w:sz w:val="22"/>
              </w:rPr>
              <w:t xml:space="preserve">4,1</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Nostandart va muammoli kreditlar / jami kreditlar</w:t>
            </w:r>
          </w:p>
        </w:tc>
        <w:tc>
          <w:tcPr/>
          <w:p>
            <w:pPr>
              <w:pStyle w:val="Compact"/>
              <w:spacing w:line="240" w:lineRule="auto"/>
              <w:ind w:firstLine="0"/>
              <w:jc w:val="left"/>
            </w:pPr>
            <w:r>
              <w:rPr>
                <w:rFonts w:ascii="Times New Roman" w:hAnsi="Times New Roman" w:cs="Times New Roman" w:eastAsia="Times New Roman"/>
                <w:sz w:val="22"/>
              </w:rPr>
              <w:t xml:space="preserve">12,5</w:t>
            </w:r>
          </w:p>
        </w:tc>
        <w:tc>
          <w:tcPr/>
          <w:p>
            <w:pPr>
              <w:pStyle w:val="Compact"/>
              <w:spacing w:line="240" w:lineRule="auto"/>
              <w:ind w:firstLine="0"/>
              <w:jc w:val="left"/>
            </w:pPr>
            <w:r>
              <w:rPr>
                <w:rFonts w:ascii="Times New Roman" w:hAnsi="Times New Roman" w:cs="Times New Roman" w:eastAsia="Times New Roman"/>
                <w:sz w:val="22"/>
              </w:rPr>
              <w:t xml:space="preserve">15,9</w:t>
            </w:r>
          </w:p>
        </w:tc>
        <w:tc>
          <w:tcPr/>
          <w:p>
            <w:pPr>
              <w:pStyle w:val="Compact"/>
              <w:spacing w:line="240" w:lineRule="auto"/>
              <w:ind w:firstLine="0"/>
              <w:jc w:val="left"/>
            </w:pPr>
            <w:r>
              <w:rPr>
                <w:rFonts w:ascii="Times New Roman" w:hAnsi="Times New Roman" w:cs="Times New Roman" w:eastAsia="Times New Roman"/>
                <w:sz w:val="22"/>
              </w:rPr>
              <w:t xml:space="preserve">~20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w:t>
            </w:r>
          </w:p>
        </w:tc>
      </w:tr>
      <w:tr>
        <w:trPr>
          <w:cantSplit/>
        </w:trPr>
        <w:tc>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ROA</w:t>
            </w:r>
          </w:p>
        </w:tc>
        <w:tc>
          <w:tcPr/>
          <w:p>
            <w:pPr>
              <w:pStyle w:val="Compact"/>
              <w:spacing w:line="240" w:lineRule="auto"/>
              <w:ind w:firstLine="0"/>
              <w:jc w:val="left"/>
            </w:pPr>
            <w:r>
              <w:rPr>
                <w:rFonts w:ascii="Times New Roman" w:hAnsi="Times New Roman" w:cs="Times New Roman" w:eastAsia="Times New Roman"/>
                <w:sz w:val="22"/>
              </w:rPr>
              <w:t xml:space="preserve">1,3</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2,6</w:t>
            </w:r>
          </w:p>
        </w:tc>
        <w:tc>
          <w:tcPr/>
          <w:p>
            <w:pPr>
              <w:pStyle w:val="Compact"/>
              <w:spacing w:line="240" w:lineRule="auto"/>
              <w:ind w:firstLine="0"/>
              <w:jc w:val="left"/>
            </w:pPr>
            <w:r>
              <w:rPr>
                <w:rFonts w:ascii="Times New Roman" w:hAnsi="Times New Roman" w:cs="Times New Roman" w:eastAsia="Times New Roman"/>
                <w:sz w:val="22"/>
              </w:rPr>
              <w:t xml:space="preserve">2,0³</w:t>
            </w:r>
          </w:p>
        </w:tc>
        <w:tc>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ROE</w:t>
            </w:r>
          </w:p>
        </w:tc>
        <w:tc>
          <w:tcPr/>
          <w:p>
            <w:pPr>
              <w:pStyle w:val="Compact"/>
              <w:spacing w:line="240" w:lineRule="auto"/>
              <w:ind w:firstLine="0"/>
              <w:jc w:val="left"/>
            </w:pPr>
            <w:r>
              <w:rPr>
                <w:rFonts w:ascii="Times New Roman" w:hAnsi="Times New Roman" w:cs="Times New Roman" w:eastAsia="Times New Roman"/>
                <w:sz w:val="22"/>
              </w:rPr>
              <w:t xml:space="preserve">~6</w:t>
            </w:r>
          </w:p>
        </w:tc>
        <w:tc>
          <w:tcPr/>
          <w:p>
            <w:pPr>
              <w:pStyle w:val="Compact"/>
              <w:spacing w:line="240" w:lineRule="auto"/>
              <w:ind w:firstLine="0"/>
              <w:jc w:val="left"/>
            </w:pPr>
            <w:r>
              <w:rPr>
                <w:rFonts w:ascii="Times New Roman" w:hAnsi="Times New Roman" w:cs="Times New Roman" w:eastAsia="Times New Roman"/>
                <w:sz w:val="22"/>
              </w:rPr>
              <w:t xml:space="preserve">13,3</w:t>
            </w:r>
          </w:p>
        </w:tc>
        <w:tc>
          <w:tcPr/>
          <w:p>
            <w:pPr>
              <w:pStyle w:val="Compact"/>
              <w:spacing w:line="240" w:lineRule="auto"/>
              <w:ind w:firstLine="0"/>
              <w:jc w:val="left"/>
            </w:pPr>
            <w:r>
              <w:rPr>
                <w:rFonts w:ascii="Times New Roman" w:hAnsi="Times New Roman" w:cs="Times New Roman" w:eastAsia="Times New Roman"/>
                <w:sz w:val="22"/>
              </w:rPr>
              <w:t xml:space="preserve">14,2</w:t>
            </w:r>
          </w:p>
        </w:tc>
        <w:tc>
          <w:tcPr/>
          <w:p>
            <w:pPr>
              <w:pStyle w:val="Compact"/>
              <w:spacing w:line="240" w:lineRule="auto"/>
              <w:ind w:firstLine="0"/>
              <w:jc w:val="left"/>
            </w:pPr>
            <w:r>
              <w:rPr>
                <w:rFonts w:ascii="Times New Roman" w:hAnsi="Times New Roman" w:cs="Times New Roman" w:eastAsia="Times New Roman"/>
                <w:sz w:val="22"/>
              </w:rPr>
              <w:t xml:space="preserve">10,1³</w:t>
            </w:r>
          </w:p>
        </w:tc>
        <w:tc>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p>
            <w:pPr>
              <w:pStyle w:val="Compact"/>
              <w:spacing w:line="240" w:lineRule="auto"/>
              <w:ind w:firstLine="0"/>
              <w:jc w:val="left"/>
            </w:pPr>
            <w:r>
              <w:rPr>
                <w:iCs/>
                <w:rFonts w:ascii="Times New Roman" w:hAnsi="Times New Roman" w:cs="Times New Roman" w:eastAsia="Times New Roman"/>
                <w:i/>
                <w:sz w:val="22"/>
              </w:rPr>
              <w:t xml:space="preserve">Likvidlik</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LCR</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211,6</w:t>
            </w:r>
          </w:p>
        </w:tc>
        <w:tc>
          <w:tcPr/>
          <w:p>
            <w:pPr>
              <w:pStyle w:val="Compact"/>
              <w:spacing w:line="240" w:lineRule="auto"/>
              <w:ind w:firstLine="0"/>
              <w:jc w:val="left"/>
            </w:pPr>
            <w:r>
              <w:rPr>
                <w:rFonts w:ascii="Times New Roman" w:hAnsi="Times New Roman" w:cs="Times New Roman" w:eastAsia="Times New Roman"/>
                <w:sz w:val="22"/>
              </w:rPr>
              <w:t xml:space="preserve">164,8</w:t>
            </w:r>
          </w:p>
        </w:tc>
        <w:tc>
          <w:tcPr/>
          <w:p>
            <w:pPr>
              <w:pStyle w:val="Compact"/>
              <w:spacing w:line="240" w:lineRule="auto"/>
              <w:ind w:firstLine="0"/>
              <w:jc w:val="left"/>
            </w:pPr>
            <w:r>
              <w:rPr>
                <w:rFonts w:ascii="Times New Roman" w:hAnsi="Times New Roman" w:cs="Times New Roman" w:eastAsia="Times New Roman"/>
                <w:sz w:val="22"/>
              </w:rPr>
              <w:t xml:space="preserve">194</w:t>
            </w:r>
          </w:p>
        </w:tc>
        <w:tc>
          <w:tcPr/>
          <w:p>
            <w:pPr>
              <w:pStyle w:val="Compact"/>
              <w:spacing w:line="240" w:lineRule="auto"/>
              <w:ind w:firstLine="0"/>
              <w:jc w:val="left"/>
            </w:pPr>
            <w:r>
              <w:rPr>
                <w:rFonts w:ascii="Times New Roman" w:hAnsi="Times New Roman" w:cs="Times New Roman" w:eastAsia="Times New Roman"/>
                <w:sz w:val="22"/>
              </w:rPr>
              <w:t xml:space="preserve">195⁴</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NSFR</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115,6</w:t>
            </w:r>
          </w:p>
        </w:tc>
        <w:tc>
          <w:tcPr/>
          <w:p>
            <w:pPr>
              <w:pStyle w:val="Compact"/>
              <w:spacing w:line="240" w:lineRule="auto"/>
              <w:ind w:firstLine="0"/>
              <w:jc w:val="left"/>
            </w:pPr>
            <w:r>
              <w:rPr>
                <w:rFonts w:ascii="Times New Roman" w:hAnsi="Times New Roman" w:cs="Times New Roman" w:eastAsia="Times New Roman"/>
                <w:sz w:val="22"/>
              </w:rPr>
              <w:t xml:space="preserve">111,8</w:t>
            </w:r>
          </w:p>
        </w:tc>
        <w:tc>
          <w:tcPr/>
          <w:p>
            <w:pPr>
              <w:pStyle w:val="Compact"/>
              <w:spacing w:line="240" w:lineRule="auto"/>
              <w:ind w:firstLine="0"/>
              <w:jc w:val="left"/>
            </w:pPr>
            <w:r>
              <w:rPr>
                <w:rFonts w:ascii="Times New Roman" w:hAnsi="Times New Roman" w:cs="Times New Roman" w:eastAsia="Times New Roman"/>
                <w:sz w:val="22"/>
              </w:rPr>
              <w:t xml:space="preserve">115</w:t>
            </w:r>
          </w:p>
        </w:tc>
        <w:tc>
          <w:tcPr/>
          <w:p>
            <w:pPr>
              <w:pStyle w:val="Compact"/>
              <w:spacing w:line="240" w:lineRule="auto"/>
              <w:ind w:firstLine="0"/>
              <w:jc w:val="left"/>
            </w:pPr>
            <w:r>
              <w:rPr>
                <w:rFonts w:ascii="Times New Roman" w:hAnsi="Times New Roman" w:cs="Times New Roman" w:eastAsia="Times New Roman"/>
                <w:sz w:val="22"/>
              </w:rPr>
              <w:t xml:space="preserve">117⁴</w:t>
            </w:r>
          </w:p>
        </w:tc>
      </w:tr>
      <w:tr>
        <w:trPr>
          <w:cantSplit/>
        </w:trPr>
        <w:tc>
          <w:tcPr/>
          <w:p>
            <w:pPr>
              <w:pStyle w:val="Compact"/>
              <w:spacing w:line="240" w:lineRule="auto"/>
              <w:ind w:firstLine="0"/>
              <w:jc w:val="left"/>
            </w:pPr>
            <w:r>
              <w:rPr>
                <w:iCs/>
                <w:rFonts w:ascii="Times New Roman" w:hAnsi="Times New Roman" w:cs="Times New Roman" w:eastAsia="Times New Roman"/>
                <w:i/>
                <w:sz w:val="22"/>
              </w:rPr>
              <w:t xml:space="preserve">Valyuta riski</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p>
            <w:pPr>
              <w:pStyle w:val="Compact"/>
              <w:spacing w:line="240" w:lineRule="auto"/>
              <w:ind w:firstLine="0"/>
              <w:jc w:val="left"/>
            </w:pPr>
            <w:r>
              <w:rPr>
                <w:rFonts w:ascii="Times New Roman" w:hAnsi="Times New Roman" w:cs="Times New Roman" w:eastAsia="Times New Roman"/>
                <w:sz w:val="22"/>
              </w:rPr>
              <w:t xml:space="preserve">47⁵</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42⁶</w:t>
            </w:r>
          </w:p>
        </w:tc>
        <w:tc>
          <w:tcPr/>
          <w:p>
            <w:pPr>
              <w:pStyle w:val="Compact"/>
              <w:spacing w:line="240" w:lineRule="auto"/>
              <w:ind w:firstLine="0"/>
              <w:jc w:val="left"/>
            </w:pPr>
            <w:r>
              <w:rPr>
                <w:rFonts w:ascii="Times New Roman" w:hAnsi="Times New Roman" w:cs="Times New Roman" w:eastAsia="Times New Roman"/>
                <w:sz w:val="22"/>
              </w:rPr>
              <w:t xml:space="preserve">–</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Depozitlarning dollarlashuvi</w:t>
            </w:r>
          </w:p>
        </w:tc>
        <w:tc>
          <w:tcPr/>
          <w:p>
            <w:pPr>
              <w:pStyle w:val="Compact"/>
              <w:spacing w:line="240" w:lineRule="auto"/>
              <w:ind w:firstLine="0"/>
              <w:jc w:val="left"/>
            </w:pPr>
            <w:r>
              <w:rPr>
                <w:rFonts w:ascii="Times New Roman" w:hAnsi="Times New Roman" w:cs="Times New Roman" w:eastAsia="Times New Roman"/>
                <w:sz w:val="22"/>
              </w:rPr>
              <w:t xml:space="preserve">40⁵</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30⁶</w:t>
            </w:r>
          </w:p>
        </w:tc>
        <w:tc>
          <w:tcPr/>
          <w:p>
            <w:pPr>
              <w:pStyle w:val="Compact"/>
              <w:spacing w:line="240" w:lineRule="auto"/>
              <w:ind w:firstLine="0"/>
              <w:jc w:val="left"/>
            </w:pPr>
            <w:r>
              <w:rPr>
                <w:rFonts w:ascii="Times New Roman" w:hAnsi="Times New Roman" w:cs="Times New Roman" w:eastAsia="Times New Roman"/>
                <w:sz w:val="22"/>
              </w:rPr>
              <w:t xml:space="preserve">–</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¹ 2021-yil III chorak (eng yuqori nuqta); ² 2024-yil oktabr; ³ 2024-yil iyun; ⁴ 2025-yil I yarim; ⁵ 2021-yil boshi; ⁶ 2024-yil 1-iyun; «–» – ochiq manbalarda ma’lumot topilmadi.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daromadlilik 2021-yildagi pasayishdan keyin tiklangan, rasmiy muammoli kreditlar ulushi esa 2021-yildagi eng yuqori nuqtadan sezilarli pasaygan. Biroq quyida ko‘rsatilganidek, ayrim ko‘rsatkichlarning chuqurroq tahlili bu umumiy manzaradagi muhim risklarni ochib beradi.</w:t>
      </w:r>
    </w:p>
    <w:bookmarkEnd w:id="30"/>
    <w:bookmarkStart w:id="39" w:name="kapital-yetarliligi"/>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3. Kapital yetarliligi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 bank tizimining kapital yetarliligi ko‘rsatkichlari 2020-yildan buyon barqaror ravishda 17 foizdan yuqori bo‘lib, 13 foizlik regulyativ minimumdan ancha oshib turibdi</w:t>
      </w:r>
      <w:r>
        <w:rPr>
          <w:rStyle w:val="FootnoteReference"/>
        </w:rPr>
        <w:footnoteReference w:id="31"/>
      </w:r>
      <w:r>
        <w:rPr>
          <w:rFonts w:ascii="Times New Roman" w:hAnsi="Times New Roman" w:cs="Times New Roman" w:eastAsia="Times New Roman"/>
          <w:sz w:val="28"/>
        </w:rPr>
        <w:t xml:space="preserve">. Regulyativ kapitalning risk bo‘yicha tortilgan aktivlarga nisbati 2022-yilda 17,8 foizni, 2023-yilda 17,5 foizni, 2024-yilda 17 foizni, 2025-yil oxirida esa 18,3 foizni tashkil etgan. Asosiy kapital (CET1) ko‘rsatkichi 2022-yilda 14,4 foiz, 2023-yilda 14,1 foiz, 2025-yil oxirida 14,7 foiz bo‘lgan</w:t>
      </w:r>
      <w:r>
        <w:rPr>
          <w:rStyle w:val="FootnoteReference"/>
        </w:rPr>
        <w:footnoteReference w:id="3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700000"/>
            <wp:effectExtent l="0" t="0" r="0" b="0"/>
            <wp:docPr id="1002" name="2.2.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33"/>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darajada: Bazel III da jami kapital uchun 8 foiz (konservatsiya buferi bilan 10,5 foiz), asosiy kapital uchun 4,5 foiz minimum belgilangan</w:t>
      </w:r>
      <w:r>
        <w:rPr>
          <w:rStyle w:val="FootnoteReference"/>
        </w:rPr>
        <w:footnoteReference w:id="34"/>
      </w:r>
      <w:r>
        <w:rPr>
          <w:rFonts w:ascii="Times New Roman" w:hAnsi="Times New Roman" w:cs="Times New Roman" w:eastAsia="Times New Roman"/>
          <w:sz w:val="28"/>
        </w:rPr>
        <w:t xml:space="preserve">. CAMELS tizimida eng yuqori, 1-reyting kapital koeffitsiyentlari 4 va 8 foizlik chegaralardan «ancha yuqori» bo‘lganda beriladi</w:t>
      </w:r>
      <w:r>
        <w:rPr>
          <w:rStyle w:val="FootnoteReference"/>
        </w:rPr>
        <w:footnoteReference w:id="35"/>
      </w:r>
      <w:r>
        <w:rPr>
          <w:rFonts w:ascii="Times New Roman" w:hAnsi="Times New Roman" w:cs="Times New Roman" w:eastAsia="Times New Roman"/>
          <w:sz w:val="28"/>
        </w:rPr>
        <w:t xml:space="preserve">. Demak, rasmiy ko‘rsatkichlar bo‘yicha O‘zbekiston bank tizimi kapital yetarliligi xalqaro mezonlarning eng yuqori toifasiga mos keladi.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uchta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36"/>
      </w:r>
      <w:r>
        <w:rPr>
          <w:rFonts w:ascii="Times New Roman" w:hAnsi="Times New Roman" w:cs="Times New Roman" w:eastAsia="Times New Roman"/>
          <w:sz w:val="28"/>
        </w:rPr>
        <w:t xml:space="preserve">. Ikkinchidan, kapital ko‘rsatkichlari aktivlar sifati to‘g‘ri baholangan taqdirdagina ishonchli bo‘ladi; FSAP esa aktivlar sifati kamsitib ko‘rsatilishi va ko‘plab banklar, ayniqsa davlat banklari uchun katta qayta kapitallashtirish zarurati paydo bo‘lishi mumkinligini qayd etgan</w:t>
      </w:r>
      <w:r>
        <w:rPr>
          <w:rStyle w:val="FootnoteReference"/>
        </w:rPr>
        <w:footnoteReference w:id="37"/>
      </w:r>
      <w:r>
        <w:rPr>
          <w:rFonts w:ascii="Times New Roman" w:hAnsi="Times New Roman" w:cs="Times New Roman" w:eastAsia="Times New Roman"/>
          <w:sz w:val="28"/>
        </w:rPr>
        <w:t xml:space="preserve">. Uchinchidan, Markaziy bankning stress-testlari salbiy ssenariyda CET1 ko‘rsatkichi 2028-yil oxirigacha 5,6 foizgacha, jami kapital monandligi 6,8 foizgacha pasayishi mumkinligini ko‘rsatgan</w:t>
      </w:r>
      <w:r>
        <w:rPr>
          <w:rStyle w:val="FootnoteReference"/>
        </w:rPr>
        <w:footnoteReference w:id="38"/>
      </w:r>
      <w:r>
        <w:rPr>
          <w:rFonts w:ascii="Times New Roman" w:hAnsi="Times New Roman" w:cs="Times New Roman" w:eastAsia="Times New Roman"/>
          <w:sz w:val="28"/>
        </w:rPr>
        <w:t xml:space="preserve">.</w:t>
      </w:r>
    </w:p>
    <w:bookmarkEnd w:id="39"/>
    <w:bookmarkStart w:id="52" w:name="aktivlar-sifati"/>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4. Aktivlar sifati</w:t>
      </w:r>
    </w:p>
    <w:p>
      <w:pPr>
        <w:pStyle w:val="FirstParagraph"/>
        <w:spacing w:line="360" w:lineRule="auto" w:before="0" w:after="0"/>
        <w:ind w:firstLine="709"/>
        <w:jc w:val="both"/>
      </w:pPr>
      <w:r>
        <w:rPr>
          <w:rFonts w:ascii="Times New Roman" w:hAnsi="Times New Roman" w:cs="Times New Roman" w:eastAsia="Times New Roman"/>
          <w:sz w:val="28"/>
        </w:rPr>
        <w:t xml:space="preserve">Aktivlar sifati – O‘zbekiston bank tizimi moliyaviy barqarorligining eng zaif va eng munozarali bo‘g‘ini. Rasmiy muammoli kreditlar (NPL) ulushi pandemiya davrida keskin oshib, 2021-yil avgustida 6,2 foizga yetgan</w:t>
      </w:r>
      <w:r>
        <w:rPr>
          <w:rStyle w:val="FootnoteReference"/>
        </w:rPr>
        <w:footnoteReference w:id="40"/>
      </w:r>
      <w:r>
        <w:rPr>
          <w:rFonts w:ascii="Times New Roman" w:hAnsi="Times New Roman" w:cs="Times New Roman" w:eastAsia="Times New Roman"/>
          <w:sz w:val="28"/>
        </w:rPr>
        <w:t xml:space="preserve">, keyin pasayib, 2022–2023-yillarda 3,5 foiz atrofida saqlangan</w:t>
      </w:r>
      <w:r>
        <w:rPr>
          <w:rStyle w:val="FootnoteReference"/>
        </w:rPr>
        <w:footnoteReference w:id="41"/>
      </w:r>
      <w:r>
        <w:rPr>
          <w:rFonts w:ascii="Times New Roman" w:hAnsi="Times New Roman" w:cs="Times New Roman" w:eastAsia="Times New Roman"/>
          <w:sz w:val="28"/>
        </w:rPr>
        <w:t xml:space="preserve">. 2024-yil oktabrida bu ko‘rsatkich 4,2 foizni, 2025-yil birinchi yarmida 3,8 foizni</w:t>
      </w:r>
      <w:r>
        <w:rPr>
          <w:rStyle w:val="FootnoteReference"/>
        </w:rPr>
        <w:footnoteReference w:id="42"/>
      </w:r>
      <w:r>
        <w:rPr>
          <w:rFonts w:ascii="Times New Roman" w:hAnsi="Times New Roman" w:cs="Times New Roman" w:eastAsia="Times New Roman"/>
          <w:sz w:val="28"/>
        </w:rPr>
        <w:t xml:space="preserve">, 2026-yil 1-iyulda 3,6 foizni tashkil etgan</w:t>
      </w:r>
      <w:r>
        <w:rPr>
          <w:rStyle w:val="FootnoteReference"/>
        </w:rPr>
        <w:footnoteReference w:id="4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Biroq rasmiy NPL ko‘rsatkichi kredit riskini to‘liq aks ettirmaydi. Markaziy bank ma’lumotlariga ko‘ra, nostandart va muammoli kreditlarning umumiy ulushi 2022-yil oxirida 15,9 foizni tashkil etib, bir yilda 3,4 foiz punktga oshgan</w:t>
      </w:r>
      <w:r>
        <w:rPr>
          <w:rStyle w:val="FootnoteReference"/>
        </w:rPr>
        <w:footnoteReference w:id="44"/>
      </w:r>
      <w:r>
        <w:rPr>
          <w:rFonts w:ascii="Times New Roman" w:hAnsi="Times New Roman" w:cs="Times New Roman" w:eastAsia="Times New Roman"/>
          <w:sz w:val="28"/>
        </w:rPr>
        <w:t xml:space="preserve">, 2023-yilda esa deyarli 20 foizga yetgan</w:t>
      </w:r>
      <w:r>
        <w:rPr>
          <w:rStyle w:val="FootnoteReference"/>
        </w:rPr>
        <w:footnoteReference w:id="45"/>
      </w:r>
      <w:r>
        <w:rPr>
          <w:rFonts w:ascii="Times New Roman" w:hAnsi="Times New Roman" w:cs="Times New Roman" w:eastAsia="Times New Roman"/>
          <w:sz w:val="28"/>
        </w:rPr>
        <w:t xml:space="preserve">. Jahon banki ma’lumotlariga ko‘ra, 2023-yil oxirida MHXS 9 bo‘yicha 3-bosqichdagi (qadrsizlangan) kreditlar ulushi 7,8 foizni tashkil etgan, ya’ni rasmiy NPL ko‘rsatkichidan deyarli ikki baravar yuqori bo‘lgan</w:t>
      </w:r>
      <w:r>
        <w:rPr>
          <w:rStyle w:val="FootnoteReference"/>
        </w:rPr>
        <w:footnoteReference w:id="4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880000"/>
            <wp:effectExtent l="0" t="0" r="0" b="0"/>
            <wp:docPr id="1003" name="2.2.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47"/>
      </w:r>
    </w:p>
    <w:p>
      <w:pPr>
        <w:pStyle w:val="BodyText"/>
        <w:spacing w:line="360" w:lineRule="auto" w:before="0" w:after="0"/>
        <w:ind w:firstLine="709"/>
        <w:jc w:val="both"/>
      </w:pPr>
      <w:r>
        <w:rPr>
          <w:rFonts w:ascii="Times New Roman" w:hAnsi="Times New Roman" w:cs="Times New Roman" w:eastAsia="Times New Roman"/>
          <w:sz w:val="28"/>
        </w:rPr>
        <w:t xml:space="preserve">Rasmiy NPL va MHXS 9 bo‘yicha 3-bosqich kreditlari o‘rtasidagi farq 2.1-paragrafda ko‘rsatilgan metodologik muammolar – muammoli kredit ta’rifining torligi, restrukturizatsiya qilingan kreditlarni qayta tasniflash qoidalarining yumshoqligi bilan bevosita bog‘liq. Bundan tashqari, FSAP jadvaliga ko‘ra, muammoli kreditlarning zaxiralar bilan qoplanish darajasi 45,4 foizni tashkil etgan</w:t>
      </w:r>
      <w:r>
        <w:rPr>
          <w:rStyle w:val="FootnoteReference"/>
        </w:rPr>
        <w:footnoteReference w:id="48"/>
      </w:r>
      <w:r>
        <w:rPr>
          <w:rFonts w:ascii="Times New Roman" w:hAnsi="Times New Roman" w:cs="Times New Roman" w:eastAsia="Times New Roman"/>
          <w:sz w:val="28"/>
        </w:rPr>
        <w:t xml:space="preserve">, bu esa muammoli kreditlarning yarmidan ko‘pi zaxiralar bilan qoplanmaganini anglatadi.</w:t>
      </w:r>
    </w:p>
    <w:p>
      <w:pPr>
        <w:pStyle w:val="BodyText"/>
        <w:spacing w:line="360" w:lineRule="auto" w:before="0" w:after="0"/>
        <w:ind w:firstLine="709"/>
        <w:jc w:val="both"/>
      </w:pPr>
      <w:r>
        <w:rPr>
          <w:rFonts w:ascii="Times New Roman" w:hAnsi="Times New Roman" w:cs="Times New Roman" w:eastAsia="Times New Roman"/>
          <w:sz w:val="28"/>
        </w:rPr>
        <w:t xml:space="preserve">Xalqaro mezonlar bilan solishtirganda, rasmiy NPL ko‘rsatkichi (3,5–4,2 foiz) qoniqarli ko‘rinadi. O.I. Lavrushin va I.D. Mamonova erta ogohlantirish signallari qatorida umidsiz kreditlar ulushining 5 foizdan oshishini keltiradi</w:t>
      </w:r>
      <w:r>
        <w:rPr>
          <w:rStyle w:val="FootnoteReference"/>
        </w:rPr>
        <w:footnoteReference w:id="49"/>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50"/>
      </w:r>
      <w:r>
        <w:rPr>
          <w:rFonts w:ascii="Times New Roman" w:hAnsi="Times New Roman" w:cs="Times New Roman" w:eastAsia="Times New Roman"/>
          <w:sz w:val="28"/>
        </w:rPr>
        <w:t xml:space="preserve">. Rasmiy ko‘rsatkich birinchi chegaradan pastda, MHXS 9 bo‘yicha 3-bosqich kreditlari (7,8 foiz) esa birinchi chegaradan yuqori. Nostandart va muammoli kreditlarning umumiy ulushi (taxminan 20 foiz)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Uy xo‘jaliklari kreditlash segmentida ham risklar to‘planmoqda. 2024-yilda uy xo‘jaliklarining qarzga xizmat ko‘rsatish yuki daromadlarining 34 foizini tashkil etgan, jami kreditlarning 40 foizi esa bu ko‘rsatkich 50 foizdan oshgan qarz oluvchilarga berilgan</w:t>
      </w:r>
      <w:r>
        <w:rPr>
          <w:rStyle w:val="FootnoteReference"/>
        </w:rPr>
        <w:footnoteReference w:id="51"/>
      </w:r>
      <w:r>
        <w:rPr>
          <w:rFonts w:ascii="Times New Roman" w:hAnsi="Times New Roman" w:cs="Times New Roman" w:eastAsia="Times New Roman"/>
          <w:sz w:val="28"/>
        </w:rPr>
        <w:t xml:space="preserve">.</w:t>
      </w:r>
    </w:p>
    <w:bookmarkEnd w:id="52"/>
    <w:bookmarkStart w:id="62" w:name="daromadlilik"/>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5. Daromadlilik</w:t>
      </w:r>
    </w:p>
    <w:p>
      <w:pPr>
        <w:pStyle w:val="FirstParagraph"/>
        <w:spacing w:line="360" w:lineRule="auto" w:before="0" w:after="0"/>
        <w:ind w:firstLine="709"/>
        <w:jc w:val="both"/>
      </w:pPr>
      <w:r>
        <w:rPr>
          <w:rFonts w:ascii="Times New Roman" w:hAnsi="Times New Roman" w:cs="Times New Roman" w:eastAsia="Times New Roman"/>
          <w:sz w:val="28"/>
        </w:rPr>
        <w:t xml:space="preserve">Bank tizimining daromadlilik ko‘rsatkichlari 2021-yilda keskin pasaygan: ROE 2020-yildagi taxminan 10 foizdan 2021-yilda taxminan 6 foizgacha tushgan</w:t>
      </w:r>
      <w:r>
        <w:rPr>
          <w:rStyle w:val="FootnoteReference"/>
        </w:rPr>
        <w:footnoteReference w:id="53"/>
      </w:r>
      <w:r>
        <w:rPr>
          <w:rFonts w:ascii="Times New Roman" w:hAnsi="Times New Roman" w:cs="Times New Roman" w:eastAsia="Times New Roman"/>
          <w:sz w:val="28"/>
        </w:rPr>
        <w:t xml:space="preserve">, ROA esa 1,3 foizni tashkil etgan. 2022-yilda daromadlilik tiklanib, ROA 2,5 foizga (bir yilda 1,2 foiz punktga) oshgan</w:t>
      </w:r>
      <w:r>
        <w:rPr>
          <w:rStyle w:val="FootnoteReference"/>
        </w:rPr>
        <w:footnoteReference w:id="54"/>
      </w:r>
      <w:r>
        <w:rPr>
          <w:rFonts w:ascii="Times New Roman" w:hAnsi="Times New Roman" w:cs="Times New Roman" w:eastAsia="Times New Roman"/>
          <w:sz w:val="28"/>
        </w:rPr>
        <w:t xml:space="preserve">, ROE 13,3 foizga yetgan; 2023-yilda ROA 2,6 foizni, ROE 14,2 foizni tashkil etgan</w:t>
      </w:r>
      <w:r>
        <w:rPr>
          <w:rStyle w:val="FootnoteReference"/>
        </w:rPr>
        <w:footnoteReference w:id="55"/>
      </w:r>
      <w:r>
        <w:rPr>
          <w:rFonts w:ascii="Times New Roman" w:hAnsi="Times New Roman" w:cs="Times New Roman" w:eastAsia="Times New Roman"/>
          <w:sz w:val="28"/>
        </w:rPr>
        <w:t xml:space="preserve">. 2024-yilda nofoiz xarajatlarning oshishi natijasida daromadlilik yana pasaygan</w:t>
      </w:r>
      <w:r>
        <w:rPr>
          <w:rStyle w:val="FootnoteReference"/>
        </w:rPr>
        <w:footnoteReference w:id="56"/>
      </w:r>
      <w:r>
        <w:rPr>
          <w:rFonts w:ascii="Times New Roman" w:hAnsi="Times New Roman" w:cs="Times New Roman" w:eastAsia="Times New Roman"/>
          <w:sz w:val="28"/>
        </w:rPr>
        <w:t xml:space="preserve">: 2024-yil iyun holatiga ROA 2 foizni, ROE 10,1 foizni tashkil etgan</w:t>
      </w:r>
      <w:r>
        <w:rPr>
          <w:rStyle w:val="FootnoteReference"/>
        </w:rPr>
        <w:footnoteReference w:id="57"/>
      </w:r>
      <w:r>
        <w:rPr>
          <w:rFonts w:ascii="Times New Roman" w:hAnsi="Times New Roman" w:cs="Times New Roman" w:eastAsia="Times New Roman"/>
          <w:sz w:val="28"/>
        </w:rPr>
        <w:t xml:space="preserve">. 2025-yilda ko‘rsatkichlar qisman tiklangan: birinchi yarimda ROA 2 foiz, ROE 10,8 foiz</w:t>
      </w:r>
      <w:r>
        <w:rPr>
          <w:rStyle w:val="FootnoteReference"/>
        </w:rPr>
        <w:footnoteReference w:id="58"/>
      </w:r>
      <w:r>
        <w:rPr>
          <w:rFonts w:ascii="Times New Roman" w:hAnsi="Times New Roman" w:cs="Times New Roman" w:eastAsia="Times New Roman"/>
          <w:sz w:val="28"/>
        </w:rPr>
        <w:t xml:space="preserve">, yil oxirida ROA 2,2 foiz, ROE 12,4 foiz bo‘lgan</w:t>
      </w:r>
      <w:r>
        <w:rPr>
          <w:rStyle w:val="FootnoteReference"/>
        </w:rPr>
        <w:footnoteReference w:id="5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700000"/>
            <wp:effectExtent l="0" t="0" r="0" b="0"/>
            <wp:docPr id="1004" name="2.2.4-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(ROA) va kapital (ROE) rentabelligi dinamikasi, %</w:t>
      </w:r>
      <w:r>
        <w:rPr>
          <w:rStyle w:val="FootnoteReference"/>
        </w:rPr>
        <w:footnoteReference w:id="60"/>
      </w:r>
    </w:p>
    <w:p>
      <w:pPr>
        <w:pStyle w:val="BodyText"/>
        <w:spacing w:line="360" w:lineRule="auto" w:before="0" w:after="0"/>
        <w:ind w:firstLine="709"/>
        <w:jc w:val="both"/>
      </w:pPr>
      <w:r>
        <w:rPr>
          <w:rFonts w:ascii="Times New Roman" w:hAnsi="Times New Roman" w:cs="Times New Roman" w:eastAsia="Times New Roman"/>
          <w:sz w:val="28"/>
        </w:rPr>
        <w:t xml:space="preserve">Xalqaro mezonlar bo‘yicha ROA ko‘rsatkichi yuqori: CAMELS tizimida ROA 1 foizdan yuqori bo‘lganda daromadlilik eng yuqori, 1-reyting bilan baholanadi</w:t>
      </w:r>
      <w:r>
        <w:rPr>
          <w:rStyle w:val="FootnoteReference"/>
        </w:rPr>
        <w:footnoteReference w:id="61"/>
      </w:r>
      <w:r>
        <w:rPr>
          <w:rFonts w:ascii="Times New Roman" w:hAnsi="Times New Roman" w:cs="Times New Roman" w:eastAsia="Times New Roman"/>
          <w:sz w:val="28"/>
        </w:rPr>
        <w:t xml:space="preserve">. Biroq ROA ning yuqoriligi qisman kapitalning yuqori darajasi va yuqori foiz stavkalari muhiti bilan izohlanadi. ROA va ROE o‘rtasidagi nisbatning pastligi (leverej taxminan 5–6 baravar) bank tizimining yuqori kapitallashganini ko‘rsatadi. Shuningdek, daromadlilikning yillar bo‘yicha sezilarli tebranishi bank tizimi daromadlarining makroiqtisodiy sharoit va xarajatlarga sezgirligidan dalolat beradi.</w:t>
      </w:r>
    </w:p>
    <w:bookmarkEnd w:id="62"/>
    <w:bookmarkStart w:id="70" w:name="likvidlik"/>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6. Likvidlik</w:t>
      </w:r>
    </w:p>
    <w:p>
      <w:pPr>
        <w:pStyle w:val="FirstParagraph"/>
        <w:spacing w:line="360" w:lineRule="auto" w:before="0" w:after="0"/>
        <w:ind w:firstLine="709"/>
        <w:jc w:val="both"/>
      </w:pPr>
      <w:r>
        <w:rPr>
          <w:rFonts w:ascii="Times New Roman" w:hAnsi="Times New Roman" w:cs="Times New Roman" w:eastAsia="Times New Roman"/>
          <w:sz w:val="28"/>
        </w:rPr>
        <w:t xml:space="preserve">Likvidlik ko‘rsatkichlari bo‘yicha O‘zbekiston bank tizimi xalqaro talablarni katta zaxira bilan bajaradi. LCR 2022-yilda 211,6 foizni, 2023-yilda 164,8 foizni</w:t>
      </w:r>
      <w:r>
        <w:rPr>
          <w:rStyle w:val="FootnoteReference"/>
        </w:rPr>
        <w:footnoteReference w:id="63"/>
      </w:r>
      <w:r>
        <w:rPr>
          <w:rFonts w:ascii="Times New Roman" w:hAnsi="Times New Roman" w:cs="Times New Roman" w:eastAsia="Times New Roman"/>
          <w:sz w:val="28"/>
        </w:rPr>
        <w:t xml:space="preserve">, 2024-yilda 194 foizni</w:t>
      </w:r>
      <w:r>
        <w:rPr>
          <w:rStyle w:val="FootnoteReference"/>
        </w:rPr>
        <w:footnoteReference w:id="64"/>
      </w:r>
      <w:r>
        <w:rPr>
          <w:rFonts w:ascii="Times New Roman" w:hAnsi="Times New Roman" w:cs="Times New Roman" w:eastAsia="Times New Roman"/>
          <w:sz w:val="28"/>
        </w:rPr>
        <w:t xml:space="preserve">, 2025-yil birinchi yarmida 195 foizni tashkil etgan; NSFR mos ravishda 115,6; 111,8; 115 va 117 foiz bo‘lgan</w:t>
      </w:r>
      <w:r>
        <w:rPr>
          <w:rStyle w:val="FootnoteReference"/>
        </w:rPr>
        <w:footnoteReference w:id="65"/>
      </w:r>
      <w:r>
        <w:rPr>
          <w:rFonts w:ascii="Times New Roman" w:hAnsi="Times New Roman" w:cs="Times New Roman" w:eastAsia="Times New Roman"/>
          <w:sz w:val="28"/>
        </w:rPr>
        <w:t xml:space="preserve">. 2025-yil birinchi yarmida yuqori likvidli aktivlar jami aktivlarning 18 foizini tashkil etgan</w:t>
      </w:r>
      <w:r>
        <w:rPr>
          <w:rStyle w:val="FootnoteReference"/>
        </w:rPr>
        <w:footnoteReference w:id="6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(2.2.5-rasm).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700000"/>
            <wp:effectExtent l="0" t="0" r="0" b="0"/>
            <wp:docPr id="1005" name="2.2.5-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O‘zbekiston bank tizimida likvidlik koeffitsiyentlari, %</w:t>
      </w:r>
      <w:r>
        <w:rPr>
          <w:rStyle w:val="FootnoteReference"/>
        </w:rPr>
        <w:footnoteReference w:id="67"/>
      </w:r>
    </w:p>
    <w:p>
      <w:pPr>
        <w:pStyle w:val="BodyText"/>
        <w:spacing w:line="360" w:lineRule="auto" w:before="0" w:after="0"/>
        <w:ind w:firstLine="709"/>
        <w:jc w:val="both"/>
      </w:pPr>
      <w:r>
        <w:rPr>
          <w:rFonts w:ascii="Times New Roman" w:hAnsi="Times New Roman" w:cs="Times New Roman" w:eastAsia="Times New Roman"/>
          <w:sz w:val="28"/>
        </w:rPr>
        <w:t xml:space="preserve">Bazel III bo‘yicha LCR va NSFR uchun minimal talab 100 foiz</w:t>
      </w:r>
      <w:r>
        <w:rPr>
          <w:rStyle w:val="FootnoteReference"/>
        </w:rPr>
        <w:footnoteReference w:id="68"/>
      </w:r>
      <w:r>
        <w:rPr>
          <w:rFonts w:ascii="Times New Roman" w:hAnsi="Times New Roman" w:cs="Times New Roman" w:eastAsia="Times New Roman"/>
          <w:sz w:val="28"/>
        </w:rPr>
        <w:t xml:space="preserve">, ya’ni amaldagi ko‘rsatkichlar bu talabdan 1,1–2,1 baravar yuqori. Ammo 2023-yilda LCR ning 211,6 foizdan 164,8 foizgacha pasayishi likvidlik zaxirasining tez qisqarishi mumkinligini ko‘rsatdi. Bundan tashqari, FSAP jadvalida kreditlarning depozitlarga nisbati 172,7 foiz deb qayd etilgan</w:t>
      </w:r>
      <w:r>
        <w:rPr>
          <w:rStyle w:val="FootnoteReference"/>
        </w:rPr>
        <w:footnoteReference w:id="69"/>
      </w:r>
      <w:r>
        <w:rPr>
          <w:rFonts w:ascii="Times New Roman" w:hAnsi="Times New Roman" w:cs="Times New Roman" w:eastAsia="Times New Roman"/>
          <w:sz w:val="28"/>
        </w:rPr>
        <w:t xml:space="preserve">. Bu bank tizimi kreditlarni moliyalashda depozitlardan tashqari tashqi qarzlar va davlat resurslariga sezilarli darajada tayanishini anglatadi. Bunday tuzilma xalqaro moliya bozorlari sharoiti yomonlashganda moliyalash riskini oshiradi. 2.1-paragrafda ko‘rsatilganidek, LCR va NSFR ning ayrim elementlari hali Bazel III ga to‘liq moslashtirilmagan, shuning uchun bu koeffitsiyentlarning xalqaro taqqoslanuvchanligi cheklangan.</w:t>
      </w:r>
    </w:p>
    <w:bookmarkEnd w:id="70"/>
    <w:bookmarkStart w:id="78" w:name="bozor-valyuta-riskiga-sezgirlik"/>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7. Bozor (valyuta) riskiga sezgirlik</w:t>
      </w:r>
    </w:p>
    <w:p>
      <w:pPr>
        <w:pStyle w:val="FirstParagraph"/>
        <w:spacing w:line="360" w:lineRule="auto" w:before="0" w:after="0"/>
        <w:ind w:firstLine="709"/>
        <w:jc w:val="both"/>
      </w:pPr>
      <w:r>
        <w:rPr>
          <w:rFonts w:ascii="Times New Roman" w:hAnsi="Times New Roman" w:cs="Times New Roman" w:eastAsia="Times New Roman"/>
          <w:sz w:val="28"/>
        </w:rPr>
        <w:t xml:space="preserve">O‘zbekiston bank tizimi uchun valyuta riski alohida ahamiyatga ega, chunki kreditlar va depozitlarning katta qismi xorijiy valyutada. Xorijiy valyutadagi kreditlar ulushi 2017-yildagi 62,3 foizdan 2020-yilda 49,9 foizgacha, depozitlarning dollarlashuvi esa 48,4 foizdan 43,1 foizgacha pasaygan</w:t>
      </w:r>
      <w:r>
        <w:rPr>
          <w:rStyle w:val="FootnoteReference"/>
        </w:rPr>
        <w:footnoteReference w:id="71"/>
      </w:r>
      <w:r>
        <w:rPr>
          <w:rFonts w:ascii="Times New Roman" w:hAnsi="Times New Roman" w:cs="Times New Roman" w:eastAsia="Times New Roman"/>
          <w:sz w:val="28"/>
        </w:rPr>
        <w:t xml:space="preserve">. Keyingi yillarda bu jarayon davom etib, 2021-yil boshidan 2024-yil 1-iyungacha kreditlar dollarlashuvi 47 foizdan 42 foizgacha, depozitlar dollarlashuvi esa 40 foizdan 30 foizgacha kamaygan</w:t>
      </w:r>
      <w:r>
        <w:rPr>
          <w:rStyle w:val="FootnoteReference"/>
        </w:rPr>
        <w:footnoteReference w:id="7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(2.2.6-rasm). Markaziy bank bu jarayonni xorijiy valyutadagi depozitlar bo‘yicha majburiy zaxira normasini 2021-yilda 18 foizgacha oshirish orqali rag‘batlantirgan va 2024-yil iyunida uni 14 foizgacha pasaytirgan</w:t>
      </w:r>
      <w:r>
        <w:rPr>
          <w:rStyle w:val="FootnoteReference"/>
        </w:rPr>
        <w:footnoteReference w:id="73"/>
      </w:r>
      <w:r>
        <w:rPr>
          <w:rFonts w:ascii="Times New Roman" w:hAnsi="Times New Roman" w:cs="Times New Roman" w:eastAsia="Times New Roman"/>
          <w:sz w:val="28"/>
        </w:rPr>
        <w:t xml:space="preserve">.</w:t>
      </w:r>
    </w:p>
    <w:p>
      <w:pPr>
        <w:pStyle w:val="BodyText"/>
        <w:keepNext/>
        <w:spacing w:line="240" w:lineRule="auto" w:before="0" w:after="0"/>
        <w:ind w:firstLine="0"/>
        <w:jc w:val="center"/>
      </w:pPr>
      <w:r xmlns:c="http://schemas.openxmlformats.org/drawingml/2006/chart">
        <w:rPr>
          <w:noProof/>
        </w:rPr>
        <w:drawing>
          <wp:inline distT="0" distB="0" distL="0" distR="0">
            <wp:extent cx="5580000" cy="2700000"/>
            <wp:effectExtent l="0" t="0" r="0" b="0"/>
            <wp:docPr id="1006" name="2.2.6-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O‘zbekiston bank tizimida dollarlashuv darajasi, %</w:t>
      </w:r>
      <w:r>
        <w:rPr>
          <w:rStyle w:val="FootnoteReference"/>
        </w:rPr>
        <w:footnoteReference w:id="74"/>
      </w:r>
    </w:p>
    <w:p>
      <w:pPr>
        <w:pStyle w:val="BodyText"/>
        <w:spacing w:line="360" w:lineRule="auto" w:before="0" w:after="0"/>
        <w:ind w:firstLine="709"/>
        <w:jc w:val="both"/>
      </w:pPr>
      <w:r>
        <w:rPr>
          <w:rFonts w:ascii="Times New Roman" w:hAnsi="Times New Roman" w:cs="Times New Roman" w:eastAsia="Times New Roman"/>
          <w:sz w:val="28"/>
        </w:rPr>
        <w:t xml:space="preserve">Dollarlashuvning pasayishi ijobiy tendensiya, ammo uning darajasi hali ham yuqori. FSAP ma’lumotlariga ko‘ra, xorijiy valyutadagi kreditlar jami kreditlarning 42,9 foizini tashkil etadi, bunda davlat banklarida bu ko‘rsatkich 48,3 foiz, xususiy banklarda 33,1 foiz</w:t>
      </w:r>
      <w:r>
        <w:rPr>
          <w:rStyle w:val="FootnoteReference"/>
        </w:rPr>
        <w:footnoteReference w:id="75"/>
      </w:r>
      <w:r>
        <w:rPr>
          <w:rFonts w:ascii="Times New Roman" w:hAnsi="Times New Roman" w:cs="Times New Roman" w:eastAsia="Times New Roman"/>
          <w:sz w:val="28"/>
        </w:rPr>
        <w:t xml:space="preserve">. XVJ korporativ mijozlarga valyuta riskidan himoyalanmagan kreditlarning katta hajmi tufayli sezilarli valyuta bilan bog‘liq kredit riski mavjudligini qayd etgan</w:t>
      </w:r>
      <w:r>
        <w:rPr>
          <w:rStyle w:val="FootnoteReference"/>
        </w:rPr>
        <w:footnoteReference w:id="76"/>
      </w:r>
      <w:r>
        <w:rPr>
          <w:rFonts w:ascii="Times New Roman" w:hAnsi="Times New Roman" w:cs="Times New Roman" w:eastAsia="Times New Roman"/>
          <w:sz w:val="28"/>
        </w:rPr>
        <w:t xml:space="preserve">. Kreditlar va depozitlar dollarlashuvi o‘rtasidagi farq (42 va 30 foiz) bank tizimi xorijiy valyutadagi kreditlarni qisman tashqi qarzlar hisobidan moliyalashini ko‘rsatadi. Rivojlanayotgan mamlakatlar banklari uchun xorijiy valyutadagi likvidlik xalqaro reyting modellarida ham eng muhim sifat omillaridan biri sifatida qaraladi</w:t>
      </w:r>
      <w:r>
        <w:rPr>
          <w:rStyle w:val="FootnoteReference"/>
        </w:rPr>
        <w:footnoteReference w:id="77"/>
      </w:r>
      <w:r>
        <w:rPr>
          <w:rFonts w:ascii="Times New Roman" w:hAnsi="Times New Roman" w:cs="Times New Roman" w:eastAsia="Times New Roman"/>
          <w:sz w:val="28"/>
        </w:rPr>
        <w:t xml:space="preserve">.</w:t>
      </w:r>
    </w:p>
    <w:bookmarkEnd w:id="78"/>
    <w:bookmarkStart w:id="80" w:name="Xa725ea9b546029d4f4ffd3f6409d3f987f63983"/>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8. Ko‘rsatkichlarning xalqaro mezonlar bo‘yicha umumlashtirilgan bahosi</w:t>
      </w:r>
    </w:p>
    <w:p>
      <w:pPr>
        <w:pStyle w:val="FirstParagraph"/>
        <w:spacing w:line="360" w:lineRule="auto" w:before="0" w:after="0"/>
        <w:ind w:firstLine="709"/>
        <w:jc w:val="both"/>
      </w:pPr>
      <w:r>
        <w:rPr>
          <w:rFonts w:ascii="Times New Roman" w:hAnsi="Times New Roman" w:cs="Times New Roman" w:eastAsia="Times New Roman"/>
          <w:sz w:val="28"/>
        </w:rPr>
        <w:t xml:space="preserve">Yuqoridagi tahlil natijalari 2.2.2-jadvalda umumlashtirilgan. Unda har bir ko‘rsatkichning so‘nggi qiymati tegishli xalqaro mezon bilan solishtirilib, baholangan.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 moliyaviy barqarorlik ko‘rsatkichlarining xalqaro mezonlar bo‘yicha bahosi</w:t>
      </w:r>
      <w:r>
        <w:rPr>
          <w:rStyle w:val="FootnoteReference"/>
        </w:rPr>
        <w:footnoteReference w:id="79"/>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Yo‘nalish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So‘nggi qiymat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w:t>
            </w:r>
          </w:p>
        </w:tc>
        <w:tc>
          <w:tcPr/>
          <w:p>
            <w:pPr>
              <w:pStyle w:val="Compact"/>
              <w:spacing w:line="240" w:lineRule="auto"/>
              <w:ind w:firstLine="0"/>
              <w:jc w:val="left"/>
            </w:pPr>
            <w:r>
              <w:rPr>
                <w:rFonts w:ascii="Times New Roman" w:hAnsi="Times New Roman" w:cs="Times New Roman" w:eastAsia="Times New Roman"/>
                <w:sz w:val="22"/>
              </w:rPr>
              <w:t xml:space="preserve">Regulyativ kapital / RWA</w:t>
            </w:r>
          </w:p>
        </w:tc>
        <w:tc>
          <w:tcPr/>
          <w:p>
            <w:pPr>
              <w:pStyle w:val="Compact"/>
              <w:spacing w:line="240" w:lineRule="auto"/>
              <w:ind w:firstLine="0"/>
              <w:jc w:val="left"/>
            </w:pPr>
            <w:r>
              <w:rPr>
                <w:rFonts w:ascii="Times New Roman" w:hAnsi="Times New Roman" w:cs="Times New Roman" w:eastAsia="Times New Roman"/>
                <w:sz w:val="22"/>
              </w:rPr>
              <w:t xml:space="preserve">18,3% (2025)</w:t>
            </w:r>
          </w:p>
        </w:tc>
        <w:tc>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p>
            <w:pPr>
              <w:pStyle w:val="Compact"/>
              <w:spacing w:line="240" w:lineRule="auto"/>
              <w:ind w:firstLine="0"/>
              <w:jc w:val="left"/>
            </w:pPr>
            <w:r>
              <w:rPr>
                <w:rFonts w:ascii="Times New Roman" w:hAnsi="Times New Roman" w:cs="Times New Roman" w:eastAsia="Times New Roman"/>
                <w:sz w:val="22"/>
              </w:rPr>
              <w:t xml:space="preserve">Yuqori, ammo kapital sifati to‘liq mos emas</w:t>
            </w:r>
          </w:p>
        </w:tc>
      </w:tr>
      <w:tr>
        <w:trPr>
          <w:cantSplit/>
        </w:trPr>
        <w:tc>
          <w:tcPr/>
          <w:p>
            <w:pPr>
              <w:pStyle w:val="Compact"/>
              <w:spacing w:line="240" w:lineRule="auto"/>
              <w:ind w:firstLine="0"/>
              <w:jc w:val="left"/>
            </w:pPr>
          </w:p>
        </w:tc>
        <w:tc>
          <w:tcPr/>
          <w:p>
            <w:pPr>
              <w:pStyle w:val="Compact"/>
              <w:spacing w:line="240" w:lineRule="auto"/>
              <w:ind w:firstLine="0"/>
              <w:jc w:val="left"/>
            </w:pPr>
            <w:r>
              <w:rPr>
                <w:rFonts w:ascii="Times New Roman" w:hAnsi="Times New Roman" w:cs="Times New Roman" w:eastAsia="Times New Roman"/>
                <w:sz w:val="22"/>
              </w:rPr>
              <w:t xml:space="preserve">CET1 / RWA</w:t>
            </w:r>
          </w:p>
        </w:tc>
        <w:tc>
          <w:tcPr/>
          <w:p>
            <w:pPr>
              <w:pStyle w:val="Compact"/>
              <w:spacing w:line="240" w:lineRule="auto"/>
              <w:ind w:firstLine="0"/>
              <w:jc w:val="left"/>
            </w:pPr>
            <w:r>
              <w:rPr>
                <w:rFonts w:ascii="Times New Roman" w:hAnsi="Times New Roman" w:cs="Times New Roman" w:eastAsia="Times New Roman"/>
                <w:sz w:val="22"/>
              </w:rPr>
              <w:t xml:space="preserve">14,7% (2025)</w:t>
            </w:r>
          </w:p>
        </w:tc>
        <w:tc>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p>
            <w:pPr>
              <w:pStyle w:val="Compact"/>
              <w:spacing w:line="240" w:lineRule="auto"/>
              <w:ind w:firstLine="0"/>
              <w:jc w:val="left"/>
            </w:pPr>
            <w:r>
              <w:rPr>
                <w:rFonts w:ascii="Times New Roman" w:hAnsi="Times New Roman" w:cs="Times New Roman" w:eastAsia="Times New Roman"/>
                <w:sz w:val="22"/>
              </w:rPr>
              <w:t xml:space="preserve">Rasmiy NPL</w:t>
            </w:r>
          </w:p>
        </w:tc>
        <w:tc>
          <w:tcPr/>
          <w:p>
            <w:pPr>
              <w:pStyle w:val="Compact"/>
              <w:spacing w:line="240" w:lineRule="auto"/>
              <w:ind w:firstLine="0"/>
              <w:jc w:val="left"/>
            </w:pPr>
            <w:r>
              <w:rPr>
                <w:rFonts w:ascii="Times New Roman" w:hAnsi="Times New Roman" w:cs="Times New Roman" w:eastAsia="Times New Roman"/>
                <w:sz w:val="22"/>
              </w:rPr>
              <w:t xml:space="preserve">3,6–4,1% (2025–2026)</w:t>
            </w:r>
          </w:p>
        </w:tc>
        <w:tc>
          <w:tcPr/>
          <w:p>
            <w:pPr>
              <w:pStyle w:val="Compact"/>
              <w:spacing w:line="240" w:lineRule="auto"/>
              <w:ind w:firstLine="0"/>
              <w:jc w:val="left"/>
            </w:pPr>
            <w:r>
              <w:rPr>
                <w:rFonts w:ascii="Times New Roman" w:hAnsi="Times New Roman" w:cs="Times New Roman" w:eastAsia="Times New Roman"/>
                <w:sz w:val="22"/>
              </w:rPr>
              <w:t xml:space="preserve">&lt; 5% (erta ogohlantirish signali)</w:t>
            </w:r>
          </w:p>
        </w:tc>
        <w:tc>
          <w:tcPr/>
          <w:p>
            <w:pPr>
              <w:pStyle w:val="Compact"/>
              <w:spacing w:line="240" w:lineRule="auto"/>
              <w:ind w:firstLine="0"/>
              <w:jc w:val="left"/>
            </w:pPr>
            <w:r>
              <w:rPr>
                <w:rFonts w:ascii="Times New Roman" w:hAnsi="Times New Roman" w:cs="Times New Roman" w:eastAsia="Times New Roman"/>
                <w:sz w:val="22"/>
              </w:rPr>
              <w:t xml:space="preserve">Qoniqarli</w:t>
            </w:r>
          </w:p>
        </w:tc>
      </w:tr>
      <w:tr>
        <w:trPr>
          <w:cantSplit/>
        </w:trPr>
        <w:tc>
          <w:tcPr/>
          <w:p>
            <w:pPr>
              <w:pStyle w:val="Compact"/>
              <w:spacing w:line="240" w:lineRule="auto"/>
              <w:ind w:firstLine="0"/>
              <w:jc w:val="left"/>
            </w:pPr>
          </w:p>
        </w:tc>
        <w:tc>
          <w:tcPr/>
          <w:p>
            <w:pPr>
              <w:pStyle w:val="Compact"/>
              <w:spacing w:line="240" w:lineRule="auto"/>
              <w:ind w:firstLine="0"/>
              <w:jc w:val="left"/>
            </w:pPr>
            <w:r>
              <w:rPr>
                <w:rFonts w:ascii="Times New Roman" w:hAnsi="Times New Roman" w:cs="Times New Roman" w:eastAsia="Times New Roman"/>
                <w:sz w:val="22"/>
              </w:rPr>
              <w:t xml:space="preserve">MHXS 9 bo‘yicha 3-bosqich kreditlari</w:t>
            </w:r>
          </w:p>
        </w:tc>
        <w:tc>
          <w:tcPr/>
          <w:p>
            <w:pPr>
              <w:pStyle w:val="Compact"/>
              <w:spacing w:line="240" w:lineRule="auto"/>
              <w:ind w:firstLine="0"/>
              <w:jc w:val="left"/>
            </w:pPr>
            <w:r>
              <w:rPr>
                <w:rFonts w:ascii="Times New Roman" w:hAnsi="Times New Roman" w:cs="Times New Roman" w:eastAsia="Times New Roman"/>
                <w:sz w:val="22"/>
              </w:rPr>
              <w:t xml:space="preserve">7,8% (2023)</w:t>
            </w:r>
          </w:p>
        </w:tc>
        <w:tc>
          <w:tcPr/>
          <w:p>
            <w:pPr>
              <w:pStyle w:val="Compact"/>
              <w:spacing w:line="240" w:lineRule="auto"/>
              <w:ind w:firstLine="0"/>
              <w:jc w:val="left"/>
            </w:pPr>
            <w:r>
              <w:rPr>
                <w:rFonts w:ascii="Times New Roman" w:hAnsi="Times New Roman" w:cs="Times New Roman" w:eastAsia="Times New Roman"/>
                <w:sz w:val="22"/>
              </w:rPr>
              <w:t xml:space="preserve">&lt; 5%</w:t>
            </w:r>
          </w:p>
        </w:tc>
        <w:tc>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p>
            <w:pPr>
              <w:pStyle w:val="Compact"/>
              <w:spacing w:line="240" w:lineRule="auto"/>
              <w:ind w:firstLine="0"/>
              <w:jc w:val="left"/>
            </w:pPr>
          </w:p>
        </w:tc>
        <w:tc>
          <w:tcPr/>
          <w:p>
            <w:pPr>
              <w:pStyle w:val="Compact"/>
              <w:spacing w:line="240" w:lineRule="auto"/>
              <w:ind w:firstLine="0"/>
              <w:jc w:val="left"/>
            </w:pPr>
            <w:r>
              <w:rPr>
                <w:rFonts w:ascii="Times New Roman" w:hAnsi="Times New Roman" w:cs="Times New Roman" w:eastAsia="Times New Roman"/>
                <w:sz w:val="22"/>
              </w:rPr>
              <w:t xml:space="preserve">Nostandart va muammoli kreditlar</w:t>
            </w:r>
          </w:p>
        </w:tc>
        <w:tc>
          <w:tcPr/>
          <w:p>
            <w:pPr>
              <w:pStyle w:val="Compact"/>
              <w:spacing w:line="240" w:lineRule="auto"/>
              <w:ind w:firstLine="0"/>
              <w:jc w:val="left"/>
            </w:pPr>
            <w:r>
              <w:rPr>
                <w:rFonts w:ascii="Times New Roman" w:hAnsi="Times New Roman" w:cs="Times New Roman" w:eastAsia="Times New Roman"/>
                <w:sz w:val="22"/>
              </w:rPr>
              <w:t xml:space="preserve">~20% (2023)</w:t>
            </w:r>
          </w:p>
        </w:tc>
        <w:tc>
          <w:tcPr/>
          <w:p>
            <w:pPr>
              <w:pStyle w:val="Compact"/>
              <w:spacing w:line="240" w:lineRule="auto"/>
              <w:ind w:firstLine="0"/>
              <w:jc w:val="left"/>
            </w:pPr>
            <w:r>
              <w:rPr>
                <w:rFonts w:ascii="Times New Roman" w:hAnsi="Times New Roman" w:cs="Times New Roman" w:eastAsia="Times New Roman"/>
                <w:sz w:val="22"/>
              </w:rPr>
              <w:t xml:space="preserve">&lt; 10% (salbiy vaziyat darakchisi)</w:t>
            </w:r>
          </w:p>
        </w:tc>
        <w:tc>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p>
            <w:pPr>
              <w:pStyle w:val="Compact"/>
              <w:spacing w:line="240" w:lineRule="auto"/>
              <w:ind w:firstLine="0"/>
              <w:jc w:val="left"/>
            </w:pPr>
          </w:p>
        </w:tc>
        <w:tc>
          <w:tcPr/>
          <w:p>
            <w:pPr>
              <w:pStyle w:val="Compact"/>
              <w:spacing w:line="240" w:lineRule="auto"/>
              <w:ind w:firstLine="0"/>
              <w:jc w:val="left"/>
            </w:pPr>
            <w:r>
              <w:rPr>
                <w:rFonts w:ascii="Times New Roman" w:hAnsi="Times New Roman" w:cs="Times New Roman" w:eastAsia="Times New Roman"/>
                <w:sz w:val="22"/>
              </w:rPr>
              <w:t xml:space="preserve">Zaxiralar / NPL</w:t>
            </w:r>
          </w:p>
        </w:tc>
        <w:tc>
          <w:tcPr/>
          <w:p>
            <w:pPr>
              <w:pStyle w:val="Compact"/>
              <w:spacing w:line="240" w:lineRule="auto"/>
              <w:ind w:firstLine="0"/>
              <w:jc w:val="left"/>
            </w:pPr>
            <w:r>
              <w:rPr>
                <w:rFonts w:ascii="Times New Roman" w:hAnsi="Times New Roman" w:cs="Times New Roman" w:eastAsia="Times New Roman"/>
                <w:sz w:val="22"/>
              </w:rPr>
              <w:t xml:space="preserve">45,4% (FSAP)</w:t>
            </w:r>
          </w:p>
        </w:tc>
        <w:tc>
          <w:tcPr/>
          <w:p>
            <w:pPr>
              <w:pStyle w:val="Compact"/>
              <w:spacing w:line="240" w:lineRule="auto"/>
              <w:ind w:firstLine="0"/>
              <w:jc w:val="left"/>
            </w:pPr>
            <w:r>
              <w:rPr>
                <w:rFonts w:ascii="Times New Roman" w:hAnsi="Times New Roman" w:cs="Times New Roman" w:eastAsia="Times New Roman"/>
                <w:sz w:val="22"/>
              </w:rPr>
              <w:t xml:space="preserve">Yuqori qoplanish</w:t>
            </w:r>
          </w:p>
        </w:tc>
        <w:tc>
          <w:tcPr/>
          <w:p>
            <w:pPr>
              <w:pStyle w:val="Compact"/>
              <w:spacing w:line="240" w:lineRule="auto"/>
              <w:ind w:firstLine="0"/>
              <w:jc w:val="left"/>
            </w:pPr>
            <w:r>
              <w:rPr>
                <w:rFonts w:ascii="Times New Roman" w:hAnsi="Times New Roman" w:cs="Times New Roman" w:eastAsia="Times New Roman"/>
                <w:sz w:val="22"/>
              </w:rPr>
              <w:t xml:space="preserve">Past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Daromadlilik</w:t>
            </w:r>
          </w:p>
        </w:tc>
        <w:tc>
          <w:tcPr/>
          <w:p>
            <w:pPr>
              <w:pStyle w:val="Compact"/>
              <w:spacing w:line="240" w:lineRule="auto"/>
              <w:ind w:firstLine="0"/>
              <w:jc w:val="left"/>
            </w:pPr>
            <w:r>
              <w:rPr>
                <w:rFonts w:ascii="Times New Roman" w:hAnsi="Times New Roman" w:cs="Times New Roman" w:eastAsia="Times New Roman"/>
                <w:sz w:val="22"/>
              </w:rPr>
              <w:t xml:space="preserve">ROA</w:t>
            </w:r>
          </w:p>
        </w:tc>
        <w:tc>
          <w:tcPr/>
          <w:p>
            <w:pPr>
              <w:pStyle w:val="Compact"/>
              <w:spacing w:line="240" w:lineRule="auto"/>
              <w:ind w:firstLine="0"/>
              <w:jc w:val="left"/>
            </w:pPr>
            <w:r>
              <w:rPr>
                <w:rFonts w:ascii="Times New Roman" w:hAnsi="Times New Roman" w:cs="Times New Roman" w:eastAsia="Times New Roman"/>
                <w:sz w:val="22"/>
              </w:rPr>
              <w:t xml:space="preserve">2,2% (2025)</w:t>
            </w:r>
          </w:p>
        </w:tc>
        <w:tc>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p>
            <w:pPr>
              <w:pStyle w:val="Compact"/>
              <w:spacing w:line="240" w:lineRule="auto"/>
              <w:ind w:firstLine="0"/>
              <w:jc w:val="left"/>
            </w:pPr>
            <w:r>
              <w:rPr>
                <w:rFonts w:ascii="Times New Roman" w:hAnsi="Times New Roman" w:cs="Times New Roman" w:eastAsia="Times New Roman"/>
                <w:sz w:val="22"/>
              </w:rPr>
              <w:t xml:space="preserve">Yuqori, lekin beqaror</w:t>
            </w:r>
          </w:p>
        </w:tc>
      </w:tr>
      <w:tr>
        <w:trPr>
          <w:cantSplit/>
        </w:trPr>
        <w:tc>
          <w:tcPr/>
          <w:p>
            <w:pPr>
              <w:pStyle w:val="Compact"/>
              <w:spacing w:line="240" w:lineRule="auto"/>
              <w:ind w:firstLine="0"/>
              <w:jc w:val="left"/>
            </w:pPr>
          </w:p>
        </w:tc>
        <w:tc>
          <w:tcPr/>
          <w:p>
            <w:pPr>
              <w:pStyle w:val="Compact"/>
              <w:spacing w:line="240" w:lineRule="auto"/>
              <w:ind w:firstLine="0"/>
              <w:jc w:val="left"/>
            </w:pPr>
            <w:r>
              <w:rPr>
                <w:rFonts w:ascii="Times New Roman" w:hAnsi="Times New Roman" w:cs="Times New Roman" w:eastAsia="Times New Roman"/>
                <w:sz w:val="22"/>
              </w:rPr>
              <w:t xml:space="preserve">ROE</w:t>
            </w:r>
          </w:p>
        </w:tc>
        <w:tc>
          <w:tcPr/>
          <w:p>
            <w:pPr>
              <w:pStyle w:val="Compact"/>
              <w:spacing w:line="240" w:lineRule="auto"/>
              <w:ind w:firstLine="0"/>
              <w:jc w:val="left"/>
            </w:pPr>
            <w:r>
              <w:rPr>
                <w:rFonts w:ascii="Times New Roman" w:hAnsi="Times New Roman" w:cs="Times New Roman" w:eastAsia="Times New Roman"/>
                <w:sz w:val="22"/>
              </w:rPr>
              <w:t xml:space="preserve">12,4% (2025)</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O‘rtacha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w:t>
            </w:r>
          </w:p>
        </w:tc>
        <w:tc>
          <w:tcPr/>
          <w:p>
            <w:pPr>
              <w:pStyle w:val="Compact"/>
              <w:spacing w:line="240" w:lineRule="auto"/>
              <w:ind w:firstLine="0"/>
              <w:jc w:val="left"/>
            </w:pPr>
            <w:r>
              <w:rPr>
                <w:rFonts w:ascii="Times New Roman" w:hAnsi="Times New Roman" w:cs="Times New Roman" w:eastAsia="Times New Roman"/>
                <w:sz w:val="22"/>
              </w:rPr>
              <w:t xml:space="preserve">LCR</w:t>
            </w:r>
          </w:p>
        </w:tc>
        <w:tc>
          <w:tcPr/>
          <w:p>
            <w:pPr>
              <w:pStyle w:val="Compact"/>
              <w:spacing w:line="240" w:lineRule="auto"/>
              <w:ind w:firstLine="0"/>
              <w:jc w:val="left"/>
            </w:pPr>
            <w:r>
              <w:rPr>
                <w:rFonts w:ascii="Times New Roman" w:hAnsi="Times New Roman" w:cs="Times New Roman" w:eastAsia="Times New Roman"/>
                <w:sz w:val="22"/>
              </w:rPr>
              <w:t xml:space="preserve">195% (2025 I yarim)</w:t>
            </w:r>
          </w:p>
        </w:tc>
        <w:tc>
          <w:tcPr/>
          <w:p>
            <w:pPr>
              <w:pStyle w:val="Compact"/>
              <w:spacing w:line="240" w:lineRule="auto"/>
              <w:ind w:firstLine="0"/>
              <w:jc w:val="left"/>
            </w:pPr>
            <w:r>
              <w:rPr>
                <w:rFonts w:ascii="Times New Roman" w:hAnsi="Times New Roman" w:cs="Times New Roman" w:eastAsia="Times New Roman"/>
                <w:sz w:val="22"/>
              </w:rPr>
              <w:t xml:space="preserve">≥ 100% (Bazel III)</w:t>
            </w:r>
          </w:p>
        </w:tc>
        <w:tc>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p>
            <w:pPr>
              <w:pStyle w:val="Compact"/>
              <w:spacing w:line="240" w:lineRule="auto"/>
              <w:ind w:firstLine="0"/>
              <w:jc w:val="left"/>
            </w:pPr>
          </w:p>
        </w:tc>
        <w:tc>
          <w:tcPr/>
          <w:p>
            <w:pPr>
              <w:pStyle w:val="Compact"/>
              <w:spacing w:line="240" w:lineRule="auto"/>
              <w:ind w:firstLine="0"/>
              <w:jc w:val="left"/>
            </w:pPr>
            <w:r>
              <w:rPr>
                <w:rFonts w:ascii="Times New Roman" w:hAnsi="Times New Roman" w:cs="Times New Roman" w:eastAsia="Times New Roman"/>
                <w:sz w:val="22"/>
              </w:rPr>
              <w:t xml:space="preserve">NSFR</w:t>
            </w:r>
          </w:p>
        </w:tc>
        <w:tc>
          <w:tcPr/>
          <w:p>
            <w:pPr>
              <w:pStyle w:val="Compact"/>
              <w:spacing w:line="240" w:lineRule="auto"/>
              <w:ind w:firstLine="0"/>
              <w:jc w:val="left"/>
            </w:pPr>
            <w:r>
              <w:rPr>
                <w:rFonts w:ascii="Times New Roman" w:hAnsi="Times New Roman" w:cs="Times New Roman" w:eastAsia="Times New Roman"/>
                <w:sz w:val="22"/>
              </w:rPr>
              <w:t xml:space="preserve">117% (2025 I yarim)</w:t>
            </w:r>
          </w:p>
        </w:tc>
        <w:tc>
          <w:tcPr/>
          <w:p>
            <w:pPr>
              <w:pStyle w:val="Compact"/>
              <w:spacing w:line="240" w:lineRule="auto"/>
              <w:ind w:firstLine="0"/>
              <w:jc w:val="left"/>
            </w:pPr>
            <w:r>
              <w:rPr>
                <w:rFonts w:ascii="Times New Roman" w:hAnsi="Times New Roman" w:cs="Times New Roman" w:eastAsia="Times New Roman"/>
                <w:sz w:val="22"/>
              </w:rPr>
              <w:t xml:space="preserve">≥ 100% (Bazel III)</w:t>
            </w:r>
          </w:p>
        </w:tc>
        <w:tc>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p>
            <w:pPr>
              <w:pStyle w:val="Compact"/>
              <w:spacing w:line="240" w:lineRule="auto"/>
              <w:ind w:firstLine="0"/>
              <w:jc w:val="left"/>
            </w:pPr>
          </w:p>
        </w:tc>
        <w:tc>
          <w:tcPr/>
          <w:p>
            <w:pPr>
              <w:pStyle w:val="Compact"/>
              <w:spacing w:line="240" w:lineRule="auto"/>
              <w:ind w:firstLine="0"/>
              <w:jc w:val="left"/>
            </w:pPr>
            <w:r>
              <w:rPr>
                <w:rFonts w:ascii="Times New Roman" w:hAnsi="Times New Roman" w:cs="Times New Roman" w:eastAsia="Times New Roman"/>
                <w:sz w:val="22"/>
              </w:rPr>
              <w:t xml:space="preserve">Kreditlar / depozitlar</w:t>
            </w:r>
          </w:p>
        </w:tc>
        <w:tc>
          <w:tcPr/>
          <w:p>
            <w:pPr>
              <w:pStyle w:val="Compact"/>
              <w:spacing w:line="240" w:lineRule="auto"/>
              <w:ind w:firstLine="0"/>
              <w:jc w:val="left"/>
            </w:pPr>
            <w:r>
              <w:rPr>
                <w:rFonts w:ascii="Times New Roman" w:hAnsi="Times New Roman" w:cs="Times New Roman" w:eastAsia="Times New Roman"/>
                <w:sz w:val="22"/>
              </w:rPr>
              <w:t xml:space="preserve">172,7% (FSAP)</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Yuqori risk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Valyuta riski</w:t>
            </w:r>
          </w:p>
        </w:tc>
        <w:tc>
          <w:tcPr/>
          <w:p>
            <w:pPr>
              <w:pStyle w:val="Compact"/>
              <w:spacing w:line="240" w:lineRule="auto"/>
              <w:ind w:firstLine="0"/>
              <w:jc w:val="left"/>
            </w:pPr>
            <w:r>
              <w:rPr>
                <w:rFonts w:ascii="Times New Roman" w:hAnsi="Times New Roman" w:cs="Times New Roman" w:eastAsia="Times New Roman"/>
                <w:sz w:val="22"/>
              </w:rPr>
              <w:t xml:space="preserve">Valyuta kreditlari ulushi</w:t>
            </w:r>
          </w:p>
        </w:tc>
        <w:tc>
          <w:tcPr/>
          <w:p>
            <w:pPr>
              <w:pStyle w:val="Compact"/>
              <w:spacing w:line="240" w:lineRule="auto"/>
              <w:ind w:firstLine="0"/>
              <w:jc w:val="left"/>
            </w:pPr>
            <w:r>
              <w:rPr>
                <w:rFonts w:ascii="Times New Roman" w:hAnsi="Times New Roman" w:cs="Times New Roman" w:eastAsia="Times New Roman"/>
                <w:sz w:val="22"/>
              </w:rPr>
              <w:t xml:space="preserve">42–43%</w:t>
            </w:r>
          </w:p>
        </w:tc>
        <w:tc>
          <w:tcPr/>
          <w:p>
            <w:pPr>
              <w:pStyle w:val="Compact"/>
              <w:spacing w:line="240" w:lineRule="auto"/>
              <w:ind w:firstLine="0"/>
              <w:jc w:val="left"/>
            </w:pPr>
            <w:r>
              <w:rPr>
                <w:rFonts w:ascii="Times New Roman" w:hAnsi="Times New Roman" w:cs="Times New Roman" w:eastAsia="Times New Roman"/>
                <w:sz w:val="22"/>
              </w:rPr>
              <w:t xml:space="preserve">Past bo‘lishi ma’qul</w:t>
            </w:r>
          </w:p>
        </w:tc>
        <w:tc>
          <w:tcPr/>
          <w:p>
            <w:pPr>
              <w:pStyle w:val="Compact"/>
              <w:spacing w:line="240" w:lineRule="auto"/>
              <w:ind w:firstLine="0"/>
              <w:jc w:val="left"/>
            </w:pPr>
            <w:r>
              <w:rPr>
                <w:rFonts w:ascii="Times New Roman" w:hAnsi="Times New Roman" w:cs="Times New Roman" w:eastAsia="Times New Roman"/>
                <w:sz w:val="22"/>
              </w:rPr>
              <w:t xml:space="preserve">Yuqori risk, kamaymoqda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ko‘rinadiki, O‘zbekiston bank tizimi moliyaviy barqarorligi ko‘rsatkichlari ikki guruhga bo‘linadi. Birinchi guruh – kapital, likvidlik koeffitsiyentlari va ROA – rasmiy qiymatlar bo‘yicha xalqaro mezonlardan yuqori. Ikkinchi guruh – aktivlar sifati (MHXS 9 bo‘yicha va kengaytirilgan ta’rifda), zaxiralar bilan qoplanish, kreditlarning depozitlarga nisbati va dollarlashuv – xalqaro mezonlarga mos emas yoki yuqori riskni ko‘rsatadi.</w:t>
      </w:r>
    </w:p>
    <w:p>
      <w:pPr>
        <w:pStyle w:val="BodyText"/>
        <w:spacing w:line="360" w:lineRule="auto" w:before="0" w:after="0"/>
        <w:ind w:firstLine="709"/>
        <w:jc w:val="both"/>
      </w:pPr>
      <w:r>
        <w:rPr>
          <w:rFonts w:ascii="Times New Roman" w:hAnsi="Times New Roman" w:cs="Times New Roman" w:eastAsia="Times New Roman"/>
          <w:sz w:val="28"/>
        </w:rPr>
        <w:t xml:space="preserve">Bu natija muhim metodologik xulosaga olib keladi. Alohida ko‘rsatkichlar turli yo‘nalishda signal beradi: kapital va likvidlik bo‘yicha «yuqori barqarorlik», aktivlar sifati va moliyalash tuzilmasi bo‘yicha esa «yuqori risk». Bunday ziddiyatli manzarada alohida koeffitsiyentlar asosida yagona xulosa chiqarish qiyin. Shuning uchun ko‘rsatkichlarni mezoniy qiymatlar bilan solishtirib, vaznlar asosida yagona integral bahoga keltiruvchi metodika zarur.</w:t>
      </w:r>
    </w:p>
    <w:bookmarkEnd w:id="80"/>
    <w:bookmarkStart w:id="81" w:name="paragraf-boyicha-xulosa"/>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Paragraf bo‘yicha xulosa</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2021–2025-yillarda O‘zbekiston bank tizimi jadal o‘sdi, davlat banklarining aktivlardagi ulushi 84 foizdan 62–67 foizgacha pasaydi, ammo ular hali ham tizimda ustun.</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Kapital yetarliligi (17–18 foiz) va likvidlik koeffitsiyentlari (LCR 165–212 foiz, NSFR 112–117 foiz) rasmiy qiymatlar bo‘yicha Bazel III talablaridan ancha yuqori. ROA (2–2,6 foiz) ham CAMELS tizimining eng yuqori toifasiga mos keladi, ammo yillar bo‘yicha beqaror.</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Aktivlar sifati – eng zaif bo‘g‘in. Rasmiy NPL (3,5–4,2 foiz) xalqaro ogohlantirish chegarasidan past bo‘lsa-da, MHXS 9 bo‘yicha 3-bosqich kreditlari (7,8 foiz) va nostandart hamda muammoli kreditlarning umumiy ulushi (taxminan 20 foiz) bu chegaralardan ancha yuqori, zaxiralar bilan qoplanish esa past.</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Valyuta riski pasaymoqda, lekin yuqoriligicha qolmoqda: kreditlarning 42–43 foizi xorijiy valyutada, davlat banklarida bu ko‘rsatkich 48 foizdan oshadi. Kreditlarning depozitlarga yuqori nisbati moliyalash riskini oshiradi.</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Ko‘rsatkichlarning turli yo‘nalishdagi signallari va rasmiy hamda MHXS bo‘yicha qiymatlar o‘rtasidagi farq alohida koeffitsiyentlar asosidagi baholashning cheklanganligini ko‘rsatadi. Bu dissertatsiyaning III bobida taklif etiladigan, xalqaro mezonlarga asoslangan integral baholash metodikasini ishlab chiqish va milliy hamda MHXS hisobotlari bo‘yicha baholarni solishtirish zaruratini asoslaydi.</w:t>
      </w:r>
    </w:p>
    <w:bookmarkEnd w:id="81"/>
    <w:bookmarkEnd w:id="82"/>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1">
    <w:p>
      <w:pPr>
        <w:pStyle w:val="FootnoteText"/>
      </w:pPr>
      <w:r>
        <w:rPr>
          <w:rStyle w:val="FootnoteReference"/>
        </w:rPr>
        <w:footnoteRef/>
      </w:r>
      <w:r>
        <w:t xml:space="preserve"> </w:t>
      </w:r>
      <w:r>
        <w:t xml:space="preserve">World Bank. Uzbekistan Financial Sector Reform Project: Project Appraisal Document. – Report No. PAD4468. – Washington, DC, 2022.</w:t>
      </w:r>
    </w:p>
  </w:footnote>
  <w:footnote w:id="22">
    <w:p>
      <w:pPr>
        <w:pStyle w:val="FootnoteText"/>
      </w:pPr>
      <w:r>
        <w:rPr>
          <w:rStyle w:val="FootnoteReference"/>
        </w:rPr>
        <w:footnoteRef/>
      </w:r>
      <w:r>
        <w:t xml:space="preserve"> </w:t>
      </w:r>
      <w:r>
        <w:t xml:space="preserve">World Bank. Republic of Uzbekistan: Financial Sector Assessment. – Washington, DC, 2025.</w:t>
      </w:r>
    </w:p>
  </w:footnote>
  <w:footnote w:id="23">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4">
    <w:p>
      <w:pPr>
        <w:pStyle w:val="FootnoteText"/>
      </w:pPr>
      <w:r>
        <w:rPr>
          <w:rStyle w:val="FootnoteReference"/>
        </w:rPr>
        <w:footnoteRef/>
      </w:r>
      <w:r>
        <w:t xml:space="preserve"> </w:t>
      </w:r>
      <w:r>
        <w:t xml:space="preserve">World Bank. Uzbekistan Financial Sector Reform Project. – 2022; World Bank. Republic of Uzbekistan: Financial Sector Assessment. – 2025.</w:t>
      </w:r>
    </w:p>
  </w:footnote>
  <w:footnote w:id="25">
    <w:p>
      <w:pPr>
        <w:pStyle w:val="FootnoteText"/>
      </w:pPr>
      <w:r>
        <w:rPr>
          <w:rStyle w:val="FootnoteReference"/>
        </w:rPr>
        <w:footnoteRef/>
      </w:r>
      <w:r>
        <w:t xml:space="preserve"> </w:t>
      </w:r>
      <w:r>
        <w:t xml:space="preserve">World Bank. Republic of Uzbekistan: Financial Sector Assessment. – 2025; Private bank assets in Uzbekistan rise 29% in a year // UzDaily.uz. – 2026. – https://www.uzdaily.uz/en/private-bank-assets-in-uzbekistan-rise-29-in-a-year/</w:t>
      </w:r>
    </w:p>
  </w:footnote>
  <w:footnote w:id="26">
    <w:p>
      <w:pPr>
        <w:pStyle w:val="FootnoteText"/>
      </w:pPr>
      <w:r>
        <w:rPr>
          <w:rStyle w:val="FootnoteReference"/>
        </w:rPr>
        <w:footnoteRef/>
      </w:r>
      <w:r>
        <w:t xml:space="preserve"> </w:t>
      </w:r>
      <w:r>
        <w:t xml:space="preserve">Muallif tomonidan [5] va [6]-snoskalardagi manbalar asosida tuzilgan.</w:t>
      </w:r>
    </w:p>
  </w:footnote>
  <w:footnote w:id="27">
    <w:p>
      <w:pPr>
        <w:pStyle w:val="FootnoteText"/>
      </w:pPr>
      <w:r>
        <w:rPr>
          <w:rStyle w:val="FootnoteReference"/>
        </w:rPr>
        <w:footnoteRef/>
      </w:r>
      <w:r>
        <w:t xml:space="preserve"> </w:t>
      </w:r>
      <w:r>
        <w:t xml:space="preserve">IMF. Republic of Uzbekistan: Financial Sector Assessment Program – Financial System Stability Assessment. – IMF Country Report No. 25/145. – Washington, DC, 2025.</w:t>
      </w:r>
    </w:p>
  </w:footnote>
  <w:footnote w:id="29">
    <w:p>
      <w:pPr>
        <w:pStyle w:val="FootnoteText"/>
      </w:pPr>
      <w:r>
        <w:rPr>
          <w:rStyle w:val="FootnoteReference"/>
        </w:rPr>
        <w:footnoteRef/>
      </w:r>
      <w:r>
        <w:t xml:space="preserve"> </w:t>
      </w:r>
      <w:r>
        <w:t xml:space="preserve">Muallif tomonidan quyidagi manbalar asosida tuzilgan: IMF Country Report No. 25/145, 2025 (O‘zbekiston hukumati ma’lumotlari asosidagi jadval); O‘zbekiston Respublikasi Markaziy banki. Moliyaviy barqarorlik sharhi: 2022, 2023, 2024-yillar, 2025-yil I yarim yillik, 2025-yil; World Bank. Republic of Uzbekistan: Financial Sector Assessment. – 2025; Key trends in Uzbekistan’s banking sector // German Economic Team; The Central Bank of the Republic of Uzbekistan. Press release, 13.06.2024.</w:t>
      </w:r>
    </w:p>
  </w:footnote>
  <w:footnote w:id="31">
    <w:p>
      <w:pPr>
        <w:pStyle w:val="FootnoteText"/>
      </w:pPr>
      <w:r>
        <w:rPr>
          <w:rStyle w:val="FootnoteReference"/>
        </w:rPr>
        <w:footnoteRef/>
      </w:r>
      <w:r>
        <w:t xml:space="preserve"> </w:t>
      </w:r>
      <w:r>
        <w:t xml:space="preserve">IMF. Republic of Uzbekistan: Financial Sector Assessment Program – Detailed Assessment of Observance – Basel Core Principles for Effective Banking Supervision. – IMF Country Report No. 25/227. – Washington, DC, 2025.</w:t>
      </w:r>
    </w:p>
  </w:footnote>
  <w:footnote w:id="32">
    <w:p>
      <w:pPr>
        <w:pStyle w:val="FootnoteText"/>
      </w:pPr>
      <w:r>
        <w:rPr>
          <w:rStyle w:val="FootnoteReference"/>
        </w:rPr>
        <w:footnoteRef/>
      </w:r>
      <w:r>
        <w:t xml:space="preserve"> </w:t>
      </w:r>
      <w:r>
        <w:t xml:space="preserve">IMF Country Report No. 25/145, 2025; The Central Bank of Uzbekistan. Financial Stability Report for 2024. – Tashkent, 2025; Financial Stability Report for 2025. – Tashkent, 2026.</w:t>
      </w:r>
    </w:p>
  </w:footnote>
  <w:footnote w:id="33">
    <w:p>
      <w:pPr>
        <w:pStyle w:val="FootnoteText"/>
      </w:pPr>
      <w:r>
        <w:rPr>
          <w:rStyle w:val="FootnoteReference"/>
        </w:rPr>
        <w:footnoteRef/>
      </w:r>
      <w:r>
        <w:t xml:space="preserve"> </w:t>
      </w:r>
      <w:r>
        <w:t xml:space="preserve">Muallif tomonidan 2.2.1-jadval ma’lumotlari asosida tuzilgan.</w:t>
      </w:r>
    </w:p>
  </w:footnote>
  <w:footnote w:id="34">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3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36">
    <w:p>
      <w:pPr>
        <w:pStyle w:val="FootnoteText"/>
      </w:pPr>
      <w:r>
        <w:rPr>
          <w:rStyle w:val="FootnoteReference"/>
        </w:rPr>
        <w:footnoteRef/>
      </w:r>
      <w:r>
        <w:t xml:space="preserve"> </w:t>
      </w:r>
      <w:r>
        <w:t xml:space="preserve">IMF Country Report No. 25/227, 2025.</w:t>
      </w:r>
    </w:p>
  </w:footnote>
  <w:footnote w:id="37">
    <w:p>
      <w:pPr>
        <w:pStyle w:val="FootnoteText"/>
      </w:pPr>
      <w:r>
        <w:rPr>
          <w:rStyle w:val="FootnoteReference"/>
        </w:rPr>
        <w:footnoteRef/>
      </w:r>
      <w:r>
        <w:t xml:space="preserve"> </w:t>
      </w:r>
      <w:r>
        <w:t xml:space="preserve">IMF Country Report No. 25/145, 2025.</w:t>
      </w:r>
    </w:p>
  </w:footnote>
  <w:footnote w:id="38">
    <w:p>
      <w:pPr>
        <w:pStyle w:val="FootnoteText"/>
      </w:pPr>
      <w:r>
        <w:rPr>
          <w:rStyle w:val="FootnoteReference"/>
        </w:rPr>
        <w:footnoteRef/>
      </w:r>
      <w:r>
        <w:t xml:space="preserve"> </w:t>
      </w:r>
      <w:r>
        <w:t xml:space="preserve">The Central Bank of Uzbekistan. Financial Stability Report for 2025.</w:t>
      </w:r>
    </w:p>
  </w:footnote>
  <w:footnote w:id="40">
    <w:p>
      <w:pPr>
        <w:pStyle w:val="FootnoteText"/>
      </w:pPr>
      <w:r>
        <w:rPr>
          <w:rStyle w:val="FootnoteReference"/>
        </w:rPr>
        <w:footnoteRef/>
      </w:r>
      <w:r>
        <w:t xml:space="preserve"> </w:t>
      </w:r>
      <w:r>
        <w:t xml:space="preserve">World Bank. Republic of Uzbekistan: Financial Sector Assessment. – 2025.</w:t>
      </w:r>
    </w:p>
  </w:footnote>
  <w:footnote w:id="41">
    <w:p>
      <w:pPr>
        <w:pStyle w:val="FootnoteText"/>
      </w:pPr>
      <w:r>
        <w:rPr>
          <w:rStyle w:val="FootnoteReference"/>
        </w:rPr>
        <w:footnoteRef/>
      </w:r>
      <w:r>
        <w:t xml:space="preserve"> </w:t>
      </w:r>
      <w:r>
        <w:t xml:space="preserve">IMF Country Report No. 25/145, 2025.</w:t>
      </w:r>
    </w:p>
  </w:footnote>
  <w:footnote w:id="42">
    <w:p>
      <w:pPr>
        <w:pStyle w:val="FootnoteText"/>
      </w:pPr>
      <w:r>
        <w:rPr>
          <w:rStyle w:val="FootnoteReference"/>
        </w:rPr>
        <w:footnoteRef/>
      </w:r>
      <w:r>
        <w:t xml:space="preserve"> </w:t>
      </w:r>
      <w:r>
        <w:t xml:space="preserve">World Bank. Republic of Uzbekistan: Financial Sector Assessment. – 2025; Central Bank of the Republic of Uzbekistan 2025 «Financial Stability Report» for the first half of 2025 // cbu.uz. – https://cbu.uz/en/financial-stability/press-releases/3042756/</w:t>
      </w:r>
    </w:p>
  </w:footnote>
  <w:footnote w:id="43">
    <w:p>
      <w:pPr>
        <w:pStyle w:val="FootnoteText"/>
      </w:pPr>
      <w:r>
        <w:rPr>
          <w:rStyle w:val="FootnoteReference"/>
        </w:rPr>
        <w:footnoteRef/>
      </w:r>
      <w:r>
        <w:t xml:space="preserve"> </w:t>
      </w:r>
      <w:r>
        <w:t xml:space="preserve">Countercyclical capital buffer // The Central Bank of the Republic of Uzbekistan. – https://cbu.uz/en/financial-stability/macroprudential-policy-tools/countercyclical-capital-buffer/</w:t>
      </w:r>
    </w:p>
  </w:footnote>
  <w:footnote w:id="44">
    <w:p>
      <w:pPr>
        <w:pStyle w:val="FootnoteText"/>
      </w:pPr>
      <w:r>
        <w:rPr>
          <w:rStyle w:val="FootnoteReference"/>
        </w:rPr>
        <w:footnoteRef/>
      </w:r>
      <w:r>
        <w:t xml:space="preserve"> </w:t>
      </w:r>
      <w:r>
        <w:t xml:space="preserve">O‘zbekiston Respublikasi Markaziy banki. Moliyaviy barqarorlik sharhi: 2022-yil. – Toshkent, 2023.</w:t>
      </w:r>
    </w:p>
  </w:footnote>
  <w:footnote w:id="45">
    <w:p>
      <w:pPr>
        <w:pStyle w:val="FootnoteText"/>
      </w:pPr>
      <w:r>
        <w:rPr>
          <w:rStyle w:val="FootnoteReference"/>
        </w:rPr>
        <w:footnoteRef/>
      </w:r>
      <w:r>
        <w:t xml:space="preserve"> </w:t>
      </w:r>
      <w:r>
        <w:t xml:space="preserve">The Central Bank of Uzbekistan. Financial Stability Report for 2023. – Tashkent, 2024.</w:t>
      </w:r>
    </w:p>
  </w:footnote>
  <w:footnote w:id="46">
    <w:p>
      <w:pPr>
        <w:pStyle w:val="FootnoteText"/>
      </w:pPr>
      <w:r>
        <w:rPr>
          <w:rStyle w:val="FootnoteReference"/>
        </w:rPr>
        <w:footnoteRef/>
      </w:r>
      <w:r>
        <w:t xml:space="preserve"> </w:t>
      </w:r>
      <w:r>
        <w:t xml:space="preserve">World Bank. Republic of Uzbekistan: Financial Sector Assessment. – 2025.</w:t>
      </w:r>
    </w:p>
  </w:footnote>
  <w:footnote w:id="47">
    <w:p>
      <w:pPr>
        <w:pStyle w:val="FootnoteText"/>
      </w:pPr>
      <w:r>
        <w:rPr>
          <w:rStyle w:val="FootnoteReference"/>
        </w:rPr>
        <w:footnoteRef/>
      </w:r>
      <w:r>
        <w:t xml:space="preserve"> </w:t>
      </w:r>
      <w:r>
        <w:t xml:space="preserve">Muallif tomonidan 2.2.1-jadval va [24]-snoskadagi manba asosida tuzilgan.</w:t>
      </w:r>
    </w:p>
  </w:footnote>
  <w:footnote w:id="48">
    <w:p>
      <w:pPr>
        <w:pStyle w:val="FootnoteText"/>
      </w:pPr>
      <w:r>
        <w:rPr>
          <w:rStyle w:val="FootnoteReference"/>
        </w:rPr>
        <w:footnoteRef/>
      </w:r>
      <w:r>
        <w:t xml:space="preserve"> </w:t>
      </w:r>
      <w:r>
        <w:t xml:space="preserve">IMF Country Report No. 25/145, 2025.</w:t>
      </w:r>
    </w:p>
  </w:footnote>
  <w:footnote w:id="49">
    <w:p>
      <w:pPr>
        <w:pStyle w:val="FootnoteText"/>
      </w:pPr>
      <w:r>
        <w:rPr>
          <w:rStyle w:val="FootnoteReference"/>
        </w:rPr>
        <w:footnoteRef/>
      </w:r>
      <w:r>
        <w:t xml:space="preserve"> </w:t>
      </w:r>
      <w:r>
        <w:t xml:space="preserve">Оценка финансовой устойчивости кредитной организации / под ред. О.И. Лаврушина, И.Д. Мамоновой. – С. 45.</w:t>
      </w:r>
    </w:p>
  </w:footnote>
  <w:footnote w:id="50">
    <w:p>
      <w:pPr>
        <w:pStyle w:val="FootnoteText"/>
      </w:pPr>
      <w:r>
        <w:rPr>
          <w:rStyle w:val="FootnoteReference"/>
        </w:rPr>
        <w:footnoteRef/>
      </w:r>
      <w:r>
        <w:t xml:space="preserve"> </w:t>
      </w:r>
      <w:r>
        <w:t xml:space="preserve">Устойчивость банковской системы и развитие банковской политики. – С. 53.</w:t>
      </w:r>
    </w:p>
  </w:footnote>
  <w:footnote w:id="51">
    <w:p>
      <w:pPr>
        <w:pStyle w:val="FootnoteText"/>
      </w:pPr>
      <w:r>
        <w:rPr>
          <w:rStyle w:val="FootnoteReference"/>
        </w:rPr>
        <w:footnoteRef/>
      </w:r>
      <w:r>
        <w:t xml:space="preserve"> </w:t>
      </w:r>
      <w:r>
        <w:t xml:space="preserve">The Financial Stability Report for 2024 has been published // The Central Bank of the Republic of Uzbekistan. – https://cbu.uz/en/press_center/releases/2489245/</w:t>
      </w:r>
    </w:p>
  </w:footnote>
  <w:footnote w:id="53">
    <w:p>
      <w:pPr>
        <w:pStyle w:val="FootnoteText"/>
      </w:pPr>
      <w:r>
        <w:rPr>
          <w:rStyle w:val="FootnoteReference"/>
        </w:rPr>
        <w:footnoteRef/>
      </w:r>
      <w:r>
        <w:t xml:space="preserve"> </w:t>
      </w:r>
      <w:r>
        <w:t xml:space="preserve">Key trends in Uzbekistan’s banking sector // German Economic Team. – https://www.german-economic-team.com/en/newsletter/key-trends-in-uzbekistans-banking-sector/</w:t>
      </w:r>
    </w:p>
  </w:footnote>
  <w:footnote w:id="54">
    <w:p>
      <w:pPr>
        <w:pStyle w:val="FootnoteText"/>
      </w:pPr>
      <w:r>
        <w:rPr>
          <w:rStyle w:val="FootnoteReference"/>
        </w:rPr>
        <w:footnoteRef/>
      </w:r>
      <w:r>
        <w:t xml:space="preserve"> </w:t>
      </w:r>
      <w:r>
        <w:t xml:space="preserve">O‘zbekiston Respublikasi Markaziy banki. Moliyaviy barqarorlik sharhi: 2022-yil.</w:t>
      </w:r>
    </w:p>
  </w:footnote>
  <w:footnote w:id="55">
    <w:p>
      <w:pPr>
        <w:pStyle w:val="FootnoteText"/>
      </w:pPr>
      <w:r>
        <w:rPr>
          <w:rStyle w:val="FootnoteReference"/>
        </w:rPr>
        <w:footnoteRef/>
      </w:r>
      <w:r>
        <w:t xml:space="preserve"> </w:t>
      </w:r>
      <w:r>
        <w:t xml:space="preserve">IMF Country Report No. 25/145, 2025.</w:t>
      </w:r>
    </w:p>
  </w:footnote>
  <w:footnote w:id="56">
    <w:p>
      <w:pPr>
        <w:pStyle w:val="FootnoteText"/>
      </w:pPr>
      <w:r>
        <w:rPr>
          <w:rStyle w:val="FootnoteReference"/>
        </w:rPr>
        <w:footnoteRef/>
      </w:r>
      <w:r>
        <w:t xml:space="preserve"> </w:t>
      </w:r>
      <w:r>
        <w:t xml:space="preserve">World Bank. Republic of Uzbekistan: Financial Sector Assessment. – 2025.</w:t>
      </w:r>
    </w:p>
  </w:footnote>
  <w:footnote w:id="57">
    <w:p>
      <w:pPr>
        <w:pStyle w:val="FootnoteText"/>
      </w:pPr>
      <w:r>
        <w:rPr>
          <w:rStyle w:val="FootnoteReference"/>
        </w:rPr>
        <w:footnoteRef/>
      </w:r>
      <w:r>
        <w:t xml:space="preserve"> </w:t>
      </w:r>
      <w:r>
        <w:t xml:space="preserve">Rating of Banks: Key features of Uzbekistan’s banking sector in CERR estimates // UzDaily.uz. – 2024. – https://www.uzdaily.uz/en/rating-of-banks-key-features-of-uzbekistans-banking-sector-in-cerr-estimates/</w:t>
      </w:r>
    </w:p>
  </w:footnote>
  <w:footnote w:id="58">
    <w:p>
      <w:pPr>
        <w:pStyle w:val="FootnoteText"/>
      </w:pPr>
      <w:r>
        <w:rPr>
          <w:rStyle w:val="FootnoteReference"/>
        </w:rPr>
        <w:footnoteRef/>
      </w:r>
      <w:r>
        <w:t xml:space="preserve"> </w:t>
      </w:r>
      <w:r>
        <w:t xml:space="preserve">Central Bank of the Republic of Uzbekistan 2025 «Financial Stability Report» for the first half of 2025 // cbu.uz.</w:t>
      </w:r>
    </w:p>
  </w:footnote>
  <w:footnote w:id="59">
    <w:p>
      <w:pPr>
        <w:pStyle w:val="FootnoteText"/>
      </w:pPr>
      <w:r>
        <w:rPr>
          <w:rStyle w:val="FootnoteReference"/>
        </w:rPr>
        <w:footnoteRef/>
      </w:r>
      <w:r>
        <w:t xml:space="preserve"> </w:t>
      </w:r>
      <w:r>
        <w:t xml:space="preserve">Central Bank of Uzbekistan: 2025 Outcomes // Invexi. – https://invexi.org/press/central-bank-of-uzbekistan-2025-outcomes-7-7-economic-growth-with-inflation-easing-to-7-3/</w:t>
      </w:r>
    </w:p>
  </w:footnote>
  <w:footnote w:id="60">
    <w:p>
      <w:pPr>
        <w:pStyle w:val="FootnoteText"/>
      </w:pPr>
      <w:r>
        <w:rPr>
          <w:rStyle w:val="FootnoteReference"/>
        </w:rPr>
        <w:footnoteRef/>
      </w:r>
      <w:r>
        <w:t xml:space="preserve"> </w:t>
      </w:r>
      <w:r>
        <w:t xml:space="preserve">Muallif tomonidan 2.2.1-jadval ma’lumotlari asosida tuzilgan.</w:t>
      </w:r>
    </w:p>
  </w:footnote>
  <w:footnote w:id="61">
    <w:p>
      <w:pPr>
        <w:pStyle w:val="FootnoteText"/>
      </w:pPr>
      <w:r>
        <w:rPr>
          <w:rStyle w:val="FootnoteReference"/>
        </w:rPr>
        <w:footnoteRef/>
      </w:r>
      <w:r>
        <w:t xml:space="preserve"> </w:t>
      </w:r>
      <w:r>
        <w:t xml:space="preserve">Оценка финансовой устойчивости кредитной организации / под ред. О.И. Лаврушина, И.Д. Мамоновой. – С. 84–85.</w:t>
      </w:r>
    </w:p>
  </w:footnote>
  <w:footnote w:id="63">
    <w:p>
      <w:pPr>
        <w:pStyle w:val="FootnoteText"/>
      </w:pPr>
      <w:r>
        <w:rPr>
          <w:rStyle w:val="FootnoteReference"/>
        </w:rPr>
        <w:footnoteRef/>
      </w:r>
      <w:r>
        <w:t xml:space="preserve"> </w:t>
      </w:r>
      <w:r>
        <w:t xml:space="preserve">IMF Country Report No. 25/145, 2025.</w:t>
      </w:r>
    </w:p>
  </w:footnote>
  <w:footnote w:id="64">
    <w:p>
      <w:pPr>
        <w:pStyle w:val="FootnoteText"/>
      </w:pPr>
      <w:r>
        <w:rPr>
          <w:rStyle w:val="FootnoteReference"/>
        </w:rPr>
        <w:footnoteRef/>
      </w:r>
      <w:r>
        <w:t xml:space="preserve"> </w:t>
      </w:r>
      <w:r>
        <w:t xml:space="preserve">The Financial Stability Report for 2024 has been published // The Central Bank of the Republic of Uzbekistan.</w:t>
      </w:r>
    </w:p>
  </w:footnote>
  <w:footnote w:id="65">
    <w:p>
      <w:pPr>
        <w:pStyle w:val="FootnoteText"/>
      </w:pPr>
      <w:r>
        <w:rPr>
          <w:rStyle w:val="FootnoteReference"/>
        </w:rPr>
        <w:footnoteRef/>
      </w:r>
      <w:r>
        <w:t xml:space="preserve"> </w:t>
      </w:r>
      <w:r>
        <w:t xml:space="preserve">IMF Country Report No. 25/145, 2025; The Central Bank of Uzbekistan. Financial Stability Report for 2024; Central Bank of the Republic of Uzbekistan 2025 «Financial Stability Report» for the first half of 2025 // cbu.uz.</w:t>
      </w:r>
    </w:p>
  </w:footnote>
  <w:footnote w:id="66">
    <w:p>
      <w:pPr>
        <w:pStyle w:val="FootnoteText"/>
      </w:pPr>
      <w:r>
        <w:rPr>
          <w:rStyle w:val="FootnoteReference"/>
        </w:rPr>
        <w:footnoteRef/>
      </w:r>
      <w:r>
        <w:t xml:space="preserve"> </w:t>
      </w:r>
      <w:r>
        <w:t xml:space="preserve">Central Bank of the Republic of Uzbekistan 2025 «Financial Stability Report» for the first half of 2025 // cbu.uz.</w:t>
      </w:r>
    </w:p>
  </w:footnote>
  <w:footnote w:id="67">
    <w:p>
      <w:pPr>
        <w:pStyle w:val="FootnoteText"/>
      </w:pPr>
      <w:r>
        <w:rPr>
          <w:rStyle w:val="FootnoteReference"/>
        </w:rPr>
        <w:footnoteRef/>
      </w:r>
      <w:r>
        <w:t xml:space="preserve"> </w:t>
      </w:r>
      <w:r>
        <w:t xml:space="preserve">Muallif tomonidan 2.2.1-jadval ma’lumotlari asosida tuzilgan.</w:t>
      </w:r>
    </w:p>
  </w:footnote>
  <w:footnote w:id="68">
    <w:p>
      <w:pPr>
        <w:pStyle w:val="FootnoteText"/>
      </w:pPr>
      <w:r>
        <w:rPr>
          <w:rStyle w:val="FootnoteReference"/>
        </w:rPr>
        <w:footnoteRef/>
      </w:r>
      <w:r>
        <w:t xml:space="preserve"> </w:t>
      </w:r>
      <w:r>
        <w:t xml:space="preserve">Tian W. Ko‘rsatilgan asar. – P. 6–7.</w:t>
      </w:r>
    </w:p>
  </w:footnote>
  <w:footnote w:id="69">
    <w:p>
      <w:pPr>
        <w:pStyle w:val="FootnoteText"/>
      </w:pPr>
      <w:r>
        <w:rPr>
          <w:rStyle w:val="FootnoteReference"/>
        </w:rPr>
        <w:footnoteRef/>
      </w:r>
      <w:r>
        <w:t xml:space="preserve"> </w:t>
      </w:r>
      <w:r>
        <w:t xml:space="preserve">IMF Country Report No. 25/145, 2025.</w:t>
      </w:r>
    </w:p>
  </w:footnote>
  <w:footnote w:id="71">
    <w:p>
      <w:pPr>
        <w:pStyle w:val="FootnoteText"/>
      </w:pPr>
      <w:r>
        <w:rPr>
          <w:rStyle w:val="FootnoteReference"/>
        </w:rPr>
        <w:footnoteRef/>
      </w:r>
      <w:r>
        <w:t xml:space="preserve"> </w:t>
      </w:r>
      <w:r>
        <w:t xml:space="preserve">Uzbekistan is reforming the banking sector // EU Reporter. – 15.10.2021. – https://www.eureporter.co/world/uzbekistan/2021/10/15/uzbekistan-is-reforming-the-banking-sector/</w:t>
      </w:r>
    </w:p>
  </w:footnote>
  <w:footnote w:id="72">
    <w:p>
      <w:pPr>
        <w:pStyle w:val="FootnoteText"/>
      </w:pPr>
      <w:r>
        <w:rPr>
          <w:rStyle w:val="FootnoteReference"/>
        </w:rPr>
        <w:footnoteRef/>
      </w:r>
      <w:r>
        <w:t xml:space="preserve"> </w:t>
      </w:r>
      <w:r>
        <w:t xml:space="preserve">At the meeting on June 13, 2024, the Board of the Central Bank decided to reduce the reserve requirement ratio on foreign currency deposits to 14 percent // The Central Bank of the Republic of Uzbekistan. – https://cbu.uz/en/press_center/releases/1729508/</w:t>
      </w:r>
    </w:p>
  </w:footnote>
  <w:footnote w:id="73">
    <w:p>
      <w:pPr>
        <w:pStyle w:val="FootnoteText"/>
      </w:pPr>
      <w:r>
        <w:rPr>
          <w:rStyle w:val="FootnoteReference"/>
        </w:rPr>
        <w:footnoteRef/>
      </w:r>
      <w:r>
        <w:t xml:space="preserve"> </w:t>
      </w:r>
      <w:r>
        <w:t xml:space="preserve">O‘sha joyda.</w:t>
      </w:r>
    </w:p>
  </w:footnote>
  <w:footnote w:id="74">
    <w:p>
      <w:pPr>
        <w:pStyle w:val="FootnoteText"/>
      </w:pPr>
      <w:r>
        <w:rPr>
          <w:rStyle w:val="FootnoteReference"/>
        </w:rPr>
        <w:footnoteRef/>
      </w:r>
      <w:r>
        <w:t xml:space="preserve"> </w:t>
      </w:r>
      <w:r>
        <w:t xml:space="preserve">Muallif tomonidan [46] va [47]-snoskalardagi manbalar asosida tuzilgan.</w:t>
      </w:r>
    </w:p>
  </w:footnote>
  <w:footnote w:id="75">
    <w:p>
      <w:pPr>
        <w:pStyle w:val="FootnoteText"/>
      </w:pPr>
      <w:r>
        <w:rPr>
          <w:rStyle w:val="FootnoteReference"/>
        </w:rPr>
        <w:footnoteRef/>
      </w:r>
      <w:r>
        <w:t xml:space="preserve"> </w:t>
      </w:r>
      <w:r>
        <w:t xml:space="preserve">IMF Country Report No. 25/145, 2025.</w:t>
      </w:r>
    </w:p>
  </w:footnote>
  <w:footnote w:id="76">
    <w:p>
      <w:pPr>
        <w:pStyle w:val="FootnoteText"/>
      </w:pPr>
      <w:r>
        <w:rPr>
          <w:rStyle w:val="FootnoteReference"/>
        </w:rPr>
        <w:footnoteRef/>
      </w:r>
      <w:r>
        <w:t xml:space="preserve"> </w:t>
      </w:r>
      <w:r>
        <w:t xml:space="preserve">O‘sha joyda.</w:t>
      </w:r>
    </w:p>
  </w:footnote>
  <w:footnote w:id="77">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79">
    <w:p>
      <w:pPr>
        <w:pStyle w:val="FootnoteText"/>
      </w:pPr>
      <w:r>
        <w:rPr>
          <w:rStyle w:val="FootnoteReference"/>
        </w:rPr>
        <w:footnoteRef/>
      </w:r>
      <w:r>
        <w:t xml:space="preserve"> </w:t>
      </w:r>
      <w:r>
        <w:t xml:space="preserve">Muallif ishlanmasi.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 Id="rId14" Type="http://schemas.openxmlformats.org/officeDocument/2006/relationships/chart" Target="charts/chart6.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ishtirokidagi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2019-y. boshi</c:v>
                </c:pt>
                <c:pt idx="1">
                  <c:v>2021-y. oxiri</c:v>
                </c:pt>
                <c:pt idx="2">
                  <c:v>2024-y.</c:v>
                </c:pt>
                <c:pt idx="3">
                  <c:v>2026-y. o‘rtasi</c:v>
                </c:pt>
              </c:strCache>
            </c:strRef>
          </c:cat>
          <c:val>
            <c:numRef>
              <c:f>Sheet1!$B$2:$B$5</c:f>
              <c:numCache>
                <c:formatCode>General</c:formatCode>
                <c:ptCount val="4"/>
                <c:pt idx="0">
                  <c:v>84</c:v>
                </c:pt>
                <c:pt idx="1">
                  <c:v>81</c:v>
                </c:pt>
                <c:pt idx="2">
                  <c:v>67</c:v>
                </c:pt>
                <c:pt idx="3">
                  <c:v>62</c:v>
                </c:pt>
              </c:numCache>
            </c:numRef>
          </c:val>
        </c:ser>
        <c:gapWidth val="9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aktivlariga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 RWA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17.0</c:v>
                </c:pt>
                <c:pt idx="4">
                  <c:v>18.3</c:v>
                </c:pt>
              </c:numCache>
            </c:numRef>
          </c:val>
        </c:ser>
        <c:ser>
          <c:idx val="1"/>
          <c:order val="1"/>
          <c:tx>
            <c:strRef>
              <c:f>Sheet1!$C$1</c:f>
              <c:strCache>
                <c:ptCount val="1"/>
                <c:pt idx="0">
                  <c:v>Asosiy kapital (CET1) / RWA</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1">
                  <c:v>14.4</c:v>
                </c:pt>
                <c:pt idx="2">
                  <c:v>14.1</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Rasmiy muammoli kreditlar (NPL)</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5.8</c:v>
                </c:pt>
                <c:pt idx="1">
                  <c:v>3.5</c:v>
                </c:pt>
                <c:pt idx="2">
                  <c:v>3.5</c:v>
                </c:pt>
                <c:pt idx="3">
                  <c:v>4.2</c:v>
                </c:pt>
                <c:pt idx="4">
                  <c:v>4.1</c:v>
                </c:pt>
              </c:numCache>
            </c:numRef>
          </c:val>
        </c:ser>
        <c:ser>
          <c:idx val="1"/>
          <c:order val="1"/>
          <c:tx>
            <c:strRef>
              <c:f>Sheet1!$C$1</c:f>
              <c:strCache>
                <c:ptCount val="1"/>
                <c:pt idx="0">
                  <c:v>MHXS 9 bo‘yicha 3-bosqich kreditlari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2">
                  <c:v>7.8</c:v>
                </c:pt>
              </c:numCache>
            </c:numRef>
          </c:val>
        </c:ser>
        <c:ser>
          <c:idx val="2"/>
          <c:order val="2"/>
          <c:tx>
            <c:strRef>
              <c:f>Sheet1!$D$1</c:f>
              <c:strCache>
                <c:ptCount val="1"/>
                <c:pt idx="0">
                  <c:v>Nostandart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12.5</c:v>
                </c:pt>
                <c:pt idx="1">
                  <c:v>15.9</c:v>
                </c:pt>
                <c:pt idx="2">
                  <c:v>20.0</c:v>
                </c:pt>
              </c:numCache>
            </c:numRef>
          </c:val>
        </c:ser>
        <c:gapWidth val="7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1.3</c:v>
                </c:pt>
                <c:pt idx="1">
                  <c:v>2.5</c:v>
                </c:pt>
                <c:pt idx="2">
                  <c:v>2.6</c:v>
                </c:pt>
                <c:pt idx="3">
                  <c:v>2.0</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6.0</c:v>
                </c:pt>
                <c:pt idx="1">
                  <c:v>13.3</c:v>
                </c:pt>
                <c:pt idx="2">
                  <c:v>14.2</c:v>
                </c:pt>
                <c:pt idx="3">
                  <c:v>10.1</c:v>
                </c:pt>
                <c:pt idx="4">
                  <c:v>12.4</c:v>
                </c:pt>
              </c:numCache>
            </c:numRef>
          </c:yVal>
          <c:smooth val="0"/>
        </c:ser>
        <c:axId val="333"/>
        <c:axId val="444"/>
      </c:scatterChart>
      <c:valAx>
        <c:axId val="333"/>
        <c:scaling>
          <c:orientation val="minMax"/>
          <c:max val="202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LCR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2025-y. I yarim</c:v>
                </c:pt>
              </c:strCache>
            </c:strRef>
          </c:cat>
          <c:val>
            <c:numRef>
              <c:f>Sheet1!$B$2:$B$5</c:f>
              <c:numCache>
                <c:formatCode>General</c:formatCode>
                <c:ptCount val="4"/>
                <c:pt idx="0">
                  <c:v>211.6</c:v>
                </c:pt>
                <c:pt idx="1">
                  <c:v>164.8</c:v>
                </c:pt>
                <c:pt idx="2">
                  <c:v>194</c:v>
                </c:pt>
                <c:pt idx="3">
                  <c:v>195</c:v>
                </c:pt>
              </c:numCache>
            </c:numRef>
          </c:val>
        </c:ser>
        <c:ser>
          <c:idx val="1"/>
          <c:order val="1"/>
          <c:tx>
            <c:strRef>
              <c:f>Sheet1!$C$1</c:f>
              <c:strCache>
                <c:ptCount val="1"/>
                <c:pt idx="0">
                  <c:v>NSFR</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2025-y. I yarim</c:v>
                </c:pt>
              </c:strCache>
            </c:strRef>
          </c:cat>
          <c:val>
            <c:numRef>
              <c:f>Sheet1!$C$2:$C$5</c:f>
              <c:numCache>
                <c:formatCode>General</c:formatCode>
                <c:ptCount val="4"/>
                <c:pt idx="0">
                  <c:v>115.6</c:v>
                </c:pt>
                <c:pt idx="1">
                  <c:v>111.8</c:v>
                </c:pt>
                <c:pt idx="2">
                  <c:v>115</c:v>
                </c:pt>
                <c:pt idx="3">
                  <c:v>117</c:v>
                </c:pt>
              </c:numCache>
            </c:numRef>
          </c:val>
        </c:ser>
        <c:ser>
          <c:idx val="2"/>
          <c:order val="2"/>
          <c:tx>
            <c:strRef>
              <c:f>Sheet1!$D$1</c:f>
              <c:strCache>
                <c:ptCount val="1"/>
                <c:pt idx="0">
                  <c:v>Bazel III minimumi</c:v>
                </c:pt>
              </c:strCache>
            </c:strRef>
          </c:tx>
          <c:spPr>
            <a:solidFill>
              <a:srgbClr val="A5A5A5"/>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2025-y. I yarim</c:v>
                </c:pt>
              </c:strCache>
            </c:strRef>
          </c:cat>
          <c:val>
            <c:numRef>
              <c:f>Sheet1!$D$2:$D$5</c:f>
              <c:numCache>
                <c:formatCode>General</c:formatCode>
                <c:ptCount val="4"/>
                <c:pt idx="0">
                  <c:v>100</c:v>
                </c:pt>
                <c:pt idx="1">
                  <c:v>100</c:v>
                </c:pt>
                <c:pt idx="2">
                  <c:v>100</c:v>
                </c:pt>
                <c:pt idx="3">
                  <c:v>100</c:v>
                </c:pt>
              </c:numCache>
            </c:numRef>
          </c:val>
        </c:ser>
        <c:gapWidth val="7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4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4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Xorijiy valyutadagi kreditlar ulushi</c:v>
                </c:pt>
              </c:strCache>
            </c:strRef>
          </c:tx>
          <c:spPr>
            <a:ln w="28575">
              <a:solidFill>
                <a:srgbClr val="2A78D6"/>
              </a:solidFill>
            </a:ln>
          </c:spPr>
          <c:marker>
            <c:symbol val="circle"/>
            <c:size val="7"/>
            <c:spPr>
              <a:solidFill>
                <a:srgbClr val="2A78D6"/>
              </a:solidFill>
              <a:ln>
                <a:noFill/>
              </a:ln>
            </c:spPr>
          </c:marker>
          <c:xVal>
            <c:numRef>
              <c:f>Sheet1!$A$2:$A$5</c:f>
              <c:numCache>
                <c:formatCode>General</c:formatCode>
                <c:ptCount val="4"/>
                <c:pt idx="0">
                  <c:v>2017</c:v>
                </c:pt>
                <c:pt idx="1">
                  <c:v>2020</c:v>
                </c:pt>
                <c:pt idx="2">
                  <c:v>2021</c:v>
                </c:pt>
                <c:pt idx="3">
                  <c:v>2024.4</c:v>
                </c:pt>
              </c:numCache>
            </c:numRef>
          </c:xVal>
          <c:yVal>
            <c:numRef>
              <c:f>Sheet1!$B$2:$B$5</c:f>
              <c:numCache>
                <c:formatCode>General</c:formatCode>
                <c:ptCount val="4"/>
                <c:pt idx="0">
                  <c:v>62.3</c:v>
                </c:pt>
                <c:pt idx="1">
                  <c:v>49.9</c:v>
                </c:pt>
                <c:pt idx="2">
                  <c:v>47</c:v>
                </c:pt>
                <c:pt idx="3">
                  <c:v>42</c:v>
                </c:pt>
              </c:numCache>
            </c:numRef>
          </c:yVal>
          <c:smooth val="0"/>
        </c:ser>
        <c:ser>
          <c:idx val="1"/>
          <c:order val="1"/>
          <c:tx>
            <c:strRef>
              <c:f>Sheet1!$D$1</c:f>
              <c:strCache>
                <c:ptCount val="1"/>
                <c:pt idx="0">
                  <c:v>Depozitlarning dollarlashuvi</c:v>
                </c:pt>
              </c:strCache>
            </c:strRef>
          </c:tx>
          <c:spPr>
            <a:ln w="28575">
              <a:solidFill>
                <a:srgbClr val="EB6834"/>
              </a:solidFill>
            </a:ln>
          </c:spPr>
          <c:marker>
            <c:symbol val="square"/>
            <c:size val="7"/>
            <c:spPr>
              <a:solidFill>
                <a:srgbClr val="EB6834"/>
              </a:solidFill>
              <a:ln>
                <a:noFill/>
              </a:ln>
            </c:spPr>
          </c:marker>
          <c:xVal>
            <c:numRef>
              <c:f>Sheet1!$C$2:$C$5</c:f>
              <c:numCache>
                <c:formatCode>General</c:formatCode>
                <c:ptCount val="4"/>
                <c:pt idx="0">
                  <c:v>2017</c:v>
                </c:pt>
                <c:pt idx="1">
                  <c:v>2020</c:v>
                </c:pt>
                <c:pt idx="2">
                  <c:v>2021</c:v>
                </c:pt>
                <c:pt idx="3">
                  <c:v>2024.4</c:v>
                </c:pt>
              </c:numCache>
            </c:numRef>
          </c:xVal>
          <c:yVal>
            <c:numRef>
              <c:f>Sheet1!$D$2:$D$5</c:f>
              <c:numCache>
                <c:formatCode>General</c:formatCode>
                <c:ptCount val="4"/>
                <c:pt idx="0">
                  <c:v>48.4</c:v>
                </c:pt>
                <c:pt idx="1">
                  <c:v>43.1</c:v>
                </c:pt>
                <c:pt idx="2">
                  <c:v>40</c:v>
                </c:pt>
                <c:pt idx="3">
                  <c:v>30</c:v>
                </c:pt>
              </c:numCache>
            </c:numRef>
          </c:yVal>
          <c:smooth val="0"/>
        </c:ser>
        <c:axId val="333"/>
        <c:axId val="444"/>
      </c:scatterChart>
      <c:valAx>
        <c:axId val="333"/>
        <c:scaling>
          <c:orientation val="minMax"/>
          <c:max val="2025"/>
          <c:min val="2017"/>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70"/>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2026-10-09T20:20:08Z</dcterms:created>
  <dcterms:modified xsi:type="dcterms:W3CDTF">2026-10-09T20:20:08Z</dcterms:modified>
</cp:coreProperties>
</file>

<file path=docProps/custom.xml><?xml version="1.0" encoding="utf-8"?>
<Properties xmlns="http://schemas.openxmlformats.org/officeDocument/2006/custom-properties" xmlns:vt="http://schemas.openxmlformats.org/officeDocument/2006/docPropsVTypes"/>
</file>