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c492641c270981b499b90b0884daf998d200dd"/>
    <w:p>
      <w:pPr>
        <w:pStyle w:val="Heading2"/>
        <w:spacing w:line="360" w:lineRule="auto" w:before="240" w:after="120"/>
        <w:ind w:firstLine="0"/>
        <w:jc w:val="center"/>
      </w:pPr>
      <w:r>
        <w:rPr>
          <w:rFonts w:ascii="Times New Roman" w:hAnsi="Times New Roman" w:cs="Times New Roman" w:eastAsia="Times New Roman"/>
          <w:b/>
          <w:i w:val="0"/>
          <w:sz w:val="28"/>
        </w:rPr>
        <w:t xml:space="preserve">1.2-§. Tijorat banklari moliyaviy barqarorligini baholashning ilmiy-nazariy asoslari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moliyaviy barqarorligi tushunchasining iqtisodiy mazmuni oldingi paragrafda yoritildi. Endi bu barqarorlikni qanday va nima uchun baholash kerak, degan masala turadi. Baholash amaliyoti har doim ma’lum nazariy qarashlarga tayanadi. Qaysi ko‘rsatkich tanlanishi, ularga qanday vazn berilishi, natija qanday shkalada ifodalanishi va undan kim, qanday maqsadda foydalanishi baholash sub’ektining bank tabiati, risklari va davlat aralashuvining chegaralari haqidagi tasavvuriga bog‘liq. Shu sababli moliyaviy barqarorlikni baholash metodologiyasini takomillashtirishdan oldin uning ilmiy-nazariy asoslarini aniqlab olish zarur.</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besh masala ketma-ket ko‘rib chiqiladi: birinchidan, banklar moliyaviy barqarorligini tashqi tomondan baholash zaruratining nazariy asoslari; ikkinchidan, baholash ob’ekti – «moliyaviy holat» va «moliyaviy barqarorlik» tushunchalarining farqi; uchinchidan, baholash tizimining tarkibiy elementlari va tamoyillari; to‘rtinchidan, baholash yondashuvlarining ilmiy tasnifi; beshinchidan, integral baholashning nazariy asoslari va undagi asosiy muammo – ko‘rsatkichlar vaznini aniqlash masalasi.</w:t>
      </w:r>
    </w:p>
    <w:bookmarkStart w:id="20" w:name="X83b12caa7946bc4281b19e9eeba7b3d3fff604c"/>
    <w:p>
      <w:pPr>
        <w:pStyle w:val="Heading3"/>
        <w:spacing w:line="360" w:lineRule="auto" w:before="240" w:after="120"/>
        <w:ind w:firstLine="709"/>
        <w:jc w:val="both"/>
      </w:pPr>
      <w:r>
        <w:rPr>
          <w:rFonts w:ascii="Times New Roman" w:hAnsi="Times New Roman" w:cs="Times New Roman" w:eastAsia="Times New Roman"/>
          <w:b/>
          <w:i w:val="0"/>
          <w:sz w:val="28"/>
        </w:rPr>
        <w:t xml:space="preserve">1. Banklar moliyaviy barqarorligini baholash zaruratining nazariy asoslari</w:t>
      </w:r>
    </w:p>
    <w:p>
      <w:pPr>
        <w:pStyle w:val="FirstParagraph"/>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 bozor nosozliklari (market failures) nazariyasidir.</w:t>
      </w:r>
    </w:p>
    <w:p>
      <w:pPr>
        <w:pStyle w:val="BodyText"/>
        <w:spacing w:line="360" w:lineRule="auto" w:before="0" w:after="0"/>
        <w:ind w:firstLine="709"/>
        <w:jc w:val="both"/>
      </w:pPr>
      <w:r>
        <w:rPr>
          <w:bCs/>
          <w:rFonts w:ascii="Times New Roman" w:hAnsi="Times New Roman" w:cs="Times New Roman" w:eastAsia="Times New Roman"/>
          <w:b/>
          <w:sz w:val="28"/>
        </w:rPr>
        <w:t xml:space="preserve">Jamoat manfaati va xususiy manfaat nazariyalari.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C.M. Peláez va C.A. Peláez regulyatsiya nazariyasida ikki asosiy yondashuvni ajratadi. Jamoat manfaati (public interest) nazariyasi farovonlikni oshirish maqsadida davlat aralashuvini oqlaydi, xususiy manfaat (private interest) nazariyasi esa regulyatsiyaning samaradorligiga shubha bilan qaraydi [12, 4-b.]. Mualliflar bozor nosozliklarini tasniflab, ulardan biri – axborot nosozligi (axborot asimmetriyasi, noxush tanlov, moral hazard) uchun ko‘rsatilgan siyosat vositasi prudensial nazorat va regulyatsiya ekanini, uning maqsadi esa moliyaviy va iqtisodiy barqarorlikni ta’minlash hamda omonatchi va aksiyadorlarni himoya qilish ekanini ko‘rsatadi [12, 17-b., 1.1-jadval]. Demak, moliyaviy barqarorlik nazariy jihatdan prudensial regulyatsiyaning yakuniy maqsadi sifatida qaraladi, uni baholash esa shu maqsadga qanchalik erishilganini o‘lchash vositasidir.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jamoat manfaati nazariyasi tanqiddan holi emas. Peláez bu nazariya davlat regulyatsiyasining tranzaksiya xarajatlarini nolga teng deb faraz qilishini qayd etadi [12, 16-b.], H. Demsetz esa nomukammal bozorni mukammal davlat aralashuvi bilan solishtirishni «Nirvana xatosi» deb ataydi [12, 18-b.]. J.M. Hendrickson fikricha, bozor doimiy harakatda, regulyatsiya esa statik bo‘lgani uchun u uzoq muddatda beqarorlashtiruvchi omilga aylanishi mumkin [13, 4-b.]. Bundan muhim metodologik xulosa kelib chiqadi: regulyatsiya va unga asoslangan baholash tizimlari ham xato qilishi mumkin ekan, baholash metodikasining o‘zi ham tarixiy ma’lumotlar asosida tekshirilishi lozim.</w:t>
      </w:r>
    </w:p>
    <w:p>
      <w:pPr>
        <w:pStyle w:val="BodyText"/>
        <w:spacing w:line="360" w:lineRule="auto" w:before="0" w:after="0"/>
        <w:ind w:firstLine="709"/>
        <w:jc w:val="both"/>
      </w:pPr>
      <w:r>
        <w:rPr>
          <w:bCs/>
          <w:rFonts w:ascii="Times New Roman" w:hAnsi="Times New Roman" w:cs="Times New Roman" w:eastAsia="Times New Roman"/>
          <w:b/>
          <w:sz w:val="28"/>
        </w:rPr>
        <w:t xml:space="preserve">Axborot asimmetriyasi va bankning «shaffof emasligi».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D.K. Tarullo bank regulyatsiyasining uch nazariy asosini ko‘rsatadi: birinchidan, axborot asimmetriyasi – bank aktivlarini tashqaridan baholash qiyin; ikkinchidan, depozitlarni sug‘urtalash va oxirgi instansiya kreditori mavjudligi tug‘diradigan moral hazard; uchinchidan, tizimli risk va bank yiqilganda to‘plangan kredit axborotining yo‘qolishi [8, 19–23-b.]. T.F. Cargill ham regulyatsiya asosini axborot asimmetriyasi va noxush tanlovda, ya’ni G. Akerlofning «limonlar» muammosida ko‘radi. Uning fikricha, bilvosita moliyalash, ya’ni banklar orqali moliyalash bu muammoga bozorning o‘zi topgan yechimdir [14, 184–185-b.].</w:t>
      </w:r>
    </w:p>
    <w:p>
      <w:pPr>
        <w:pStyle w:val="BodyText"/>
        <w:spacing w:line="360" w:lineRule="auto" w:before="0" w:after="0"/>
        <w:ind w:firstLine="709"/>
        <w:jc w:val="both"/>
      </w:pPr>
      <w:r>
        <w:rPr>
          <w:rFonts w:ascii="Times New Roman" w:hAnsi="Times New Roman" w:cs="Times New Roman" w:eastAsia="Times New Roman"/>
          <w:sz w:val="28"/>
        </w:rPr>
        <w:t xml:space="preserve">Axborot asimmetriyasi baholash uchun ikki tomonlama ahamiyatga ega. U tashqi baholashni zarur qiladi, chunki omonatchi bankning haqiqiy holatini mustaqil aniqlay olmaydi. Shu bilan birga, u baholashning o‘zini ham cheklaydi: tashqi baholovchi faqat bank oshkor qilgan axborotga tayanadi. Shuning uchun baho ishonchliligi hisobot sifati va uning qaysi standart asosida tuzilganiga bog‘liq. Bu masala 2.3-paragrafda milliy va MHXS hisobotlari misolida tahlil qilinadi.</w:t>
      </w:r>
    </w:p>
    <w:p>
      <w:pPr>
        <w:pStyle w:val="BodyText"/>
        <w:spacing w:line="360" w:lineRule="auto" w:before="0" w:after="0"/>
        <w:ind w:firstLine="709"/>
        <w:jc w:val="both"/>
      </w:pPr>
      <w:r>
        <w:rPr>
          <w:bCs/>
          <w:rFonts w:ascii="Times New Roman" w:hAnsi="Times New Roman" w:cs="Times New Roman" w:eastAsia="Times New Roman"/>
          <w:b/>
          <w:sz w:val="28"/>
        </w:rPr>
        <w:t xml:space="preserve">Depozit shartnomasining zaifligi va kapitalning bufer funksiyasi.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tahlilining asosiy nazariy modeli talab qilib olinguncha depozitlarning zaifligiga, ya’ni omonatchilarning ommaviy ravishda mablag‘ talab qilish (bank run) xavfiga asoslanadi. Peláez D. Diamond va R. Rajan modelini tahlil qilib, bank depozitlar orqali likvidlik yaratishini, lekin «ketma-ket to‘lash» xususiyati o‘z-o‘zini amalga oshiruvchi run’ni keltirib chiqarishi mumkinligini ko‘rsatadi. Bu modelda kapital «yumshoqroq» da’vo hisoblanadi va aktiv qiymatidagi shoklarga qarshi bufer vazifasini bajaradi [12, 61–62-b.]. Cargill bu fikrni obrazli ifodalaydi: kapitalning aktivlarga nisbati avtomobildagi amortizatorga o‘xshaydi [14, 192-b.].</w:t>
      </w:r>
    </w:p>
    <w:p>
      <w:pPr>
        <w:pStyle w:val="BodyText"/>
        <w:spacing w:line="360" w:lineRule="auto" w:before="0" w:after="0"/>
        <w:ind w:firstLine="709"/>
        <w:jc w:val="both"/>
      </w:pPr>
      <w:r>
        <w:rPr>
          <w:rFonts w:ascii="Times New Roman" w:hAnsi="Times New Roman" w:cs="Times New Roman" w:eastAsia="Times New Roman"/>
          <w:sz w:val="28"/>
        </w:rPr>
        <w:t xml:space="preserve">Tarullo kapitalning uch funksiyasini ajratadi: yo‘qotishlarga qarshi bufer; bank yiqilganda kreditorlarni himoya qilish; mulkdorlarning ortiqcha risk olishiga to‘siq bo‘lish [8, 16-b.]. U, shuningdek, «minimal regulyativ kapital talablarini optimal kapital darajasi bilan adashtirmaslik kerak»ligini ta’kidlaydi [8, 27-b.]. Peláez esa kapital talablarining salbiy tomonini ko‘rsatadi: ular bankni xavfsizroq qiladi, lekin bank kapitalining narxini oshiradi va qarz oluvchilar uchun kreditning qisqarishiga olib kelishi mumkin [12, 65–66-b.].</w:t>
      </w:r>
    </w:p>
    <w:p>
      <w:pPr>
        <w:pStyle w:val="BodyText"/>
        <w:spacing w:line="360" w:lineRule="auto" w:before="0" w:after="0"/>
        <w:ind w:firstLine="709"/>
        <w:jc w:val="both"/>
      </w:pPr>
      <w:r>
        <w:rPr>
          <w:rFonts w:ascii="Times New Roman" w:hAnsi="Times New Roman" w:cs="Times New Roman" w:eastAsia="Times New Roman"/>
          <w:sz w:val="28"/>
        </w:rPr>
        <w:t xml:space="preserve">Bu nazariy qoidalar baholash metodikasi uchun ikki aniq xulosa beradi. Birinchidan, kapital yetarliligi moliyaviy barqarorlikni baholashda markaziy, lekin yagona bo‘lmagan blok bo‘lishi kerak. Ikkinchidan, kapital ko‘rsatkichini baholashda regulyativ minimumning bajarilishi «yaxshi» baho uchun yetarli emas: bank minimumdan qanchalik yuqori zaxiraga ega ekani ham hisobga olinishi lozim. Tarullo ma’lumotlariga ko‘ra, G-10 mamlakatlaridagi yirik banklar minimumdan 30 foiz va undan ko‘proq yuqori kapital ushlagan [8, 141–145-b.].</w:t>
      </w:r>
    </w:p>
    <w:p>
      <w:pPr>
        <w:pStyle w:val="BodyText"/>
        <w:spacing w:line="360" w:lineRule="auto" w:before="0" w:after="0"/>
        <w:ind w:firstLine="709"/>
        <w:jc w:val="both"/>
      </w:pPr>
      <w:r>
        <w:rPr>
          <w:bCs/>
          <w:rFonts w:ascii="Times New Roman" w:hAnsi="Times New Roman" w:cs="Times New Roman" w:eastAsia="Times New Roman"/>
          <w:b/>
          <w:sz w:val="28"/>
        </w:rPr>
        <w:t xml:space="preserve">Tizimli risk va tashqi ta’sir (eksternaliya).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inqirozining xarajati bankning o‘zi bilan cheklanmaydi. O.N. Afanasyeva va S.E. Dubova tizimli riskning uch belgisini ko‘rsatadi: moliyaviy xizmatlar ko‘rsatilishining uzilishi, tizimning katta qismini qamrab olishi va zararlanish (contagion) orqali shokning boshqa institutlarga uzatilishi [4, 49-b.]. Mualliflar tizimli riskning ikki o‘lchovini ajratadi: kesim o‘lchovi (konsentratsiya, o‘zaro bog‘liqlik, tizimli ahamiyatli banklar) va vaqt o‘lchovi (protsiklik, leveraj, bum va retsessiya) [4, 52–53-b.]. Bu ajratish moliyaviy barqarorlikni baholashni ham ikki darajaga – alohida bank darajasi (mikroprudensial) va bank tizimi darajasi (makroprudensial) baholashga ajratish uchun nazariy asos bo‘ladi.</w:t>
      </w:r>
    </w:p>
    <w:p>
      <w:pPr>
        <w:pStyle w:val="BodyText"/>
        <w:spacing w:line="360" w:lineRule="auto" w:before="0" w:after="0"/>
        <w:ind w:firstLine="709"/>
        <w:jc w:val="both"/>
      </w:pPr>
      <w:r>
        <w:rPr>
          <w:bCs/>
          <w:rFonts w:ascii="Times New Roman" w:hAnsi="Times New Roman" w:cs="Times New Roman" w:eastAsia="Times New Roman"/>
          <w:b/>
          <w:sz w:val="28"/>
        </w:rPr>
        <w:t xml:space="preserve">Bank-markazli moliya tizimlari uchun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Cargill ma’lumotlariga ko‘ra, 1970–2000-yillarda AQShda nomoliyaviy firmalar tashqi moliyalashning 56 foizini moliya muassasalaridan olgan bo‘lsa, Germaniya va Yaponiyada bu ulush 86 foizga yetgan [14, 186–187-b.]. O‘zbekistonda fond bozori hali shakllanish bosqichida, iqtisodiyotni moliyalashda tijorat banklari asosiy o‘rin tutadi. Bunday bank-markazli tizimda bank barqarorligining buzilishi butun iqtisodiyotga bevosita ta’sir qiladi. Bu esa banklar moliyaviy barqarorligini ishonchli baholashning milliy iqtisodiyot uchun ahamiyatini yanada oshiradi.</w:t>
      </w:r>
    </w:p>
    <w:p>
      <w:pPr>
        <w:pStyle w:val="BodyText"/>
        <w:spacing w:line="360" w:lineRule="auto" w:before="0" w:after="0"/>
        <w:ind w:firstLine="709"/>
        <w:jc w:val="both"/>
      </w:pPr>
      <w:r>
        <w:rPr>
          <w:rFonts w:ascii="Times New Roman" w:hAnsi="Times New Roman" w:cs="Times New Roman" w:eastAsia="Times New Roman"/>
          <w:sz w:val="28"/>
        </w:rPr>
        <w:t xml:space="preserve">Yuqoridagi nazariyalarni umumlashtirib, banklar moliyaviy barqarorligini baholash zaruratini quyidagi to‘rt asosga keltirish mumkin (1.2.1-jadval).</w:t>
      </w:r>
    </w:p>
    <w:p>
      <w:pPr>
        <w:pStyle w:val="BodyText"/>
        <w:spacing w:line="360" w:lineRule="auto" w:before="120" w:after="0"/>
        <w:ind w:firstLine="0"/>
        <w:jc w:val="center"/>
      </w:pPr>
      <w:r>
        <w:rPr>
          <w:bCs/>
          <w:rFonts w:ascii="Times New Roman" w:hAnsi="Times New Roman" w:cs="Times New Roman" w:eastAsia="Times New Roman"/>
          <w:b/>
          <w:sz w:val="28"/>
        </w:rPr>
        <w:t xml:space="preserve">1.2.1-jadval. Banklar moliyaviy barqarorligini baholash zaruratining nazariy asoslari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Nazariy asos</w:t>
            </w:r>
          </w:p>
        </w:tc>
        <w:tc>
          <w:tcPr/>
          <w:p>
            <w:pPr>
              <w:pStyle w:val="Compact"/>
              <w:spacing w:line="240" w:lineRule="auto"/>
              <w:ind w:firstLine="0"/>
              <w:jc w:val="center"/>
            </w:pPr>
            <w:r>
              <w:rPr>
                <w:rFonts w:ascii="Times New Roman" w:hAnsi="Times New Roman" w:cs="Times New Roman" w:eastAsia="Times New Roman"/>
                <w:b/>
                <w:sz w:val="24"/>
              </w:rPr>
              <w:t xml:space="preserve">Mohiyati</w:t>
            </w:r>
          </w:p>
        </w:tc>
        <w:tc>
          <w:tcPr/>
          <w:p>
            <w:pPr>
              <w:pStyle w:val="Compact"/>
              <w:spacing w:line="240" w:lineRule="auto"/>
              <w:ind w:firstLine="0"/>
              <w:jc w:val="center"/>
            </w:pPr>
            <w:r>
              <w:rPr>
                <w:rFonts w:ascii="Times New Roman" w:hAnsi="Times New Roman" w:cs="Times New Roman" w:eastAsia="Times New Roman"/>
                <w:b/>
                <w:sz w:val="24"/>
              </w:rPr>
              <w:t xml:space="preserve">Baholash metodikasi uchun xulosa</w:t>
            </w:r>
          </w:p>
        </w:tc>
      </w:tr>
      <w:tr>
        <w:tc>
          <w:tcPr/>
          <w:p>
            <w:pPr>
              <w:pStyle w:val="Compact"/>
              <w:spacing w:line="240" w:lineRule="auto"/>
              <w:ind w:firstLine="0"/>
              <w:jc w:val="left"/>
            </w:pPr>
            <w:r>
              <w:rPr>
                <w:rFonts w:ascii="Times New Roman" w:hAnsi="Times New Roman" w:cs="Times New Roman" w:eastAsia="Times New Roman"/>
                <w:sz w:val="24"/>
              </w:rPr>
              <w:t xml:space="preserve">Axborot asimmetriyasi</w:t>
            </w:r>
          </w:p>
        </w:tc>
        <w:tc>
          <w:tcPr/>
          <w:p>
            <w:pPr>
              <w:pStyle w:val="Compact"/>
              <w:spacing w:line="240" w:lineRule="auto"/>
              <w:ind w:firstLine="0"/>
              <w:jc w:val="left"/>
            </w:pPr>
            <w:r>
              <w:rPr>
                <w:rFonts w:ascii="Times New Roman" w:hAnsi="Times New Roman" w:cs="Times New Roman" w:eastAsia="Times New Roman"/>
                <w:sz w:val="24"/>
              </w:rPr>
              <w:t xml:space="preserve">Bank aktivlari sifatini tashqaridan aniqlash qiyin [8; 14]</w:t>
            </w:r>
          </w:p>
        </w:tc>
        <w:tc>
          <w:tcPr/>
          <w:p>
            <w:pPr>
              <w:pStyle w:val="Compact"/>
              <w:spacing w:line="240" w:lineRule="auto"/>
              <w:ind w:firstLine="0"/>
              <w:jc w:val="left"/>
            </w:pPr>
            <w:r>
              <w:rPr>
                <w:rFonts w:ascii="Times New Roman" w:hAnsi="Times New Roman" w:cs="Times New Roman" w:eastAsia="Times New Roman"/>
                <w:sz w:val="24"/>
              </w:rPr>
              <w:t xml:space="preserve">Mustaqil tashqi baho zarur; natija hisobot sifati va standartiga bog‘liq</w:t>
            </w:r>
          </w:p>
        </w:tc>
      </w:tr>
      <w:tr>
        <w:tc>
          <w:tcPr/>
          <w:p>
            <w:pPr>
              <w:pStyle w:val="Compact"/>
              <w:spacing w:line="240" w:lineRule="auto"/>
              <w:ind w:firstLine="0"/>
              <w:jc w:val="left"/>
            </w:pPr>
            <w:r>
              <w:rPr>
                <w:rFonts w:ascii="Times New Roman" w:hAnsi="Times New Roman" w:cs="Times New Roman" w:eastAsia="Times New Roman"/>
                <w:sz w:val="24"/>
              </w:rPr>
              <w:t xml:space="preserve">Depozit shartnomasining zaifligi</w:t>
            </w:r>
          </w:p>
        </w:tc>
        <w:tc>
          <w:tcPr/>
          <w:p>
            <w:pPr>
              <w:pStyle w:val="Compact"/>
              <w:spacing w:line="240" w:lineRule="auto"/>
              <w:ind w:firstLine="0"/>
              <w:jc w:val="left"/>
            </w:pPr>
            <w:r>
              <w:rPr>
                <w:rFonts w:ascii="Times New Roman" w:hAnsi="Times New Roman" w:cs="Times New Roman" w:eastAsia="Times New Roman"/>
                <w:sz w:val="24"/>
              </w:rPr>
              <w:t xml:space="preserve">Ishonch yo‘qolsa, bank run yuz berishi mumkin [12]</w:t>
            </w:r>
          </w:p>
        </w:tc>
        <w:tc>
          <w:tcPr/>
          <w:p>
            <w:pPr>
              <w:pStyle w:val="Compact"/>
              <w:spacing w:line="240" w:lineRule="auto"/>
              <w:ind w:firstLine="0"/>
              <w:jc w:val="left"/>
            </w:pPr>
            <w:r>
              <w:rPr>
                <w:rFonts w:ascii="Times New Roman" w:hAnsi="Times New Roman" w:cs="Times New Roman" w:eastAsia="Times New Roman"/>
                <w:sz w:val="24"/>
              </w:rPr>
              <w:t xml:space="preserve">Likvidlik va fondlash barqarorligi alohida blok sifatida baholanishi kerak</w:t>
            </w:r>
          </w:p>
        </w:tc>
      </w:tr>
      <w:tr>
        <w:tc>
          <w:tcPr/>
          <w:p>
            <w:pPr>
              <w:pStyle w:val="Compact"/>
              <w:spacing w:line="240" w:lineRule="auto"/>
              <w:ind w:firstLine="0"/>
              <w:jc w:val="left"/>
            </w:pPr>
            <w:r>
              <w:rPr>
                <w:rFonts w:ascii="Times New Roman" w:hAnsi="Times New Roman" w:cs="Times New Roman" w:eastAsia="Times New Roman"/>
                <w:sz w:val="24"/>
              </w:rPr>
              <w:t xml:space="preserve">Kapitalning bufer funksiyasi</w:t>
            </w:r>
          </w:p>
        </w:tc>
        <w:tc>
          <w:tcPr/>
          <w:p>
            <w:pPr>
              <w:pStyle w:val="Compact"/>
              <w:spacing w:line="240" w:lineRule="auto"/>
              <w:ind w:firstLine="0"/>
              <w:jc w:val="left"/>
            </w:pPr>
            <w:r>
              <w:rPr>
                <w:rFonts w:ascii="Times New Roman" w:hAnsi="Times New Roman" w:cs="Times New Roman" w:eastAsia="Times New Roman"/>
                <w:sz w:val="24"/>
              </w:rPr>
              <w:t xml:space="preserve">Kapital kutilmagan yo‘qotishlarni qoplaydi, lekin uning narxi bor [8; 12; 14]</w:t>
            </w:r>
          </w:p>
        </w:tc>
        <w:tc>
          <w:tcPr/>
          <w:p>
            <w:pPr>
              <w:pStyle w:val="Compact"/>
              <w:spacing w:line="240" w:lineRule="auto"/>
              <w:ind w:firstLine="0"/>
              <w:jc w:val="left"/>
            </w:pPr>
            <w:r>
              <w:rPr>
                <w:rFonts w:ascii="Times New Roman" w:hAnsi="Times New Roman" w:cs="Times New Roman" w:eastAsia="Times New Roman"/>
                <w:sz w:val="24"/>
              </w:rPr>
              <w:t xml:space="preserve">Kapital markaziy blok; baho minimumdan ortiq zaxiraga qarab beriladi</w:t>
            </w:r>
          </w:p>
        </w:tc>
      </w:tr>
      <w:tr>
        <w:tc>
          <w:tcPr/>
          <w:p>
            <w:pPr>
              <w:pStyle w:val="Compact"/>
              <w:spacing w:line="240" w:lineRule="auto"/>
              <w:ind w:firstLine="0"/>
              <w:jc w:val="left"/>
            </w:pPr>
            <w:r>
              <w:rPr>
                <w:rFonts w:ascii="Times New Roman" w:hAnsi="Times New Roman" w:cs="Times New Roman" w:eastAsia="Times New Roman"/>
                <w:sz w:val="24"/>
              </w:rPr>
              <w:t xml:space="preserve">Tizimli risk va eksternaliya</w:t>
            </w:r>
          </w:p>
        </w:tc>
        <w:tc>
          <w:tcPr/>
          <w:p>
            <w:pPr>
              <w:pStyle w:val="Compact"/>
              <w:spacing w:line="240" w:lineRule="auto"/>
              <w:ind w:firstLine="0"/>
              <w:jc w:val="left"/>
            </w:pPr>
            <w:r>
              <w:rPr>
                <w:rFonts w:ascii="Times New Roman" w:hAnsi="Times New Roman" w:cs="Times New Roman" w:eastAsia="Times New Roman"/>
                <w:sz w:val="24"/>
              </w:rPr>
              <w:t xml:space="preserve">Bitta bank inqirozi butun tizimga tarqaladi [4; 13]</w:t>
            </w:r>
          </w:p>
        </w:tc>
        <w:tc>
          <w:tcPr/>
          <w:p>
            <w:pPr>
              <w:pStyle w:val="Compact"/>
              <w:spacing w:line="240" w:lineRule="auto"/>
              <w:ind w:firstLine="0"/>
              <w:jc w:val="left"/>
            </w:pPr>
            <w:r>
              <w:rPr>
                <w:rFonts w:ascii="Times New Roman" w:hAnsi="Times New Roman" w:cs="Times New Roman" w:eastAsia="Times New Roman"/>
                <w:sz w:val="24"/>
              </w:rPr>
              <w:t xml:space="preserve">Mikro va makro darajadagi baholash uyg‘unlashtirilishi kerak</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[4; 8; 12; 13; 14] asosida tuzilgan.</w:t>
      </w:r>
    </w:p>
    <w:bookmarkEnd w:id="20"/>
    <w:bookmarkStart w:id="21" w:name="Xd4a13dc7e6b2533f34ac7f065104b5d5cc363f5"/>
    <w:p>
      <w:pPr>
        <w:pStyle w:val="Heading3"/>
        <w:spacing w:line="360" w:lineRule="auto" w:before="240" w:after="120"/>
        <w:ind w:firstLine="709"/>
        <w:jc w:val="both"/>
      </w:pPr>
      <w:r>
        <w:rPr>
          <w:rFonts w:ascii="Times New Roman" w:hAnsi="Times New Roman" w:cs="Times New Roman" w:eastAsia="Times New Roman"/>
          <w:b/>
          <w:i w:val="0"/>
          <w:sz w:val="28"/>
        </w:rPr>
        <w:t xml:space="preserve">2. Baholash ob’ekti: «moliyaviy holat» va «moliyaviy barqarorlik»</w:t>
      </w:r>
    </w:p>
    <w:p>
      <w:pPr>
        <w:pStyle w:val="FirstParagraph"/>
        <w:spacing w:line="360" w:lineRule="auto" w:before="0" w:after="0"/>
        <w:ind w:firstLine="709"/>
        <w:jc w:val="both"/>
      </w:pPr>
      <w:r>
        <w:rPr>
          <w:rFonts w:ascii="Times New Roman" w:hAnsi="Times New Roman" w:cs="Times New Roman" w:eastAsia="Times New Roman"/>
          <w:sz w:val="28"/>
        </w:rPr>
        <w:t xml:space="preserve">Baholash metodikasini tuzishda birinchi navbatda aynan nima baholanayotganini aniq belgilash kerak. Iqtisodiy adabiyotda va amaliyotda «bankning moliyaviy holatini baholash» va «bankning moliyaviy barqarorligini baholash» iboralari ko‘pincha sinonim sifatida ishlatiladi. Biroq ular orasida muhim nazariy farq bor.</w:t>
      </w:r>
    </w:p>
    <w:p>
      <w:pPr>
        <w:pStyle w:val="BodyText"/>
        <w:spacing w:line="360" w:lineRule="auto" w:before="0" w:after="0"/>
        <w:ind w:firstLine="709"/>
        <w:jc w:val="both"/>
      </w:pPr>
      <w:r>
        <w:rPr>
          <w:rFonts w:ascii="Times New Roman" w:hAnsi="Times New Roman" w:cs="Times New Roman" w:eastAsia="Times New Roman"/>
          <w:sz w:val="28"/>
        </w:rPr>
        <w:t xml:space="preserve">O.I. Lavrushin va I.D. Mamonova bu farqni quyidagicha izohlaydi: moliyaviy holat – bu ma’lum sanadagi statik baho, moliyaviy barqarorlik esa dinamik tavsif bo‘lib, bankning tashqi va ichki risklarga nisbatan moliyaviy mustahkamlik zaxirasini aks ettiradi [1, 49-b.]. Mualliflar boshqa joyda bu fikrni yanada aniqroq ifodalaydi: moliyaviy barqarorlik bankning moliyaviy holati emas, balki uning faoliyatining rivojlanish jarayonidir [1, 28-b.].</w:t>
      </w:r>
    </w:p>
    <w:p>
      <w:pPr>
        <w:pStyle w:val="BodyText"/>
        <w:spacing w:line="360" w:lineRule="auto" w:before="0" w:after="0"/>
        <w:ind w:firstLine="709"/>
        <w:jc w:val="both"/>
      </w:pPr>
      <w:r>
        <w:rPr>
          <w:rFonts w:ascii="Times New Roman" w:hAnsi="Times New Roman" w:cs="Times New Roman" w:eastAsia="Times New Roman"/>
          <w:sz w:val="28"/>
        </w:rPr>
        <w:t xml:space="preserve">Bu yondashuvga ko‘ra, moliyaviy barqarorlik ikki shartga tayanadi [1, 57–61-b.]:</w:t>
      </w:r>
    </w:p>
    <w:p>
      <w:pPr>
        <w:numPr>
          <w:ilvl w:val="0"/>
          <w:numId w:val="1001"/>
        </w:numPr>
        <w:pStyle w:val="Compact"/>
        <w:spacing w:line="360" w:lineRule="auto" w:before="0" w:after="0"/>
        <w:ind w:firstLine="0"/>
        <w:jc w:val="both"/>
      </w:pPr>
      <w:r>
        <w:rPr>
          <w:bCs/>
          <w:rFonts w:ascii="Times New Roman" w:hAnsi="Times New Roman" w:cs="Times New Roman" w:eastAsia="Times New Roman"/>
          <w:b/>
          <w:sz w:val="28"/>
        </w:rPr>
        <w:t xml:space="preserve">oqim va natijalarning stabilligi.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 kamida 3–5 yillik dinamika orqali tekshiriladi: ko‘rsatkichlarda aniq trend bo‘lishi va keskin qarama-qarshi tebranishlar bo‘lmasligi kerak;</w:t>
      </w:r>
    </w:p>
    <w:p>
      <w:pPr>
        <w:numPr>
          <w:ilvl w:val="0"/>
          <w:numId w:val="1001"/>
        </w:numPr>
        <w:pStyle w:val="Compact"/>
        <w:spacing w:line="360" w:lineRule="auto" w:before="0" w:after="0"/>
        <w:ind w:firstLine="0"/>
        <w:jc w:val="both"/>
      </w:pPr>
      <w:r>
        <w:rPr>
          <w:bCs/>
          <w:rFonts w:ascii="Times New Roman" w:hAnsi="Times New Roman" w:cs="Times New Roman" w:eastAsia="Times New Roman"/>
          <w:b/>
          <w:sz w:val="28"/>
        </w:rPr>
        <w:t xml:space="preserve">tizim elementlarining muvozanati.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Masalan, kreditlar o‘sishi depozitlar, kapital, zaxiralar va foyda o‘sishi bilan birga borishi lozim.</w:t>
      </w:r>
    </w:p>
    <w:p>
      <w:pPr>
        <w:pStyle w:val="FirstParagraph"/>
        <w:spacing w:line="360" w:lineRule="auto" w:before="0" w:after="0"/>
        <w:ind w:firstLine="709"/>
        <w:jc w:val="both"/>
      </w:pPr>
      <w:r>
        <w:rPr>
          <w:rFonts w:ascii="Times New Roman" w:hAnsi="Times New Roman" w:cs="Times New Roman" w:eastAsia="Times New Roman"/>
          <w:sz w:val="28"/>
        </w:rPr>
        <w:t xml:space="preserve">O.I. Lavrushin tahriridagi boshqa monografiyada ham shu mantiq davom ettiriladi. Unda barqarorlik stabillikdan farqlanadi: stabillik – status-kvo, ya’ni holatning saqlanishi, barqarorlik esa harakat va rivojlanish; barqarorlik natija, stabillik esa uni ta’minlovchi sabab hisoblanadi [3, 37-b.]. Barqaror bankning belgilari sifatida rivojlanib boruvchi resurs bazasi va undan samarali foydalanish, bu esa aktivlar sifati, daromadlar stabilligi, likvidlik va boshqaruvning yuqori darajasida namoyon bo‘lishi ko‘rsatiladi [3, 40-b.].</w:t>
      </w:r>
    </w:p>
    <w:p>
      <w:pPr>
        <w:pStyle w:val="BodyText"/>
        <w:spacing w:line="360" w:lineRule="auto" w:before="0" w:after="0"/>
        <w:ind w:firstLine="709"/>
        <w:jc w:val="both"/>
      </w:pPr>
      <w:r>
        <w:rPr>
          <w:rFonts w:ascii="Times New Roman" w:hAnsi="Times New Roman" w:cs="Times New Roman" w:eastAsia="Times New Roman"/>
          <w:sz w:val="28"/>
        </w:rPr>
        <w:t xml:space="preserve">Xorijiy adabiyotda barqarorlik ko‘proq ishonch va inqirozga chidamlilik orqali ta’riflanadi. Hendrickson moliyaviy barqarorlikni asosiy moliya institutlari foydalanuvchilarda yuqori ishonch uyg‘otadigan va bu ishonch uchun tashqi yordam talab qilinmaydigan holat deb ta’riflaydi; beqarorlikning kaliti esa kutilmagan ishonch yo‘qotilishidir [13, 6–7-b.]. A. Thakor sog‘lom moliya tizimi umuman inqirozga uchramaydigan tizim emasligini ta’kidlaydi: unda vaqti-vaqti bilan alohida banklar davlat yordamisiz bankrot bo‘lishi tabiiy hol [9, 13–16-b.].</w:t>
      </w:r>
    </w:p>
    <w:p>
      <w:pPr>
        <w:pStyle w:val="BodyText"/>
        <w:spacing w:line="360" w:lineRule="auto" w:before="0" w:after="0"/>
        <w:ind w:firstLine="709"/>
        <w:jc w:val="both"/>
      </w:pPr>
      <w:r>
        <w:rPr>
          <w:rFonts w:ascii="Times New Roman" w:hAnsi="Times New Roman" w:cs="Times New Roman" w:eastAsia="Times New Roman"/>
          <w:sz w:val="28"/>
        </w:rPr>
        <w:t xml:space="preserve">Bu ta’riflarni solishtirish baholash metodikasi uchun uchta muhim xulosa beradi.</w:t>
      </w:r>
    </w:p>
    <w:p>
      <w:pPr>
        <w:pStyle w:val="BodyText"/>
        <w:spacing w:line="360" w:lineRule="auto" w:before="0" w:after="0"/>
        <w:ind w:firstLine="709"/>
        <w:jc w:val="both"/>
      </w:pPr>
      <w:r>
        <w:rPr>
          <w:iCs/>
          <w:rFonts w:ascii="Times New Roman" w:hAnsi="Times New Roman" w:cs="Times New Roman" w:eastAsia="Times New Roman"/>
          <w:i/>
          <w:sz w:val="28"/>
        </w:rPr>
        <w:t xml:space="preserve">Birinchidan,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bir sanadagi ko‘rsatkichlar bilan to‘liq baholab bo‘lmaydi. Baholash metodikasi albatta dinamik elementni o‘z ichiga olishi kerak: ko‘rsatkichlarning bir necha davrdagi o‘zgarishi, trendi va tebranishi. Shu jihatdan Rossiya Banki 2005-U ko‘rsatmasiga asoslangan tizimning asosiy kamchiliklaridan biri sifatida dinamikaning hisobga olinmasligi va prognozning yo‘qligi ko‘rsatiladi [3, 49-b.].</w:t>
      </w:r>
    </w:p>
    <w:p>
      <w:pPr>
        <w:pStyle w:val="BodyText"/>
        <w:spacing w:line="360" w:lineRule="auto" w:before="0" w:after="0"/>
        <w:ind w:firstLine="709"/>
        <w:jc w:val="both"/>
      </w:pPr>
      <w:r>
        <w:rPr>
          <w:iCs/>
          <w:rFonts w:ascii="Times New Roman" w:hAnsi="Times New Roman" w:cs="Times New Roman" w:eastAsia="Times New Roman"/>
          <w:i/>
          <w:sz w:val="28"/>
        </w:rPr>
        <w:t xml:space="preserve">Ikkinchidan,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barqarorlik muvozanat bilan bog‘liq. Bu shuni anglatadiki, ayrim ko‘rsatkichlarning juda yuqori qiymati ham ijobiy baholanmasligi mumkin. Masalan, kreditlarning keskin o‘sishi bir qarashda faollik belgisi bo‘lsa-da, Lavrushin va Mamonova uni erta ogohlantirish signallari qatoriga kiritadi [1, 45-b.]. A.M. Karminskiy ekonometrik modellarida ham ayrim ko‘rsatkichlar (kapitalning aktivlarga nisbati, kreditlar ulushi) bank barqarorligiga U-shaklida, ya’ni optimal oraliq orqali ta’sir qilishi aniqlangan [2, 100, 193–195-b.]. Demak, baholash shkalasi har doim ham «qancha ko‘p bo‘lsa, shuncha yaxshi» tamoyiliga asoslanmasligi kerak.</w:t>
      </w:r>
    </w:p>
    <w:p>
      <w:pPr>
        <w:pStyle w:val="BodyText"/>
        <w:spacing w:line="360" w:lineRule="auto" w:before="0" w:after="0"/>
        <w:ind w:firstLine="709"/>
        <w:jc w:val="both"/>
      </w:pPr>
      <w:r>
        <w:rPr>
          <w:iCs/>
          <w:rFonts w:ascii="Times New Roman" w:hAnsi="Times New Roman" w:cs="Times New Roman" w:eastAsia="Times New Roman"/>
          <w:i/>
          <w:sz w:val="28"/>
        </w:rPr>
        <w:t xml:space="preserve">Uchinchidan,</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 tizimda ham alohida banklar bankrot bo‘lishi mumkin. Shuning uchun baholashning maqsadi muammoli banklarni o‘z vaqtida aniqlash, ya’ni erta ogohlantirishdir.</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quyidagi ishchi ta’rif taklif etiladi:</w:t>
      </w:r>
    </w:p>
    <w:p>
      <w:pPr>
        <w:pStyle w:val="BlockText"/>
        <w:spacing w:line="360" w:lineRule="auto" w:before="0" w:after="0"/>
        <w:ind w:firstLine="709"/>
        <w:jc w:val="both"/>
      </w:pPr>
      <w:r>
        <w:rPr>
          <w:bCs/>
          <w:rFonts w:ascii="Times New Roman" w:hAnsi="Times New Roman" w:cs="Times New Roman" w:eastAsia="Times New Roman"/>
          <w:b/>
          <w:sz w:val="28"/>
        </w:rPr>
        <w:t xml:space="preserve">Tijorat banki moliyaviy barqarorligini baholash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kapital, aktivlar sifati, daromadlilik, likvidlik va bozor risklariga sezgirlik bo‘yicha joriy holati, uning dinamikasi va muvozanatini mezoniy qiymatlar asosida o‘lchab, yagona integral bahoga keltirish orqali bankning tashqi va ichki shoklarga bardosh berish qobiliyatini aniqlash jarayonidir.</w:t>
      </w:r>
    </w:p>
    <w:p>
      <w:pPr>
        <w:pStyle w:val="FirstParagraph"/>
        <w:spacing w:line="360" w:lineRule="auto" w:before="0" w:after="0"/>
        <w:ind w:firstLine="709"/>
        <w:jc w:val="both"/>
      </w:pPr>
      <w:r>
        <w:rPr>
          <w:rFonts w:ascii="Times New Roman" w:hAnsi="Times New Roman" w:cs="Times New Roman" w:eastAsia="Times New Roman"/>
          <w:sz w:val="28"/>
        </w:rPr>
        <w:t xml:space="preserve">Bu ta’rif an’anaviy «moliyaviy holatni baholash» tushunchasidan uchta jihati bilan farq qiladi: unda dinamika va muvozanat baholash ob’ektiga kiritilgan; baholash mezoniy qiymatlarga, ya’ni oldindan belgilangan chegaralarga tayanadi; natija yagona integral baho shaklida ifodalanadi.</w:t>
      </w:r>
    </w:p>
    <w:bookmarkEnd w:id="21"/>
    <w:bookmarkStart w:id="22" w:name="Xf20c4aa8abe369df9a047afa618d4577bd84af2"/>
    <w:p>
      <w:pPr>
        <w:pStyle w:val="Heading3"/>
        <w:spacing w:line="360" w:lineRule="auto" w:before="240" w:after="120"/>
        <w:ind w:firstLine="709"/>
        <w:jc w:val="both"/>
      </w:pPr>
      <w:r>
        <w:rPr>
          <w:rFonts w:ascii="Times New Roman" w:hAnsi="Times New Roman" w:cs="Times New Roman" w:eastAsia="Times New Roman"/>
          <w:b/>
          <w:i w:val="0"/>
          <w:sz w:val="28"/>
        </w:rPr>
        <w:t xml:space="preserve">3. Baholash tizimining tarkibiy elementlari va tamoyillari</w:t>
      </w:r>
    </w:p>
    <w:p>
      <w:pPr>
        <w:pStyle w:val="FirstParagraph"/>
        <w:spacing w:line="360" w:lineRule="auto" w:before="0" w:after="0"/>
        <w:ind w:firstLine="709"/>
        <w:jc w:val="both"/>
      </w:pPr>
      <w:r>
        <w:rPr>
          <w:bCs/>
          <w:rFonts w:ascii="Times New Roman" w:hAnsi="Times New Roman" w:cs="Times New Roman" w:eastAsia="Times New Roman"/>
          <w:b/>
          <w:sz w:val="28"/>
        </w:rPr>
        <w:t xml:space="preserve">Baholash tizimining elementlari.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Lavrushin va Mamonova moliyaviy barqarorlikni baholashni tizim sifatida ko‘rib, uning quyidagi elementlarini ajratadi [1, 48–52-b.]:</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sub’ekt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baholashni amalga oshiruvchi: nazorat organi, reyting agentligi, auditor, sherik banklar, mijozlar va bankning o‘zi;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ob’ekt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baholanayotgan bank yoki bank tizimi;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normativ-huquqiy asos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 qoidalari va talablari;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mexanizm</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baholash vositalari, protseduralari va tashkiliy choralari;</w:t>
      </w:r>
    </w:p>
    <w:p>
      <w:pPr>
        <w:numPr>
          <w:ilvl w:val="0"/>
          <w:numId w:val="1002"/>
        </w:numPr>
        <w:pStyle w:val="Compact"/>
        <w:spacing w:line="360" w:lineRule="auto" w:before="0" w:after="0"/>
        <w:ind w:firstLine="0"/>
        <w:jc w:val="both"/>
      </w:pPr>
      <w:r>
        <w:rPr>
          <w:bCs/>
          <w:rFonts w:ascii="Times New Roman" w:hAnsi="Times New Roman" w:cs="Times New Roman" w:eastAsia="Times New Roman"/>
          <w:b/>
          <w:sz w:val="28"/>
        </w:rPr>
        <w:t xml:space="preserve">yig‘ma baho</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formallashgan (reyting yoki ball) yoki formallashmagan xulosa.</w:t>
      </w:r>
    </w:p>
    <w:p>
      <w:pPr>
        <w:pStyle w:val="FirstParagraph"/>
        <w:spacing w:line="360" w:lineRule="auto" w:before="0" w:after="0"/>
        <w:ind w:firstLine="709"/>
        <w:jc w:val="both"/>
      </w:pPr>
      <w:r>
        <w:rPr>
          <w:rFonts w:ascii="Times New Roman" w:hAnsi="Times New Roman" w:cs="Times New Roman" w:eastAsia="Times New Roman"/>
          <w:sz w:val="28"/>
        </w:rPr>
        <w:t xml:space="preserve">Muhim jihat shundaki, turli sub’ektlar bir bankni turli maqsadda baholaydi va shunga ko‘ra ularning metodikasi, axborot bazasi va natijasi ham farq qiladi. Mualliflarning fikricha, to‘liq barqarorlik bahosini faqat bankning o‘zi, regulyator va qisman reyting agentligi bera oladi [1, 49–50-b.], chunki ular ichki axborotga ega. Boshqa sub’ektlar faqat ochiq hisobotlarga tayanadi.</w:t>
      </w:r>
    </w:p>
    <w:p>
      <w:pPr>
        <w:pStyle w:val="BodyText"/>
        <w:spacing w:line="360" w:lineRule="auto" w:before="0" w:after="0"/>
        <w:ind w:firstLine="709"/>
        <w:jc w:val="both"/>
      </w:pPr>
      <w:r>
        <w:rPr>
          <w:rFonts w:ascii="Times New Roman" w:hAnsi="Times New Roman" w:cs="Times New Roman" w:eastAsia="Times New Roman"/>
          <w:sz w:val="28"/>
        </w:rPr>
        <w:t xml:space="preserve">Masalan, Ye.P. Shatalova tahlil qilgan kontragent-banklarni baholash algoritmida maqsad banklararo limit o‘rnatish bo‘lib, baho oylik asosda, oxirgi uchta hisobot sanasi bo‘yicha beriladi [5, 178–186-b.]. Regulyator esa ichki axborotdan foydalanadi va uning bahosi ko‘pincha oshkor qilinmaydi: AQShda CAMELS ballari zararlanish (contagion) xavfi tufayli e’lon qilinmaydi [14, 194–195-b.]. Turli sub’ektlarning baholash xususiyatlari 1.2.2-jadvalda umumlashtirilgan.</w:t>
      </w:r>
    </w:p>
    <w:p>
      <w:pPr>
        <w:pStyle w:val="BodyText"/>
        <w:spacing w:line="360" w:lineRule="auto" w:before="120" w:after="0"/>
        <w:ind w:firstLine="0"/>
        <w:jc w:val="center"/>
      </w:pPr>
      <w:r>
        <w:rPr>
          <w:bCs/>
          <w:rFonts w:ascii="Times New Roman" w:hAnsi="Times New Roman" w:cs="Times New Roman" w:eastAsia="Times New Roman"/>
          <w:b/>
          <w:sz w:val="28"/>
        </w:rPr>
        <w:t xml:space="preserve">1.2.2-jadval. Moliyaviy barqarorlikni baholash sub’ektlari va ularning xususiyatlari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Sub’ekt</w:t>
            </w:r>
          </w:p>
        </w:tc>
        <w:tc>
          <w:tcPr/>
          <w:p>
            <w:pPr>
              <w:pStyle w:val="Compact"/>
              <w:spacing w:line="240" w:lineRule="auto"/>
              <w:ind w:firstLine="0"/>
              <w:jc w:val="center"/>
            </w:pPr>
            <w:r>
              <w:rPr>
                <w:rFonts w:ascii="Times New Roman" w:hAnsi="Times New Roman" w:cs="Times New Roman" w:eastAsia="Times New Roman"/>
                <w:b/>
                <w:sz w:val="24"/>
              </w:rPr>
              <w:t xml:space="preserve">Baholash maqsadi</w:t>
            </w:r>
          </w:p>
        </w:tc>
        <w:tc>
          <w:tcPr/>
          <w:p>
            <w:pPr>
              <w:pStyle w:val="Compact"/>
              <w:spacing w:line="240" w:lineRule="auto"/>
              <w:ind w:firstLine="0"/>
              <w:jc w:val="center"/>
            </w:pPr>
            <w:r>
              <w:rPr>
                <w:rFonts w:ascii="Times New Roman" w:hAnsi="Times New Roman" w:cs="Times New Roman" w:eastAsia="Times New Roman"/>
                <w:b/>
                <w:sz w:val="24"/>
              </w:rPr>
              <w:t xml:space="preserve">Axborot bazasi</w:t>
            </w:r>
          </w:p>
        </w:tc>
        <w:tc>
          <w:tcPr/>
          <w:p>
            <w:pPr>
              <w:pStyle w:val="Compact"/>
              <w:spacing w:line="240" w:lineRule="auto"/>
              <w:ind w:firstLine="0"/>
              <w:jc w:val="center"/>
            </w:pPr>
            <w:r>
              <w:rPr>
                <w:rFonts w:ascii="Times New Roman" w:hAnsi="Times New Roman" w:cs="Times New Roman" w:eastAsia="Times New Roman"/>
                <w:b/>
                <w:sz w:val="24"/>
              </w:rPr>
              <w:t xml:space="preserve">Natijaning oshkoraligi</w:t>
            </w:r>
          </w:p>
        </w:tc>
      </w:tr>
      <w:tr>
        <w:tc>
          <w:tcPr/>
          <w:p>
            <w:pPr>
              <w:pStyle w:val="Compact"/>
              <w:spacing w:line="240" w:lineRule="auto"/>
              <w:ind w:firstLine="0"/>
              <w:jc w:val="left"/>
            </w:pPr>
            <w:r>
              <w:rPr>
                <w:rFonts w:ascii="Times New Roman" w:hAnsi="Times New Roman" w:cs="Times New Roman" w:eastAsia="Times New Roman"/>
                <w:sz w:val="24"/>
              </w:rPr>
              <w:t xml:space="preserve">Markaziy bank (regulyator)</w:t>
            </w:r>
          </w:p>
        </w:tc>
        <w:tc>
          <w:tcPr/>
          <w:p>
            <w:pPr>
              <w:pStyle w:val="Compact"/>
              <w:spacing w:line="240" w:lineRule="auto"/>
              <w:ind w:firstLine="0"/>
              <w:jc w:val="left"/>
            </w:pPr>
            <w:r>
              <w:rPr>
                <w:rFonts w:ascii="Times New Roman" w:hAnsi="Times New Roman" w:cs="Times New Roman" w:eastAsia="Times New Roman"/>
                <w:sz w:val="24"/>
              </w:rPr>
              <w:t xml:space="preserve">Nazorat choralarini belgilash, muammoli banklarni aniqlash</w:t>
            </w:r>
          </w:p>
        </w:tc>
        <w:tc>
          <w:tcPr/>
          <w:p>
            <w:pPr>
              <w:pStyle w:val="Compact"/>
              <w:spacing w:line="240" w:lineRule="auto"/>
              <w:ind w:firstLine="0"/>
              <w:jc w:val="left"/>
            </w:pPr>
            <w:r>
              <w:rPr>
                <w:rFonts w:ascii="Times New Roman" w:hAnsi="Times New Roman" w:cs="Times New Roman" w:eastAsia="Times New Roman"/>
                <w:sz w:val="24"/>
              </w:rPr>
              <w:t xml:space="preserve">Hisobotlar, joyida tekshiruv, ichki axborot</w:t>
            </w:r>
          </w:p>
        </w:tc>
        <w:tc>
          <w:tcPr/>
          <w:p>
            <w:pPr>
              <w:pStyle w:val="Compact"/>
              <w:spacing w:line="240" w:lineRule="auto"/>
              <w:ind w:firstLine="0"/>
              <w:jc w:val="left"/>
            </w:pPr>
            <w:r>
              <w:rPr>
                <w:rFonts w:ascii="Times New Roman" w:hAnsi="Times New Roman" w:cs="Times New Roman" w:eastAsia="Times New Roman"/>
                <w:sz w:val="24"/>
              </w:rPr>
              <w:t xml:space="preserve">Odatda yopiq</w:t>
            </w:r>
          </w:p>
        </w:tc>
      </w:tr>
      <w:tr>
        <w:tc>
          <w:tcPr/>
          <w:p>
            <w:pPr>
              <w:pStyle w:val="Compact"/>
              <w:spacing w:line="240" w:lineRule="auto"/>
              <w:ind w:firstLine="0"/>
              <w:jc w:val="left"/>
            </w:pPr>
            <w:r>
              <w:rPr>
                <w:rFonts w:ascii="Times New Roman" w:hAnsi="Times New Roman" w:cs="Times New Roman" w:eastAsia="Times New Roman"/>
                <w:sz w:val="24"/>
              </w:rPr>
              <w:t xml:space="preserve">Reyting agentligi</w:t>
            </w:r>
          </w:p>
        </w:tc>
        <w:tc>
          <w:tcPr/>
          <w:p>
            <w:pPr>
              <w:pStyle w:val="Compact"/>
              <w:spacing w:line="240" w:lineRule="auto"/>
              <w:ind w:firstLine="0"/>
              <w:jc w:val="left"/>
            </w:pPr>
            <w:r>
              <w:rPr>
                <w:rFonts w:ascii="Times New Roman" w:hAnsi="Times New Roman" w:cs="Times New Roman" w:eastAsia="Times New Roman"/>
                <w:sz w:val="24"/>
              </w:rPr>
              <w:t xml:space="preserve">Investor va kreditorlarga kreditga layoqatlilik haqida axborot berish</w:t>
            </w:r>
          </w:p>
        </w:tc>
        <w:tc>
          <w:tcPr/>
          <w:p>
            <w:pPr>
              <w:pStyle w:val="Compact"/>
              <w:spacing w:line="240" w:lineRule="auto"/>
              <w:ind w:firstLine="0"/>
              <w:jc w:val="left"/>
            </w:pPr>
            <w:r>
              <w:rPr>
                <w:rFonts w:ascii="Times New Roman" w:hAnsi="Times New Roman" w:cs="Times New Roman" w:eastAsia="Times New Roman"/>
                <w:sz w:val="24"/>
              </w:rPr>
              <w:t xml:space="preserve">Ochiq hisobotlar, bank rahbariyati bilan uchrashuvlar</w:t>
            </w:r>
          </w:p>
        </w:tc>
        <w:tc>
          <w:tcPr/>
          <w:p>
            <w:pPr>
              <w:pStyle w:val="Compact"/>
              <w:spacing w:line="240" w:lineRule="auto"/>
              <w:ind w:firstLine="0"/>
              <w:jc w:val="left"/>
            </w:pPr>
            <w:r>
              <w:rPr>
                <w:rFonts w:ascii="Times New Roman" w:hAnsi="Times New Roman" w:cs="Times New Roman" w:eastAsia="Times New Roman"/>
                <w:sz w:val="24"/>
              </w:rPr>
              <w:t xml:space="preserve">Ochiq</w:t>
            </w:r>
          </w:p>
        </w:tc>
      </w:tr>
      <w:tr>
        <w:tc>
          <w:tcPr/>
          <w:p>
            <w:pPr>
              <w:pStyle w:val="Compact"/>
              <w:spacing w:line="240" w:lineRule="auto"/>
              <w:ind w:firstLine="0"/>
              <w:jc w:val="left"/>
            </w:pPr>
            <w:r>
              <w:rPr>
                <w:rFonts w:ascii="Times New Roman" w:hAnsi="Times New Roman" w:cs="Times New Roman" w:eastAsia="Times New Roman"/>
                <w:sz w:val="24"/>
              </w:rPr>
              <w:t xml:space="preserve">Kontragent bank</w:t>
            </w:r>
          </w:p>
        </w:tc>
        <w:tc>
          <w:tcPr/>
          <w:p>
            <w:pPr>
              <w:pStyle w:val="Compact"/>
              <w:spacing w:line="240" w:lineRule="auto"/>
              <w:ind w:firstLine="0"/>
              <w:jc w:val="left"/>
            </w:pPr>
            <w:r>
              <w:rPr>
                <w:rFonts w:ascii="Times New Roman" w:hAnsi="Times New Roman" w:cs="Times New Roman" w:eastAsia="Times New Roman"/>
                <w:sz w:val="24"/>
              </w:rPr>
              <w:t xml:space="preserve">Banklararo limit va zaxira toifasini belgilash</w:t>
            </w:r>
          </w:p>
        </w:tc>
        <w:tc>
          <w:tcPr/>
          <w:p>
            <w:pPr>
              <w:pStyle w:val="Compact"/>
              <w:spacing w:line="240" w:lineRule="auto"/>
              <w:ind w:firstLine="0"/>
              <w:jc w:val="left"/>
            </w:pPr>
            <w:r>
              <w:rPr>
                <w:rFonts w:ascii="Times New Roman" w:hAnsi="Times New Roman" w:cs="Times New Roman" w:eastAsia="Times New Roman"/>
                <w:sz w:val="24"/>
              </w:rPr>
              <w:t xml:space="preserve">Ochiq hisobotlar</w:t>
            </w:r>
          </w:p>
        </w:tc>
        <w:tc>
          <w:tcPr/>
          <w:p>
            <w:pPr>
              <w:pStyle w:val="Compact"/>
              <w:spacing w:line="240" w:lineRule="auto"/>
              <w:ind w:firstLine="0"/>
              <w:jc w:val="left"/>
            </w:pPr>
            <w:r>
              <w:rPr>
                <w:rFonts w:ascii="Times New Roman" w:hAnsi="Times New Roman" w:cs="Times New Roman" w:eastAsia="Times New Roman"/>
                <w:sz w:val="24"/>
              </w:rPr>
              <w:t xml:space="preserve">Yopiq (ichki)</w:t>
            </w:r>
          </w:p>
        </w:tc>
      </w:tr>
      <w:tr>
        <w:tc>
          <w:tcPr/>
          <w:p>
            <w:pPr>
              <w:pStyle w:val="Compact"/>
              <w:spacing w:line="240" w:lineRule="auto"/>
              <w:ind w:firstLine="0"/>
              <w:jc w:val="left"/>
            </w:pPr>
            <w:r>
              <w:rPr>
                <w:rFonts w:ascii="Times New Roman" w:hAnsi="Times New Roman" w:cs="Times New Roman" w:eastAsia="Times New Roman"/>
                <w:sz w:val="24"/>
              </w:rPr>
              <w:t xml:space="preserve">Auditor</w:t>
            </w:r>
          </w:p>
        </w:tc>
        <w:tc>
          <w:tcPr/>
          <w:p>
            <w:pPr>
              <w:pStyle w:val="Compact"/>
              <w:spacing w:line="240" w:lineRule="auto"/>
              <w:ind w:firstLine="0"/>
              <w:jc w:val="left"/>
            </w:pPr>
            <w:r>
              <w:rPr>
                <w:rFonts w:ascii="Times New Roman" w:hAnsi="Times New Roman" w:cs="Times New Roman" w:eastAsia="Times New Roman"/>
                <w:sz w:val="24"/>
              </w:rPr>
              <w:t xml:space="preserve">Hisobotning ishonchliligi va faoliyat uzluksizligini tasdiqlash</w:t>
            </w:r>
          </w:p>
        </w:tc>
        <w:tc>
          <w:tcPr/>
          <w:p>
            <w:pPr>
              <w:pStyle w:val="Compact"/>
              <w:spacing w:line="240" w:lineRule="auto"/>
              <w:ind w:firstLine="0"/>
              <w:jc w:val="left"/>
            </w:pPr>
            <w:r>
              <w:rPr>
                <w:rFonts w:ascii="Times New Roman" w:hAnsi="Times New Roman" w:cs="Times New Roman" w:eastAsia="Times New Roman"/>
                <w:sz w:val="24"/>
              </w:rPr>
              <w:t xml:space="preserve">To‘liq ichki axborot</w:t>
            </w:r>
          </w:p>
        </w:tc>
        <w:tc>
          <w:tcPr/>
          <w:p>
            <w:pPr>
              <w:pStyle w:val="Compact"/>
              <w:spacing w:line="240" w:lineRule="auto"/>
              <w:ind w:firstLine="0"/>
              <w:jc w:val="left"/>
            </w:pPr>
            <w:r>
              <w:rPr>
                <w:rFonts w:ascii="Times New Roman" w:hAnsi="Times New Roman" w:cs="Times New Roman" w:eastAsia="Times New Roman"/>
                <w:sz w:val="24"/>
              </w:rPr>
              <w:t xml:space="preserve">Qisman ochiq</w:t>
            </w:r>
          </w:p>
        </w:tc>
      </w:tr>
      <w:tr>
        <w:tc>
          <w:tcPr/>
          <w:p>
            <w:pPr>
              <w:pStyle w:val="Compact"/>
              <w:spacing w:line="240" w:lineRule="auto"/>
              <w:ind w:firstLine="0"/>
              <w:jc w:val="left"/>
            </w:pPr>
            <w:r>
              <w:rPr>
                <w:rFonts w:ascii="Times New Roman" w:hAnsi="Times New Roman" w:cs="Times New Roman" w:eastAsia="Times New Roman"/>
                <w:sz w:val="24"/>
              </w:rPr>
              <w:t xml:space="preserve">Bankning o‘zi</w:t>
            </w:r>
          </w:p>
        </w:tc>
        <w:tc>
          <w:tcPr/>
          <w:p>
            <w:pPr>
              <w:pStyle w:val="Compact"/>
              <w:spacing w:line="240" w:lineRule="auto"/>
              <w:ind w:firstLine="0"/>
              <w:jc w:val="left"/>
            </w:pPr>
            <w:r>
              <w:rPr>
                <w:rFonts w:ascii="Times New Roman" w:hAnsi="Times New Roman" w:cs="Times New Roman" w:eastAsia="Times New Roman"/>
                <w:sz w:val="24"/>
              </w:rPr>
              <w:t xml:space="preserve">Strategik boshqaruv, ICAAP, stress-test</w:t>
            </w:r>
          </w:p>
        </w:tc>
        <w:tc>
          <w:tcPr/>
          <w:p>
            <w:pPr>
              <w:pStyle w:val="Compact"/>
              <w:spacing w:line="240" w:lineRule="auto"/>
              <w:ind w:firstLine="0"/>
              <w:jc w:val="left"/>
            </w:pPr>
            <w:r>
              <w:rPr>
                <w:rFonts w:ascii="Times New Roman" w:hAnsi="Times New Roman" w:cs="Times New Roman" w:eastAsia="Times New Roman"/>
                <w:sz w:val="24"/>
              </w:rPr>
              <w:t xml:space="preserve">To‘liq ichki axborot</w:t>
            </w:r>
          </w:p>
        </w:tc>
        <w:tc>
          <w:tcPr/>
          <w:p>
            <w:pPr>
              <w:pStyle w:val="Compact"/>
              <w:spacing w:line="240" w:lineRule="auto"/>
              <w:ind w:firstLine="0"/>
              <w:jc w:val="left"/>
            </w:pPr>
            <w:r>
              <w:rPr>
                <w:rFonts w:ascii="Times New Roman" w:hAnsi="Times New Roman" w:cs="Times New Roman" w:eastAsia="Times New Roman"/>
                <w:sz w:val="24"/>
              </w:rPr>
              <w:t xml:space="preserve">Yopiq</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[1, 48–52-b.; 5, 178–186-b.; 14, 194–195-b.] asosida tuzilgan.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ko‘rinadiki, ochiq ma’lumotlarga asoslangan va natijasi oshkor qilinadigan mustaqil baholash vositasi faqat reyting agentliklari ixtiyorida. O‘zbekistonda esa xalqaro reyting agentliklari faqat bir qism banklarni baholaydi, milliy reyting tizimi esa yetarli rivojlanmagan. T.M. Karaliyev va I.F. Sayfiddinov Markaziy bank tomonidan CAMEL asosida O‘zbekiston banklari reyting tizimini tuzib e’lon qilish va mustaqil baholash uchun oshkor qilinadigan hisobot ma’lumotlarini ko‘paytirishni taklif etgan [6, 214-b.]. Bu bo‘shliq ochiq ma’lumotlarga asoslangan integral baholash metodikasini ishlab chiqish zaruratini asoslaydi.</w:t>
      </w:r>
    </w:p>
    <w:p>
      <w:pPr>
        <w:pStyle w:val="BodyText"/>
        <w:spacing w:line="360" w:lineRule="auto" w:before="0" w:after="0"/>
        <w:ind w:firstLine="709"/>
        <w:jc w:val="both"/>
      </w:pPr>
      <w:r>
        <w:rPr>
          <w:bCs/>
          <w:rFonts w:ascii="Times New Roman" w:hAnsi="Times New Roman" w:cs="Times New Roman" w:eastAsia="Times New Roman"/>
          <w:b/>
          <w:sz w:val="28"/>
        </w:rPr>
        <w:t xml:space="preserve">Baholash tamoyillari.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Ilmiy adabiyot tahlili moliyaviy barqarorlikni baholashning quyidagi asosiy tamoyillarini ajratish imkonini beradi.</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Mazmunning shakldan ustunligi, ehtiyotkorlik va muhimlik.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Lavrushin va Mamonova yig‘ma bahoni shakllantirishda MHXS tamoyillarini qo‘llashni tavsiya qiladi: mazmunning shakldan ustunligi, ehtiyotkorlik (ssenariy yondashuvi) va muhimlik [1, 65–69-b.]. Muhim og‘ishlarga misol sifatida kapital yetarliligi normativining ozgina bo‘lsa ham bajarilmasligi, kapitalning absolyut kamayishi, kapital va risklarning qarama-qarshi trendi keltiriladi.</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Dinamiklik.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bir sanadagi qiymatga emas, ko‘rsatkichlarning bir necha davrdagi o‘zgarishiga tayanishi kerak. Lavrushin va Mamonova kamida 2–3 yillik dinamika va bir turdagi banklar bilan solishtirishni talab qiladi [1, 62–65-b.]. Karminskiy taklif etgan dinamik reyting konstruktorida eski qiymatlar asta-sekin «unutiladi», ya’ni yaqin davrlarga kattaroq vazn beriladi [2, 88–89-b.].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Komplekslik.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Barqarorlik bitta ko‘rsatkich bilan emas, o‘zaro bog‘liq bloklar tizimi bilan o‘lchanadi. Biroq bloklar orasida ziddiyat bo‘lishi mumkin: Karaliyev va Sayfiddinov O‘zbekistondagi CAMEL tizimida aktivlar va likvidlik bloklari o‘rtasidagi ziddiyat hal qilinmaganini qayd etadi [6, 213-b.].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Qiyosiylik.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 ko‘rsatkichlari mutlaq mezonlar bilan bir qatorda o‘xshash banklar guruhi (peer group) bilan ham solishtirilishi kerak. O‘zbekistondagi CAMEL tizimining kamchiliklaridan biri aynan qiyosiy baholashning yo‘qligidir [6, 213-b.]. Karminskiy Moody’s agentligi bankning absolyut ko‘rsatkichlariga emas, ko‘proq uning bank tizimidagi nisbiy o‘rniga qarashini aniqlagan [2, 108-b.].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Shaffoflik va takrorlanuvchanlik.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metodikasi, ko‘rsatkichlar, chegaralar va vaznlar oshkor bo‘lishi, natijani boshqa tadqiqotchi ham takrorlay olishi kerak. M. Modina reyting tizimlariga qo‘yiladigan tashkiliy talablar qatorida takrorlanuvchanlik, bir xillik va hujjatlashtirishni ko‘rsatadi [11, 43–44-b.].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Formal baho va professional mulohazaning uyg‘unligi.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 faqat miqdoriy hisob-kitobga tayanmasligi kerak. Afanasyeva va Dubova nazorat amaliyotida faqat miqdoriy baholarga asoslangan qat’iy protseduralarni qo‘llash yo‘l qo‘yib bo‘lmasligini ta’kidlaydi [4, 44-b.]. Lavrushin va Mamonova ham formal ballga albatta asoslangan mulohaza ilova qilinishini talab qiladi [1, 62–65-b.].</w:t>
      </w:r>
    </w:p>
    <w:p>
      <w:pPr>
        <w:numPr>
          <w:ilvl w:val="0"/>
          <w:numId w:val="1003"/>
        </w:numPr>
        <w:spacing w:line="360" w:lineRule="auto" w:before="0" w:after="0"/>
        <w:ind w:firstLine="709"/>
        <w:jc w:val="both"/>
      </w:pPr>
      <w:r>
        <w:rPr>
          <w:bCs/>
          <w:rFonts w:ascii="Times New Roman" w:hAnsi="Times New Roman" w:cs="Times New Roman" w:eastAsia="Times New Roman"/>
          <w:b/>
          <w:sz w:val="28"/>
        </w:rPr>
        <w:t xml:space="preserve">Verifikatsiya qilinuvchanlik.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 metodikasining sifati uning natijalari haqiqatga qanchalik mos kelishi bilan o‘lchanadi. Karminskiy fikricha, reyting sifati kutilgan va haqiqiy natijalarning mos kelishi bilan belgilanadi, reyting tizimining matematik «ichki tuzilishi» esa ahamiyatsiz [2, 20-b.]. Shatalova ham reyting aniqligini tekshirishning asosiy usuli – uni vaqt bilan sinash ekanini ko‘rsatadi [5, 7-b.].</w:t>
      </w:r>
    </w:p>
    <w:p>
      <w:pPr>
        <w:pStyle w:val="FirstParagraph"/>
        <w:spacing w:line="360" w:lineRule="auto" w:before="0" w:after="0"/>
        <w:ind w:firstLine="709"/>
        <w:jc w:val="both"/>
      </w:pPr>
      <w:r>
        <w:rPr>
          <w:rFonts w:ascii="Times New Roman" w:hAnsi="Times New Roman" w:cs="Times New Roman" w:eastAsia="Times New Roman"/>
          <w:sz w:val="28"/>
        </w:rPr>
        <w:t xml:space="preserve">Bu tamoyillar ayrim hollarda o‘zaro ziddiyatga kirishadi: masalan, formallashtirish talabi professional mulohaza uchun joyni toraytiradi. Metodika ishlab chiqishda ular o‘rtasida muvozanat topish kerak.</w:t>
      </w:r>
    </w:p>
    <w:bookmarkEnd w:id="22"/>
    <w:bookmarkStart w:id="23" w:name="Xf8a02102e53aabeb20c6d43ad236345e4912751"/>
    <w:p>
      <w:pPr>
        <w:pStyle w:val="Heading3"/>
        <w:spacing w:line="360" w:lineRule="auto" w:before="240" w:after="120"/>
        <w:ind w:firstLine="709"/>
        <w:jc w:val="both"/>
      </w:pPr>
      <w:r>
        <w:rPr>
          <w:rFonts w:ascii="Times New Roman" w:hAnsi="Times New Roman" w:cs="Times New Roman" w:eastAsia="Times New Roman"/>
          <w:b/>
          <w:i w:val="0"/>
          <w:sz w:val="28"/>
        </w:rPr>
        <w:t xml:space="preserve">4. Moliyaviy barqarorlikni baholash yondashuvlarining ilmiy tasnifi</w:t>
      </w:r>
    </w:p>
    <w:p>
      <w:pPr>
        <w:pStyle w:val="FirstParagraph"/>
        <w:spacing w:line="360" w:lineRule="auto" w:before="0" w:after="0"/>
        <w:ind w:firstLine="709"/>
        <w:jc w:val="both"/>
      </w:pPr>
      <w:r>
        <w:rPr>
          <w:bCs/>
          <w:rFonts w:ascii="Times New Roman" w:hAnsi="Times New Roman" w:cs="Times New Roman" w:eastAsia="Times New Roman"/>
          <w:b/>
          <w:sz w:val="28"/>
        </w:rPr>
        <w:t xml:space="preserve">Xalqaro hisob-kitoblar banki (BIS) tasnifi.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BIS nazorat organlarining baholash tizimlarini to‘rt toifaga ajratadi: nazorat reyting tizimlari; moliyaviy koeffitsiyentlar va guruhlab tahlil qilish tizimlari; risklarni kompleks baholash tizimlari; statistik modellar [3, 56-b.; 6, 195-b.]. Bu tasnif G-10 mamlakatlarida qo‘llanadigan tizimlarga asoslanadi: Fransiyada ORAP va SAABA, Germaniyada BAKIS, Italiyada PATROL, Niderlandiyada RAST, Buyuk Britaniyada RATE, AQShda CAMELS, SEER, SCOR va boshqalar [3, 57-b.].</w:t>
      </w:r>
    </w:p>
    <w:p>
      <w:pPr>
        <w:pStyle w:val="BodyText"/>
        <w:spacing w:line="360" w:lineRule="auto" w:before="0" w:after="0"/>
        <w:ind w:firstLine="709"/>
        <w:jc w:val="both"/>
      </w:pPr>
      <w:r>
        <w:rPr>
          <w:bCs/>
          <w:rFonts w:ascii="Times New Roman" w:hAnsi="Times New Roman" w:cs="Times New Roman" w:eastAsia="Times New Roman"/>
          <w:b/>
          <w:sz w:val="28"/>
        </w:rPr>
        <w:t xml:space="preserve">Lavrushin va Mamonova tasnifi.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Mualliflar baholash modellarini to‘rt mezon bo‘yicha tasniflaydi [1, 54–57-b.]:</w:t>
      </w:r>
    </w:p>
    <w:p>
      <w:pPr>
        <w:numPr>
          <w:ilvl w:val="0"/>
          <w:numId w:val="1004"/>
        </w:numPr>
        <w:pStyle w:val="Compact"/>
        <w:spacing w:line="360" w:lineRule="auto" w:before="0" w:after="0"/>
        <w:ind w:firstLine="0"/>
        <w:jc w:val="both"/>
      </w:pPr>
      <w:r>
        <w:rPr>
          <w:iCs/>
          <w:rFonts w:ascii="Times New Roman" w:hAnsi="Times New Roman" w:cs="Times New Roman" w:eastAsia="Times New Roman"/>
          <w:i/>
          <w:sz w:val="28"/>
        </w:rPr>
        <w:t xml:space="preserve">maqsadi bo‘yicha: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komponentlar modeli (masalan, CAMELS) va risklar modeli (masalan, Angliya Bankining BAITE tizimi);</w:t>
      </w:r>
    </w:p>
    <w:p>
      <w:pPr>
        <w:numPr>
          <w:ilvl w:val="0"/>
          <w:numId w:val="1004"/>
        </w:numPr>
        <w:pStyle w:val="Compact"/>
        <w:spacing w:line="360" w:lineRule="auto" w:before="0" w:after="0"/>
        <w:ind w:firstLine="0"/>
        <w:jc w:val="both"/>
      </w:pPr>
      <w:r>
        <w:rPr>
          <w:iCs/>
          <w:rFonts w:ascii="Times New Roman" w:hAnsi="Times New Roman" w:cs="Times New Roman" w:eastAsia="Times New Roman"/>
          <w:i/>
          <w:sz w:val="28"/>
        </w:rPr>
        <w:t xml:space="preserve">yig‘ma bahoni shakllantirish usuli bo‘yicha: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reyting (AQSh), ekspert (Angliya) va aralash (Rossiya Banki);</w:t>
      </w:r>
    </w:p>
    <w:p>
      <w:pPr>
        <w:numPr>
          <w:ilvl w:val="0"/>
          <w:numId w:val="1004"/>
        </w:numPr>
        <w:pStyle w:val="Compact"/>
        <w:spacing w:line="360" w:lineRule="auto" w:before="0" w:after="0"/>
        <w:ind w:firstLine="0"/>
        <w:jc w:val="both"/>
      </w:pPr>
      <w:r>
        <w:rPr>
          <w:iCs/>
          <w:rFonts w:ascii="Times New Roman" w:hAnsi="Times New Roman" w:cs="Times New Roman" w:eastAsia="Times New Roman"/>
          <w:i/>
          <w:sz w:val="28"/>
        </w:rPr>
        <w:t xml:space="preserve">o‘rganish usuli bo‘yicha: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statistik (masofaviy, 2–3 yillik prognoz bilan) va analitik;</w:t>
      </w:r>
    </w:p>
    <w:p>
      <w:pPr>
        <w:numPr>
          <w:ilvl w:val="0"/>
          <w:numId w:val="1004"/>
        </w:numPr>
        <w:pStyle w:val="Compact"/>
        <w:spacing w:line="360" w:lineRule="auto" w:before="0" w:after="0"/>
        <w:ind w:firstLine="0"/>
        <w:jc w:val="both"/>
      </w:pPr>
      <w:r>
        <w:rPr>
          <w:iCs/>
          <w:rFonts w:ascii="Times New Roman" w:hAnsi="Times New Roman" w:cs="Times New Roman" w:eastAsia="Times New Roman"/>
          <w:i/>
          <w:sz w:val="28"/>
        </w:rPr>
        <w:t xml:space="preserve">shaffoflik bo‘yicha:</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ochiq va yopiq.</w:t>
      </w:r>
    </w:p>
    <w:p>
      <w:pPr>
        <w:pStyle w:val="FirstParagraph"/>
        <w:spacing w:line="360" w:lineRule="auto" w:before="0" w:after="0"/>
        <w:ind w:firstLine="709"/>
        <w:jc w:val="both"/>
      </w:pPr>
      <w:r>
        <w:rPr>
          <w:bCs/>
          <w:rFonts w:ascii="Times New Roman" w:hAnsi="Times New Roman" w:cs="Times New Roman" w:eastAsia="Times New Roman"/>
          <w:b/>
          <w:sz w:val="28"/>
        </w:rPr>
        <w:t xml:space="preserve">Statistik, ekspert va gibrid yondashuvlar.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Modina kredit riskini o‘lchash yondashuvlarini bir uzluksiz shkala sifatida tasavvur qiladi: uning bir chekkasida iqtisodiy-statistik, ikkinchi chekkasida ekspert (judgmental) yondashuv turadi [11, 33-b.]. Ular orasida «cheklangan ekspert mulohazasi» (constrained expert judgment) deb ataluvchi gibrid modellar joylashadi. Bazel qo‘mitasi ham mexanik baholar reyting tayinlash uchun faqat birlamchi yoki qisman asos bo‘la olishini qayd etgan [11, 60-b.].</w:t>
      </w:r>
    </w:p>
    <w:p>
      <w:pPr>
        <w:pStyle w:val="BodyText"/>
        <w:spacing w:line="360" w:lineRule="auto" w:before="0" w:after="0"/>
        <w:ind w:firstLine="709"/>
        <w:jc w:val="both"/>
      </w:pPr>
      <w:r>
        <w:rPr>
          <w:rFonts w:ascii="Times New Roman" w:hAnsi="Times New Roman" w:cs="Times New Roman" w:eastAsia="Times New Roman"/>
          <w:sz w:val="28"/>
        </w:rPr>
        <w:t xml:space="preserve">Yuqoridagi tasniflarni umumlashtirib, baholash yondashuvlarini besh asosiy guruhga ajratish mumkin.</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koeffitsiyentli (normativ)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Bunda bank faoliyati regulyator belgilagan normativlar (kapital yetarliligi, likvidlik, risk konsentratsiyasi) va moliyaviy koeffitsiyentlar bo‘yicha tahlil qilinadi. Bu yondashuvning afzalligi – soddaligi va normativlar bilan bevosita bog‘liqligi. Kamchiligi – ko‘rsatkichlar alohida-alohida tahlil qilinadi va yagona xulosa chiqarish qiyin. B.T. Berdiyarov xalqaro valyuta jamg‘armasining 24 ta moliyaviy barqarorlik ko‘rsatkichi (FSI) asosida, qo‘shimcha likvidlik koeffitsiyentlari bilan milliy baholash tizimini shakllantirishni taklif etadi [7, 18–19, 27-b.]. Biroq bu ko‘rsatkichlar yagona integral bahoga keltirilmagan.</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reyting (komponentli)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Uning eng mashhur namunasi – AQShda 1978-yilda yaratilgan CAMEL tizimi. Unga 1997-yildan bozor riskiga sezgirlik (S) komponenti qo‘shilgan [6, 195–196-b.; 8, 29–31-b.]. Har bir komponent 1 (eng yaxshi) dan 5 (eng yomon) gacha baholanadi. Cargill ta’kidlashicha, yakuniy kompozit ball komponentlarning oddiy o‘rtachasi emas, balki tekshiruv guruhining umumiy bahosidir; 3–5 ball olgan bank «muammoli banklar» ro‘yxatiga kiritiladi [14, 194-b.]. O‘zbekistonda CAMEL tizimi 1997-yil noyabrdan qisman, 1998-yil 1-yanvardan to‘liq joriy etilgan [6, 208-b.]. Reyting yondashuvining afzalligi – kompleksligi va xalqaro e’tirofi. Kamchiliklari – sub’ektivlik, joyida tekshiruv talab qilishi va natijalarning yopiqligi. Karaliyev va Sayfiddinov O‘zbekiston amaliyotida har bir omil uchun solishtirma vazn va omillar o‘rtasidagi mutanosiblik belgilanmaganini qayd etadi [6, 213-b.].</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risklarga yo‘naltirilgan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Unga Angliya Bankining 1997-yildan qo‘llanayotgan BAITE va undan keyingi RATE tizimlari misol bo‘ladi. RATE tizimi CAMEL-B omillarini (kapital, aktivlar, bozor riski, foyda, majburiyatlar, biznes) va COM omillarini (nazorat, tashkiliy tuzilma, boshqaruv) birlashtirib, to‘qqizta omil asosida yagona ball chiqaradi [3, 60–61-b.]. Bunda baho bevosita nazorat rejimiga bog‘lanadi: BAITE matritsasida nazorat davri bank riskiga qarab 6 oydan 24 oygacha belgilanadi [1, 105–106-b.]. Afzalligi – resurslarni eng riskli banklarga yo‘naltirish imkoniyati. Kamchiligi – katta hajmdagi ichki axborot va yuqori malakali nazoratchilarni talab qilishi.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statistik (ekonometrik)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Bunda bank ko‘rsatkichlari va keyinchalik yuz bergan hodisalar (bankrotlik, litsenziyaning chaqirib olinishi, reytingning pasayishi) o‘rtasidagi bog‘liqlik statistik usullar bilan aniqlanadi. AQSh Federal rezerv tizimining FIMS modeli bunga misol: u logit model yordamida CAMELS reytingini va ikki yil ichida bankrotlik ehtimolini bashorat qiladi. Lavrushin va Mamonova keltirgan ma’lumotlarga ko‘ra, FIMS 74,6 foiz to‘g‘ri bashorat bergan, oldingi tizimda bu ko‘rsatkich 50 foiz bo‘lgan [1, 107–114-b.]. Karminskiy Rossiya banklari uchun qurgan defolt modellarida ROC AUC ko‘rsatkichi 0,89 dan 0,97 gacha yetgan [2, 210–211-b.].</w:t>
      </w:r>
    </w:p>
    <w:p>
      <w:pPr>
        <w:pStyle w:val="BodyText"/>
        <w:spacing w:line="360" w:lineRule="auto" w:before="0" w:after="0"/>
        <w:ind w:firstLine="709"/>
        <w:jc w:val="both"/>
      </w:pPr>
      <w:r>
        <w:rPr>
          <w:rFonts w:ascii="Times New Roman" w:hAnsi="Times New Roman" w:cs="Times New Roman" w:eastAsia="Times New Roman"/>
          <w:sz w:val="28"/>
        </w:rPr>
        <w:t xml:space="preserve">Statistik yondashuvning eng sodda, lekin samarali vositasi – Z-score ko‘rsatkichi: Z = (ROA + E/TA) / σ(ROA). L. Chiaramonte va F. Poli 12 mamlakatdagi 3125 ta bank misolida bu ko‘rsatkichning o‘zi distressdagi banklarning 75 foizini to‘g‘ri aniqlashini ko‘rsatgan va uni «ishonchli va tejamkor» o‘lchov deb baholagan [9, 83, 92–93-b.]. Statistik yondashuvning afzalligi – ob’ektivligi va bashorat kuchini o‘lchash mumkinligi. Kamchiligi – uzoq tarixiy ma’lumotlar va yetarli sondagi bankrotlik holatlarini talab qilishi: Karminskiy defoltlar ulushi taxminan 1 foiz bo‘lganda tanlanmada nomutanosiblik yuzaga kelishini qayd etadi [2, 208-b.].</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bozor indikatorlariga asoslangan yondashuv.</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Unda aksiyalar narxi, obligatsiyalar spredlari, kredit-defolt svoplari (CDS) kabi bozor ma’lumotlaridan foydalaniladi [3, 54–56-b.]. Chiaramonte va Poli bu indikatorlar faqat aksiyalari birjada aylanadigan banklar uchun qo‘llanishi mumkinligini qayd etadi [9, 77–80-b.]. Rivojlanayotgan fond bozoriga ega mamlakatlarda, jumladan, O‘zbekistonda, bu yondashuvni keng qo‘llash imkoniyati cheklangan. Shu sababli bunday mamlakatlarda buxgalteriya hisobi ma’lumotlariga asoslangan baholash usullari ustuvor ahamiyatga ega.</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yondashuvlarning qiyosiy tavsifi 1.2.3-jadvalda keltirilgan.</w:t>
      </w:r>
    </w:p>
    <w:p>
      <w:pPr>
        <w:pStyle w:val="BodyText"/>
        <w:spacing w:line="360" w:lineRule="auto" w:before="120" w:after="0"/>
        <w:ind w:firstLine="0"/>
        <w:jc w:val="center"/>
      </w:pPr>
      <w:r>
        <w:rPr>
          <w:bCs/>
          <w:rFonts w:ascii="Times New Roman" w:hAnsi="Times New Roman" w:cs="Times New Roman" w:eastAsia="Times New Roman"/>
          <w:b/>
          <w:sz w:val="28"/>
        </w:rPr>
        <w:t xml:space="preserve">1.2.3-jadval. Moliyaviy barqarorlikni baholash yondashuvlarining qiyosiy tavsifi</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spacing w:line="240" w:lineRule="auto"/>
              <w:ind w:firstLine="0"/>
              <w:jc w:val="center"/>
            </w:pPr>
            <w:r>
              <w:rPr>
                <w:rFonts w:ascii="Times New Roman" w:hAnsi="Times New Roman" w:cs="Times New Roman" w:eastAsia="Times New Roman"/>
                <w:b/>
                <w:sz w:val="24"/>
              </w:rPr>
              <w:t xml:space="preserve">Yondashuv</w:t>
            </w:r>
          </w:p>
        </w:tc>
        <w:tc>
          <w:tcPr/>
          <w:p>
            <w:pPr>
              <w:pStyle w:val="Compact"/>
              <w:spacing w:line="240" w:lineRule="auto"/>
              <w:ind w:firstLine="0"/>
              <w:jc w:val="center"/>
            </w:pPr>
            <w:r>
              <w:rPr>
                <w:rFonts w:ascii="Times New Roman" w:hAnsi="Times New Roman" w:cs="Times New Roman" w:eastAsia="Times New Roman"/>
                <w:b/>
                <w:sz w:val="24"/>
              </w:rPr>
              <w:t xml:space="preserve">Namunalar</w:t>
            </w:r>
          </w:p>
        </w:tc>
        <w:tc>
          <w:tcPr/>
          <w:p>
            <w:pPr>
              <w:pStyle w:val="Compact"/>
              <w:spacing w:line="240" w:lineRule="auto"/>
              <w:ind w:firstLine="0"/>
              <w:jc w:val="center"/>
            </w:pPr>
            <w:r>
              <w:rPr>
                <w:rFonts w:ascii="Times New Roman" w:hAnsi="Times New Roman" w:cs="Times New Roman" w:eastAsia="Times New Roman"/>
                <w:b/>
                <w:sz w:val="24"/>
              </w:rPr>
              <w:t xml:space="preserve">Afzalliklari</w:t>
            </w:r>
          </w:p>
        </w:tc>
        <w:tc>
          <w:tcPr/>
          <w:p>
            <w:pPr>
              <w:pStyle w:val="Compact"/>
              <w:spacing w:line="240" w:lineRule="auto"/>
              <w:ind w:firstLine="0"/>
              <w:jc w:val="center"/>
            </w:pPr>
            <w:r>
              <w:rPr>
                <w:rFonts w:ascii="Times New Roman" w:hAnsi="Times New Roman" w:cs="Times New Roman" w:eastAsia="Times New Roman"/>
                <w:b/>
                <w:sz w:val="24"/>
              </w:rPr>
              <w:t xml:space="preserve">Kamchiliklari</w:t>
            </w:r>
          </w:p>
        </w:tc>
      </w:tr>
      <w:tr>
        <w:tc>
          <w:tcPr/>
          <w:p>
            <w:pPr>
              <w:pStyle w:val="Compact"/>
              <w:spacing w:line="240" w:lineRule="auto"/>
              <w:ind w:firstLine="0"/>
              <w:jc w:val="left"/>
            </w:pPr>
            <w:r>
              <w:rPr>
                <w:rFonts w:ascii="Times New Roman" w:hAnsi="Times New Roman" w:cs="Times New Roman" w:eastAsia="Times New Roman"/>
                <w:sz w:val="24"/>
              </w:rPr>
              <w:t xml:space="preserve">Koeffitsiyentli (normativ)</w:t>
            </w:r>
          </w:p>
        </w:tc>
        <w:tc>
          <w:tcPr/>
          <w:p>
            <w:pPr>
              <w:pStyle w:val="Compact"/>
              <w:spacing w:line="240" w:lineRule="auto"/>
              <w:ind w:firstLine="0"/>
              <w:jc w:val="left"/>
            </w:pPr>
            <w:r>
              <w:rPr>
                <w:rFonts w:ascii="Times New Roman" w:hAnsi="Times New Roman" w:cs="Times New Roman" w:eastAsia="Times New Roman"/>
                <w:sz w:val="24"/>
              </w:rPr>
              <w:t xml:space="preserve">MB normativlari, XVJ FSI</w:t>
            </w:r>
          </w:p>
        </w:tc>
        <w:tc>
          <w:tcPr/>
          <w:p>
            <w:pPr>
              <w:pStyle w:val="Compact"/>
              <w:spacing w:line="240" w:lineRule="auto"/>
              <w:ind w:firstLine="0"/>
              <w:jc w:val="left"/>
            </w:pPr>
            <w:r>
              <w:rPr>
                <w:rFonts w:ascii="Times New Roman" w:hAnsi="Times New Roman" w:cs="Times New Roman" w:eastAsia="Times New Roman"/>
                <w:sz w:val="24"/>
              </w:rPr>
              <w:t xml:space="preserve">Sodda, normativlar bilan bog‘liq</w:t>
            </w:r>
          </w:p>
        </w:tc>
        <w:tc>
          <w:tcPr/>
          <w:p>
            <w:pPr>
              <w:pStyle w:val="Compact"/>
              <w:spacing w:line="240" w:lineRule="auto"/>
              <w:ind w:firstLine="0"/>
              <w:jc w:val="left"/>
            </w:pPr>
            <w:r>
              <w:rPr>
                <w:rFonts w:ascii="Times New Roman" w:hAnsi="Times New Roman" w:cs="Times New Roman" w:eastAsia="Times New Roman"/>
                <w:sz w:val="24"/>
              </w:rPr>
              <w:t xml:space="preserve">Yagona xulosa yo‘q, ko‘rsatkichlar tarqoq</w:t>
            </w:r>
          </w:p>
        </w:tc>
      </w:tr>
      <w:tr>
        <w:tc>
          <w:tcPr/>
          <w:p>
            <w:pPr>
              <w:pStyle w:val="Compact"/>
              <w:spacing w:line="240" w:lineRule="auto"/>
              <w:ind w:firstLine="0"/>
              <w:jc w:val="left"/>
            </w:pPr>
            <w:r>
              <w:rPr>
                <w:rFonts w:ascii="Times New Roman" w:hAnsi="Times New Roman" w:cs="Times New Roman" w:eastAsia="Times New Roman"/>
                <w:sz w:val="24"/>
              </w:rPr>
              <w:t xml:space="preserve">Reyting (komponentli)</w:t>
            </w:r>
          </w:p>
        </w:tc>
        <w:tc>
          <w:tcPr/>
          <w:p>
            <w:pPr>
              <w:pStyle w:val="Compact"/>
              <w:spacing w:line="240" w:lineRule="auto"/>
              <w:ind w:firstLine="0"/>
              <w:jc w:val="left"/>
            </w:pPr>
            <w:r>
              <w:rPr>
                <w:rFonts w:ascii="Times New Roman" w:hAnsi="Times New Roman" w:cs="Times New Roman" w:eastAsia="Times New Roman"/>
                <w:sz w:val="24"/>
              </w:rPr>
              <w:t xml:space="preserve">CAMEL(S), Rossiya Banki 2005-U</w:t>
            </w:r>
          </w:p>
        </w:tc>
        <w:tc>
          <w:tcPr/>
          <w:p>
            <w:pPr>
              <w:pStyle w:val="Compact"/>
              <w:spacing w:line="240" w:lineRule="auto"/>
              <w:ind w:firstLine="0"/>
              <w:jc w:val="left"/>
            </w:pPr>
            <w:r>
              <w:rPr>
                <w:rFonts w:ascii="Times New Roman" w:hAnsi="Times New Roman" w:cs="Times New Roman" w:eastAsia="Times New Roman"/>
                <w:sz w:val="24"/>
              </w:rPr>
              <w:t xml:space="preserve">Kompleks, xalqaro e’tirof etilgan</w:t>
            </w:r>
          </w:p>
        </w:tc>
        <w:tc>
          <w:tcPr/>
          <w:p>
            <w:pPr>
              <w:pStyle w:val="Compact"/>
              <w:spacing w:line="240" w:lineRule="auto"/>
              <w:ind w:firstLine="0"/>
              <w:jc w:val="left"/>
            </w:pPr>
            <w:r>
              <w:rPr>
                <w:rFonts w:ascii="Times New Roman" w:hAnsi="Times New Roman" w:cs="Times New Roman" w:eastAsia="Times New Roman"/>
                <w:sz w:val="24"/>
              </w:rPr>
              <w:t xml:space="preserve">Sub’ektiv, natijalari yopiq, vaznlar asoslanmagan</w:t>
            </w:r>
          </w:p>
        </w:tc>
      </w:tr>
      <w:tr>
        <w:tc>
          <w:tcPr/>
          <w:p>
            <w:pPr>
              <w:pStyle w:val="Compact"/>
              <w:spacing w:line="240" w:lineRule="auto"/>
              <w:ind w:firstLine="0"/>
              <w:jc w:val="left"/>
            </w:pPr>
            <w:r>
              <w:rPr>
                <w:rFonts w:ascii="Times New Roman" w:hAnsi="Times New Roman" w:cs="Times New Roman" w:eastAsia="Times New Roman"/>
                <w:sz w:val="24"/>
              </w:rPr>
              <w:t xml:space="preserve">Risklarga yo‘naltirilgan</w:t>
            </w:r>
          </w:p>
        </w:tc>
        <w:tc>
          <w:tcPr/>
          <w:p>
            <w:pPr>
              <w:pStyle w:val="Compact"/>
              <w:spacing w:line="240" w:lineRule="auto"/>
              <w:ind w:firstLine="0"/>
              <w:jc w:val="left"/>
            </w:pPr>
            <w:r>
              <w:rPr>
                <w:rFonts w:ascii="Times New Roman" w:hAnsi="Times New Roman" w:cs="Times New Roman" w:eastAsia="Times New Roman"/>
                <w:sz w:val="24"/>
              </w:rPr>
              <w:t xml:space="preserve">BAITE, RATE</w:t>
            </w:r>
          </w:p>
        </w:tc>
        <w:tc>
          <w:tcPr/>
          <w:p>
            <w:pPr>
              <w:pStyle w:val="Compact"/>
              <w:spacing w:line="240" w:lineRule="auto"/>
              <w:ind w:firstLine="0"/>
              <w:jc w:val="left"/>
            </w:pPr>
            <w:r>
              <w:rPr>
                <w:rFonts w:ascii="Times New Roman" w:hAnsi="Times New Roman" w:cs="Times New Roman" w:eastAsia="Times New Roman"/>
                <w:sz w:val="24"/>
              </w:rPr>
              <w:t xml:space="preserve">Nazorat resurslarini maqsadli taqsimlaydi</w:t>
            </w:r>
          </w:p>
        </w:tc>
        <w:tc>
          <w:tcPr/>
          <w:p>
            <w:pPr>
              <w:pStyle w:val="Compact"/>
              <w:spacing w:line="240" w:lineRule="auto"/>
              <w:ind w:firstLine="0"/>
              <w:jc w:val="left"/>
            </w:pPr>
            <w:r>
              <w:rPr>
                <w:rFonts w:ascii="Times New Roman" w:hAnsi="Times New Roman" w:cs="Times New Roman" w:eastAsia="Times New Roman"/>
                <w:sz w:val="24"/>
              </w:rPr>
              <w:t xml:space="preserve">Ichki axborot va yuqori malaka talab qiladi</w:t>
            </w:r>
          </w:p>
        </w:tc>
      </w:tr>
      <w:tr>
        <w:tc>
          <w:tcPr/>
          <w:p>
            <w:pPr>
              <w:pStyle w:val="Compact"/>
              <w:spacing w:line="240" w:lineRule="auto"/>
              <w:ind w:firstLine="0"/>
              <w:jc w:val="left"/>
            </w:pPr>
            <w:r>
              <w:rPr>
                <w:rFonts w:ascii="Times New Roman" w:hAnsi="Times New Roman" w:cs="Times New Roman" w:eastAsia="Times New Roman"/>
                <w:sz w:val="24"/>
              </w:rPr>
              <w:t xml:space="preserve">Statistik (ekonometrik)</w:t>
            </w:r>
          </w:p>
        </w:tc>
        <w:tc>
          <w:tcPr/>
          <w:p>
            <w:pPr>
              <w:pStyle w:val="Compact"/>
              <w:spacing w:line="240" w:lineRule="auto"/>
              <w:ind w:firstLine="0"/>
              <w:jc w:val="left"/>
            </w:pPr>
            <w:r>
              <w:rPr>
                <w:rFonts w:ascii="Times New Roman" w:hAnsi="Times New Roman" w:cs="Times New Roman" w:eastAsia="Times New Roman"/>
                <w:sz w:val="24"/>
              </w:rPr>
              <w:t xml:space="preserve">FIMS, logit/probit, Z-score</w:t>
            </w:r>
          </w:p>
        </w:tc>
        <w:tc>
          <w:tcPr/>
          <w:p>
            <w:pPr>
              <w:pStyle w:val="Compact"/>
              <w:spacing w:line="240" w:lineRule="auto"/>
              <w:ind w:firstLine="0"/>
              <w:jc w:val="left"/>
            </w:pPr>
            <w:r>
              <w:rPr>
                <w:rFonts w:ascii="Times New Roman" w:hAnsi="Times New Roman" w:cs="Times New Roman" w:eastAsia="Times New Roman"/>
                <w:sz w:val="24"/>
              </w:rPr>
              <w:t xml:space="preserve">Ob’ektiv, bashorat kuchi o‘lchanadi</w:t>
            </w:r>
          </w:p>
        </w:tc>
        <w:tc>
          <w:tcPr/>
          <w:p>
            <w:pPr>
              <w:pStyle w:val="Compact"/>
              <w:spacing w:line="240" w:lineRule="auto"/>
              <w:ind w:firstLine="0"/>
              <w:jc w:val="left"/>
            </w:pPr>
            <w:r>
              <w:rPr>
                <w:rFonts w:ascii="Times New Roman" w:hAnsi="Times New Roman" w:cs="Times New Roman" w:eastAsia="Times New Roman"/>
                <w:sz w:val="24"/>
              </w:rPr>
              <w:t xml:space="preserve">Uzoq tarix va bankrotlik holatlari talab qilinadi</w:t>
            </w:r>
          </w:p>
        </w:tc>
      </w:tr>
      <w:tr>
        <w:tc>
          <w:tcPr/>
          <w:p>
            <w:pPr>
              <w:pStyle w:val="Compact"/>
              <w:spacing w:line="240" w:lineRule="auto"/>
              <w:ind w:firstLine="0"/>
              <w:jc w:val="left"/>
            </w:pPr>
            <w:r>
              <w:rPr>
                <w:rFonts w:ascii="Times New Roman" w:hAnsi="Times New Roman" w:cs="Times New Roman" w:eastAsia="Times New Roman"/>
                <w:sz w:val="24"/>
              </w:rPr>
              <w:t xml:space="preserve">Bozor indikatorlariga asoslangan</w:t>
            </w:r>
          </w:p>
        </w:tc>
        <w:tc>
          <w:tcPr/>
          <w:p>
            <w:pPr>
              <w:pStyle w:val="Compact"/>
              <w:spacing w:line="240" w:lineRule="auto"/>
              <w:ind w:firstLine="0"/>
              <w:jc w:val="left"/>
            </w:pPr>
            <w:r>
              <w:rPr>
                <w:rFonts w:ascii="Times New Roman" w:hAnsi="Times New Roman" w:cs="Times New Roman" w:eastAsia="Times New Roman"/>
                <w:sz w:val="24"/>
              </w:rPr>
              <w:t xml:space="preserve">CDS spredlari, aksiya narxlari</w:t>
            </w:r>
          </w:p>
        </w:tc>
        <w:tc>
          <w:tcPr/>
          <w:p>
            <w:pPr>
              <w:pStyle w:val="Compact"/>
              <w:spacing w:line="240" w:lineRule="auto"/>
              <w:ind w:firstLine="0"/>
              <w:jc w:val="left"/>
            </w:pPr>
            <w:r>
              <w:rPr>
                <w:rFonts w:ascii="Times New Roman" w:hAnsi="Times New Roman" w:cs="Times New Roman" w:eastAsia="Times New Roman"/>
                <w:sz w:val="24"/>
              </w:rPr>
              <w:t xml:space="preserve">Kelajakka yo‘naltirilgan, tezkor</w:t>
            </w:r>
          </w:p>
        </w:tc>
        <w:tc>
          <w:tcPr/>
          <w:p>
            <w:pPr>
              <w:pStyle w:val="Compact"/>
              <w:spacing w:line="240" w:lineRule="auto"/>
              <w:ind w:firstLine="0"/>
              <w:jc w:val="left"/>
            </w:pPr>
            <w:r>
              <w:rPr>
                <w:rFonts w:ascii="Times New Roman" w:hAnsi="Times New Roman" w:cs="Times New Roman" w:eastAsia="Times New Roman"/>
                <w:sz w:val="24"/>
              </w:rPr>
              <w:t xml:space="preserve">Faqat listingdagi banklar uchun qo‘llanadi</w:t>
            </w:r>
          </w:p>
        </w:tc>
      </w:tr>
    </w:tbl>
    <w:p>
      <w:pPr>
        <w:pStyle w:val="BodyText"/>
        <w:spacing w:line="360" w:lineRule="auto" w:before="0" w:after="120"/>
        <w:ind w:firstLine="0"/>
        <w:jc w:val="both"/>
      </w:pPr>
      <w:r>
        <w:rPr>
          <w:iCs/>
          <w:rFonts w:ascii="Times New Roman" w:hAnsi="Times New Roman" w:cs="Times New Roman" w:eastAsia="Times New Roman"/>
          <w:i/>
          <w:sz w:val="28"/>
        </w:rPr>
        <w:t xml:space="preserve">Manba: muallif tomonidan [1; 2; 3; 6; 9; 14] asosida tuzilgan.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ko‘rinadiki, yondashuvlarning birortasi ham universal emas. O.I. Lavrushin tahriridagi monografiyada ham bank barqarorligini tahlil qilishning yagona universal metodikasi mavjud emasligi qayd etilgan [3, 48-b.]. Zamonaviy tendensiya – turli yondashuvlar afzalliklarini birlashtiruvchi gibrid tizimlarga o‘tishdir. Xususan, ochiq ma’lumotlarga asoslangan, oldindan belgilangan chegaralar bo‘yicha ballanadigan va bashorat kuchi statistik usullar bilan tekshiriladigan integral baholash tizimi reyting va statistik yondashuvlar afzalliklarini birlashtiradi.</w:t>
      </w:r>
    </w:p>
    <w:bookmarkEnd w:id="23"/>
    <w:bookmarkStart w:id="24" w:name="Xca8f1dcecbc9c11c8d6e40dc9adceed200e1fd1"/>
    <w:p>
      <w:pPr>
        <w:pStyle w:val="Heading3"/>
        <w:spacing w:line="360" w:lineRule="auto" w:before="240" w:after="120"/>
        <w:ind w:firstLine="709"/>
        <w:jc w:val="both"/>
      </w:pPr>
      <w:r>
        <w:rPr>
          <w:rFonts w:ascii="Times New Roman" w:hAnsi="Times New Roman" w:cs="Times New Roman" w:eastAsia="Times New Roman"/>
          <w:b/>
          <w:i w:val="0"/>
          <w:sz w:val="28"/>
        </w:rPr>
        <w:t xml:space="preserve">5. Integral baholashning nazariy asoslari va ko‘rsatkichlar vazni muammosi</w:t>
      </w:r>
    </w:p>
    <w:p>
      <w:pPr>
        <w:pStyle w:val="FirstParagraph"/>
        <w:spacing w:line="360" w:lineRule="auto" w:before="0" w:after="0"/>
        <w:ind w:firstLine="709"/>
        <w:jc w:val="both"/>
      </w:pPr>
      <w:r>
        <w:rPr>
          <w:bCs/>
          <w:rFonts w:ascii="Times New Roman" w:hAnsi="Times New Roman" w:cs="Times New Roman" w:eastAsia="Times New Roman"/>
          <w:b/>
          <w:sz w:val="28"/>
        </w:rPr>
        <w:t xml:space="preserve">Integral ko‘rsatkich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Ko‘p sonli alohida ko‘rsatkichlar bank holati haqida batafsil tasavvur beradi, lekin ular turli yo‘nalishda o‘zgarganda yagona xulosa chiqarish qiyinlashadi. O.I. Lavrushin tahriridagi monografiyada bank sektori barqarorligi ko‘rsatkichlariga qo‘yiladigan talablar orasida ular mezoniy qiymatga ega bo‘lishi va integral ko‘rsatkichni o‘z ichiga olishi lozimligi alohida ta’kidlangan [3, 47-b.]. Shatalova ham kredit reytingini kreditga layoqatlilikning integral bahosi sifatida ta’riflaydi [5, 37-b.].</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umumiy mantiqi quyidagi bosqichlardan iborat:</w:t>
      </w:r>
    </w:p>
    <w:p>
      <w:pPr>
        <w:numPr>
          <w:ilvl w:val="0"/>
          <w:numId w:val="1005"/>
        </w:numPr>
        <w:pStyle w:val="Compact"/>
        <w:spacing w:line="360" w:lineRule="auto" w:before="0" w:after="0"/>
        <w:ind w:firstLine="0"/>
        <w:jc w:val="both"/>
      </w:pPr>
      <w:r>
        <w:rPr>
          <w:rFonts w:ascii="Times New Roman" w:hAnsi="Times New Roman" w:cs="Times New Roman" w:eastAsia="Times New Roman"/>
          <w:sz w:val="28"/>
        </w:rPr>
        <w:t xml:space="preserve">ko‘rsatkichlarni tanlash va ularni mantiqiy bloklarga guruhlash;</w:t>
      </w:r>
    </w:p>
    <w:p>
      <w:pPr>
        <w:numPr>
          <w:ilvl w:val="0"/>
          <w:numId w:val="1005"/>
        </w:numPr>
        <w:pStyle w:val="Compact"/>
        <w:spacing w:line="360" w:lineRule="auto" w:before="0" w:after="0"/>
        <w:ind w:firstLine="0"/>
        <w:jc w:val="both"/>
      </w:pPr>
      <w:r>
        <w:rPr>
          <w:rFonts w:ascii="Times New Roman" w:hAnsi="Times New Roman" w:cs="Times New Roman" w:eastAsia="Times New Roman"/>
          <w:sz w:val="28"/>
        </w:rPr>
        <w:t xml:space="preserve">har bir ko‘rsatkich uchun mezoniy qiymatlar (chegaralar) belgilash va uni ballga aylantirish;</w:t>
      </w:r>
    </w:p>
    <w:p>
      <w:pPr>
        <w:numPr>
          <w:ilvl w:val="0"/>
          <w:numId w:val="1005"/>
        </w:numPr>
        <w:pStyle w:val="Compact"/>
        <w:spacing w:line="360" w:lineRule="auto" w:before="0" w:after="0"/>
        <w:ind w:firstLine="0"/>
        <w:jc w:val="both"/>
      </w:pPr>
      <w:r>
        <w:rPr>
          <w:rFonts w:ascii="Times New Roman" w:hAnsi="Times New Roman" w:cs="Times New Roman" w:eastAsia="Times New Roman"/>
          <w:sz w:val="28"/>
        </w:rPr>
        <w:t xml:space="preserve">ko‘rsatkichlar va bloklarga vazn berish;</w:t>
      </w:r>
    </w:p>
    <w:p>
      <w:pPr>
        <w:numPr>
          <w:ilvl w:val="0"/>
          <w:numId w:val="1005"/>
        </w:numPr>
        <w:pStyle w:val="Compact"/>
        <w:spacing w:line="360" w:lineRule="auto" w:before="0" w:after="0"/>
        <w:ind w:firstLine="0"/>
        <w:jc w:val="both"/>
      </w:pPr>
      <w:r>
        <w:rPr>
          <w:rFonts w:ascii="Times New Roman" w:hAnsi="Times New Roman" w:cs="Times New Roman" w:eastAsia="Times New Roman"/>
          <w:sz w:val="28"/>
        </w:rPr>
        <w:t xml:space="preserve">ballarni vaznlar bilan yig‘ib, integral baho hisoblash;</w:t>
      </w:r>
    </w:p>
    <w:p>
      <w:pPr>
        <w:numPr>
          <w:ilvl w:val="0"/>
          <w:numId w:val="1005"/>
        </w:numPr>
        <w:pStyle w:val="Compact"/>
        <w:spacing w:line="360" w:lineRule="auto" w:before="0" w:after="0"/>
        <w:ind w:firstLine="0"/>
        <w:jc w:val="both"/>
      </w:pPr>
      <w:r>
        <w:rPr>
          <w:rFonts w:ascii="Times New Roman" w:hAnsi="Times New Roman" w:cs="Times New Roman" w:eastAsia="Times New Roman"/>
          <w:sz w:val="28"/>
        </w:rPr>
        <w:t xml:space="preserve">integral bahoni sifat guruhlariga ajratish va uni talqin qilish.</w:t>
      </w:r>
    </w:p>
    <w:p>
      <w:pPr>
        <w:pStyle w:val="FirstParagraph"/>
        <w:spacing w:line="360" w:lineRule="auto" w:before="0" w:after="0"/>
        <w:ind w:firstLine="709"/>
        <w:jc w:val="both"/>
      </w:pPr>
      <w:r>
        <w:rPr>
          <w:rFonts w:ascii="Times New Roman" w:hAnsi="Times New Roman" w:cs="Times New Roman" w:eastAsia="Times New Roman"/>
          <w:sz w:val="28"/>
        </w:rPr>
        <w:t xml:space="preserve">Shatalova bu mantiqni ikki darajali formula bilan ifodalaydi [5, 53-b.]:</w:t>
      </w:r>
    </w:p>
    <w:p>
      <w:pPr>
        <w:pStyle w:val="BodyText"/>
        <w:spacing w:line="360" w:lineRule="auto" w:before="0" w:after="0"/>
        <w:ind w:firstLine="0"/>
        <w:jc w:val="center"/>
      </w:pPr>
      <w:r>
        <w:rPr>
          <w:rFonts w:ascii="Times New Roman" w:hAnsi="Times New Roman" w:cs="Times New Roman" w:eastAsia="Times New Roman"/>
          <w:sz w:val="28"/>
        </w:rPr>
        <w:t xml:space="preserve">Z = Σᵢ wᵢ · Σⱼ (sⱼ · Yⱼ),</w:t>
      </w:r>
    </w:p>
    <w:p>
      <w:pPr>
        <w:pStyle w:val="BodyText"/>
        <w:spacing w:line="360" w:lineRule="auto" w:before="0" w:after="0"/>
        <w:ind w:firstLine="709"/>
        <w:jc w:val="both"/>
      </w:pPr>
      <w:r>
        <w:rPr>
          <w:rFonts w:ascii="Times New Roman" w:hAnsi="Times New Roman" w:cs="Times New Roman" w:eastAsia="Times New Roman"/>
          <w:sz w:val="28"/>
        </w:rPr>
        <w:t xml:space="preserve">bu yerda wᵢ – i-guruh (blok) vazni; sⱼ – guruh ichidagi j-ko‘rsatkich vazni; Yⱼ – j-ko‘rsatkichning bali. Bunday ikki darajali tuzilma bloklar ahamiyatini va blok ichidagi ko‘rsatkichlar ahamiyatini alohida belgilash imkonini beradi. Muallif ichki reyting metodikasining asosiy komponentlari sifatida moliyaviy va nomoliyaviy ko‘rsatkichlar guruhlari, hisobot sanalari soni, vaznlar, ko‘rsatkichni ballga aylantirish diapazonlari va qo‘shimcha tuzatishlarni ko‘rsatadi [5, 48-b.].</w:t>
      </w:r>
    </w:p>
    <w:p>
      <w:pPr>
        <w:pStyle w:val="BodyText"/>
        <w:spacing w:line="360" w:lineRule="auto" w:before="0" w:after="0"/>
        <w:ind w:firstLine="709"/>
        <w:jc w:val="both"/>
      </w:pPr>
      <w:r>
        <w:rPr>
          <w:bCs/>
          <w:rFonts w:ascii="Times New Roman" w:hAnsi="Times New Roman" w:cs="Times New Roman" w:eastAsia="Times New Roman"/>
          <w:b/>
          <w:sz w:val="28"/>
        </w:rPr>
        <w:t xml:space="preserve">Mezoniy qiymatlarni belgilash.</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Ko‘rsatkichni ballga aylantirishda ikki asosiy usul qo‘llaniladi. Birinchi usulda chegaralar regulyativ normativlar va ekspert baholari asosida mutlaq qiymatlarda belgilanadi. Masalan, Rossiya Banki tizimida N1 kapital yetarliligi normativi bo‘yicha 1 ball uchun 14 foiz va undan yuqori, 4 ball uchun 11,1 foizdan past qiymat belgilangan [1, 135-b.]. AQShdagi tezkor tuzatuvchi choralar (PCA) tizimida kapital yetarliligining 10, 8, 6 va 2 foizlik chegaralari qo‘llaniladi [14, 193-b.]. Ikkinchi usulda chegaralar bank tizimidagi taqsimot asosida, kvantillar orqali belgilanadi. Karminskiy taklif etgan dinamik reyting konstruktorida ko‘rsatkichlar bali guruh ichidagi tanlanma taqsimot funksiyasining kvantillari orqali beriladi [2, 89–91-b.].</w:t>
      </w:r>
    </w:p>
    <w:p>
      <w:pPr>
        <w:pStyle w:val="BodyText"/>
        <w:spacing w:line="360" w:lineRule="auto" w:before="0" w:after="0"/>
        <w:ind w:firstLine="709"/>
        <w:jc w:val="both"/>
      </w:pPr>
      <w:r>
        <w:rPr>
          <w:rFonts w:ascii="Times New Roman" w:hAnsi="Times New Roman" w:cs="Times New Roman" w:eastAsia="Times New Roman"/>
          <w:sz w:val="28"/>
        </w:rPr>
        <w:t xml:space="preserve">Ikkinchi usul bankning tizimdagi nisbiy o‘rnini aniq ko‘rsatadi, lekin butun tizim yomonlashganda ham banklarning bir qismi «yaxshi» ball olishiga yo‘l qo‘yadi. Shu sababli normativlarga bog‘langan mutlaq chegaralardan foydalanish, qiyosiy tahlilni esa qo‘shimcha vosita sifatida qo‘llash maqsadga muvofiq.</w:t>
      </w:r>
    </w:p>
    <w:p>
      <w:pPr>
        <w:pStyle w:val="BodyText"/>
        <w:spacing w:line="360" w:lineRule="auto" w:before="0" w:after="0"/>
        <w:ind w:firstLine="709"/>
        <w:jc w:val="both"/>
      </w:pPr>
      <w:r>
        <w:rPr>
          <w:bCs/>
          <w:rFonts w:ascii="Times New Roman" w:hAnsi="Times New Roman" w:cs="Times New Roman" w:eastAsia="Times New Roman"/>
          <w:b/>
          <w:sz w:val="28"/>
        </w:rPr>
        <w:t xml:space="preserve">Ko‘rsatkichlar vazni muammosi.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Integral baholashning eng munozarali masalasi – ko‘rsatkichlar va bloklarga vazn berish. Lavrushin va Mamonova vazn koeffitsiyentlarini belgilash eng munozarali va sub’ektiv masalalardan biri ekanini tan oladi, ammo hozircha boshqa usul topilmaganini ham qayd etadi [1, 68-b.]. O.I. Lavrushin tahriridagi monografiyada esa bank ko‘rsatkichlarining «vaznlari»ni aniqlash bank reytingini belgilashda deyarli eng asosiy masala ekani ta’kidlanadi [3, 51-b.]. Mualliflar Rossiyadagi to‘qqizta reyting metodikasini solishtirib, ularda vaznlar ko‘pincha «shubhali ekspert yo‘li» bilan aniqlanishini yoki umuman tushuntirilmasligini ko‘rsatgan [3, 50–51-b.].</w:t>
      </w:r>
    </w:p>
    <w:p>
      <w:pPr>
        <w:pStyle w:val="BodyText"/>
        <w:spacing w:line="360" w:lineRule="auto" w:before="0" w:after="0"/>
        <w:ind w:firstLine="709"/>
        <w:jc w:val="both"/>
      </w:pPr>
      <w:r>
        <w:rPr>
          <w:rFonts w:ascii="Times New Roman" w:hAnsi="Times New Roman" w:cs="Times New Roman" w:eastAsia="Times New Roman"/>
          <w:sz w:val="28"/>
        </w:rPr>
        <w:t xml:space="preserve">Ilmiy adabiyotda vaznlarni aniqlashning uch asosiy usuli uchraydi.</w:t>
      </w:r>
    </w:p>
    <w:p>
      <w:pPr>
        <w:pStyle w:val="BodyText"/>
        <w:spacing w:line="360" w:lineRule="auto" w:before="0" w:after="0"/>
        <w:ind w:firstLine="709"/>
        <w:jc w:val="both"/>
      </w:pPr>
      <w:r>
        <w:rPr>
          <w:iCs/>
          <w:rFonts w:ascii="Times New Roman" w:hAnsi="Times New Roman" w:cs="Times New Roman" w:eastAsia="Times New Roman"/>
          <w:i/>
          <w:sz w:val="28"/>
        </w:rPr>
        <w:t xml:space="preserve">Birinchisi – ekspert usuli.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Shatalova vaznlar dastlab ekspert baholari usulida belgilanishi, keyin esa verifikatsiyadan o‘tkazilishi kerakligini qayd etadi [5, 23-b.]. Rossiya Banki tizimida, masalan, N1 normativi vazni 3, kapital sifati ko‘rsatkichi vazni 1 qilib belgilangan [1, 68-b.]. Karaliyev va Sayfiddinov keltirgan CAMEL omillari nisbati – kapital 23 foiz, aktivlar 37 foiz, daromadlilik 25 foiz, likvidlik 15 foiz – ham shu turdagi yondashuvga misol bo‘ladi [6, 213-b.].</w:t>
      </w:r>
    </w:p>
    <w:p>
      <w:pPr>
        <w:pStyle w:val="BodyText"/>
        <w:spacing w:line="360" w:lineRule="auto" w:before="0" w:after="0"/>
        <w:ind w:firstLine="709"/>
        <w:jc w:val="both"/>
      </w:pPr>
      <w:r>
        <w:rPr>
          <w:iCs/>
          <w:rFonts w:ascii="Times New Roman" w:hAnsi="Times New Roman" w:cs="Times New Roman" w:eastAsia="Times New Roman"/>
          <w:i/>
          <w:sz w:val="28"/>
        </w:rPr>
        <w:t xml:space="preserve">Ikkinchisi – teng vaznlar usuli.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Germaniyaning BAKIS tizimida 47 ta ko‘rsatkichning barchasi teng vaznga ega [3, 59-b.]. Bu usul sub’ektivlikni kamaytiradi, ammo ko‘rsatkichlarning turli ahamiyatini e’tiborsiz qoldiradi.</w:t>
      </w:r>
    </w:p>
    <w:p>
      <w:pPr>
        <w:pStyle w:val="BodyText"/>
        <w:spacing w:line="360" w:lineRule="auto" w:before="0" w:after="0"/>
        <w:ind w:firstLine="709"/>
        <w:jc w:val="both"/>
      </w:pPr>
      <w:r>
        <w:rPr>
          <w:iCs/>
          <w:rFonts w:ascii="Times New Roman" w:hAnsi="Times New Roman" w:cs="Times New Roman" w:eastAsia="Times New Roman"/>
          <w:i/>
          <w:sz w:val="28"/>
        </w:rPr>
        <w:t xml:space="preserve">Uchinchisi – statistik usul.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 Izzi, G. Oricchio va L. Vitale bank reyting modelida vaznlarni regressiya koeffitsiyentlaridan hisoblaydi: αⱼ = βⱼ / Σβₖ, bunda Σαⱼ = 1 [10, 76-b.]. Ularning modelida rivojlangan mamlakatlar banklari uchun miqdoriy modul 70 foiz, sifat moduli 30 foiz vaznga ega; rivojlanayotgan mamlakatlar banklari uchun bu nisbat 80 va 20 foiz, sifat moduli ichida esa xorijiy valyutadagi likvidlikka 30 foiz vazn berilgan [10, 84–85-b.]. Statistik usul eng ob’ektiv hisoblanadi, lekin u ham yetarli tarixiy ma’lumot va bankrotlik holatlarini talab qiladi.</w:t>
      </w:r>
    </w:p>
    <w:p>
      <w:pPr>
        <w:pStyle w:val="BodyText"/>
        <w:spacing w:line="360" w:lineRule="auto" w:before="0" w:after="0"/>
        <w:ind w:firstLine="709"/>
        <w:jc w:val="both"/>
      </w:pPr>
      <w:r>
        <w:rPr>
          <w:rFonts w:ascii="Times New Roman" w:hAnsi="Times New Roman" w:cs="Times New Roman" w:eastAsia="Times New Roman"/>
          <w:sz w:val="28"/>
        </w:rPr>
        <w:t xml:space="preserve">Amaliyotda bu usullar birgalikda qo‘llanadi: vaznlar ekspert yo‘li bilan belgilanib, statistik usullar va boshqa tizimlar bilan solishtirish orqali tekshiriladi.</w:t>
      </w:r>
    </w:p>
    <w:p>
      <w:pPr>
        <w:pStyle w:val="BodyText"/>
        <w:spacing w:line="360" w:lineRule="auto" w:before="0" w:after="0"/>
        <w:ind w:firstLine="709"/>
        <w:jc w:val="both"/>
      </w:pPr>
      <w:r>
        <w:rPr>
          <w:bCs/>
          <w:rFonts w:ascii="Times New Roman" w:hAnsi="Times New Roman" w:cs="Times New Roman" w:eastAsia="Times New Roman"/>
          <w:b/>
          <w:sz w:val="28"/>
        </w:rPr>
        <w:t xml:space="preserve">Baholash xatolarining turlari va ularning narxi.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Har qanday baholash tizimi ikki turdagi xatoga yo‘l qo‘yishi mumkin. Birinchi tur xatosi – muammoli bankni barqaror deb baholash, ikkinchi tur xatosi – barqaror bankni muammoli deb baholash (soxta signal). Karminskiy birinchi tur xatosining narxi ikkinchi tur xatosinikidan yuqori ekanini qayd etadi [2, 193-b.]. Chiaramonte va Poli ham nazoratchilarni prudensial nuqtai nazardan birinchi navbatda distressdagi bankni o‘tkazib yuborish tashvishga solishini ta’kidlaydi [9, 84–85-b.]. Shu sababli FIMS modelida qoniqarli va qoniqarsiz holat chegarasi 2,5 dan 2,3 gacha tushirilgan, bu esa birinchi tur xatosini kamaytirish imkonini bergan [1, 112–114-b.].</w:t>
      </w:r>
    </w:p>
    <w:p>
      <w:pPr>
        <w:pStyle w:val="BodyText"/>
        <w:spacing w:line="360" w:lineRule="auto" w:before="0" w:after="0"/>
        <w:ind w:firstLine="709"/>
        <w:jc w:val="both"/>
      </w:pPr>
      <w:r>
        <w:rPr>
          <w:rFonts w:ascii="Times New Roman" w:hAnsi="Times New Roman" w:cs="Times New Roman" w:eastAsia="Times New Roman"/>
          <w:sz w:val="28"/>
        </w:rPr>
        <w:t xml:space="preserve">Demak, chegaralarni biroz qat’iyroq qo‘yish, ya’ni ehtiyotkorlik tamoyiliga amal qilish maqsadga muvofiq: muammoli bankni o‘z vaqtida aniqlamaslik soxta signaldan ancha qimmatga tushadi.</w:t>
      </w:r>
    </w:p>
    <w:p>
      <w:pPr>
        <w:pStyle w:val="BodyText"/>
        <w:spacing w:line="360" w:lineRule="auto" w:before="0" w:after="0"/>
        <w:ind w:firstLine="709"/>
        <w:jc w:val="both"/>
      </w:pPr>
      <w:r>
        <w:rPr>
          <w:bCs/>
          <w:rFonts w:ascii="Times New Roman" w:hAnsi="Times New Roman" w:cs="Times New Roman" w:eastAsia="Times New Roman"/>
          <w:b/>
          <w:sz w:val="28"/>
        </w:rPr>
        <w:t xml:space="preserve">Kutilgan va kutilmagan yo‘qotishlar.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Zamonaviy baholash nazariyasining yana bir muhim qoidasi – kutilgan yo‘qotishlar (EL) va kutilmagan yo‘qotishlarni (UL) farqlash. Kutilgan yo‘qotish EL = PD × LGD × EAD formulasi bilan hisoblanadi, bu yerda PD – defolt ehtimoli, LGD – defolt holatidagi yo‘qotish ulushi, EAD – defolt paytidagi risk miqdori. Kutilgan yo‘qotishlar zaxiralar hisobidan, kutilmagan yo‘qotishlar esa kapital hisobidan qoplanishi kerak [5, 12-b.]. Bu qoida MHXS 9 standartidagi kutilgan kredit zararlari modeli bilan bevosita bog‘liq. Demak, baholash metodikasida aktivlar sifati bloki zaxiralarning yetarliligini, kapital bloki esa kutilmagan yo‘qotishlarni qoplash qobiliyatini aks ettirishi kerak.</w:t>
      </w:r>
    </w:p>
    <w:bookmarkEnd w:id="24"/>
    <w:bookmarkStart w:id="25" w:name="paragraf-boyicha-xulosa"/>
    <w:p>
      <w:pPr>
        <w:pStyle w:val="Heading3"/>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6"/>
        </w:numPr>
        <w:spacing w:line="360" w:lineRule="auto" w:before="0" w:after="0"/>
        <w:ind w:firstLine="709"/>
        <w:jc w:val="both"/>
      </w:pPr>
      <w:r>
        <w:rPr>
          <w:rFonts w:ascii="Times New Roman" w:hAnsi="Times New Roman" w:cs="Times New Roman" w:eastAsia="Times New Roman"/>
          <w:sz w:val="28"/>
        </w:rPr>
        <w:t xml:space="preserve">Banklar moliyaviy barqarorligini baholash zarurati to‘rt nazariy asosdan kelib chiqadi: axborot asimmetriyasi, depozit shartnomasining zaifligi, kapitalning bufer funksiyasi va tizimli risk. Bank-markazli moliya tizimiga ega O‘zbekiston uchun bu asoslar ayniqsa dolzarb.</w:t>
      </w:r>
    </w:p>
    <w:p>
      <w:pPr>
        <w:numPr>
          <w:ilvl w:val="0"/>
          <w:numId w:val="1006"/>
        </w:numPr>
        <w:spacing w:line="360" w:lineRule="auto" w:before="0" w:after="0"/>
        <w:ind w:firstLine="709"/>
        <w:jc w:val="both"/>
      </w:pPr>
      <w:r>
        <w:rPr>
          <w:rFonts w:ascii="Times New Roman" w:hAnsi="Times New Roman" w:cs="Times New Roman" w:eastAsia="Times New Roman"/>
          <w:sz w:val="28"/>
        </w:rPr>
        <w:t xml:space="preserve">Moliyaviy barqarorlik moliyaviy holatdan farqli o‘laroq dinamik tushuncha bo‘lib, stabillik va muvozanat shartlariga tayanadi. Shu sababli uni bir sanadagi ko‘rsatkichlar bilan to‘liq baholab bo‘lmaydi. Baholash metodikasi dinamika, muvozanat va mezoniy qiymatlarni o‘z ichiga olishi kerak. Shu asosda muallif tomonidan moliyaviy barqarorlikni baholashning ishchi ta’rifi taklif etildi.</w:t>
      </w:r>
    </w:p>
    <w:p>
      <w:pPr>
        <w:numPr>
          <w:ilvl w:val="0"/>
          <w:numId w:val="1006"/>
        </w:numPr>
        <w:spacing w:line="360" w:lineRule="auto" w:before="0" w:after="0"/>
        <w:ind w:firstLine="709"/>
        <w:jc w:val="both"/>
      </w:pPr>
      <w:r>
        <w:rPr>
          <w:rFonts w:ascii="Times New Roman" w:hAnsi="Times New Roman" w:cs="Times New Roman" w:eastAsia="Times New Roman"/>
          <w:sz w:val="28"/>
        </w:rPr>
        <w:t xml:space="preserve">Baholash sub’ektlari (regulyator, reyting agentligi, kontragent bank, auditor, bankning o‘zi) turli maqsad va axborot bazasiga ega. O‘zbekistonda ochiq ma’lumotlarga asoslangan va natijasi oshkor qilinadigan mustaqil baholash vositasi yetarli rivojlanmagan.</w:t>
      </w:r>
    </w:p>
    <w:p>
      <w:pPr>
        <w:numPr>
          <w:ilvl w:val="0"/>
          <w:numId w:val="1006"/>
        </w:numPr>
        <w:spacing w:line="360" w:lineRule="auto" w:before="0" w:after="0"/>
        <w:ind w:firstLine="709"/>
        <w:jc w:val="both"/>
      </w:pPr>
      <w:r>
        <w:rPr>
          <w:rFonts w:ascii="Times New Roman" w:hAnsi="Times New Roman" w:cs="Times New Roman" w:eastAsia="Times New Roman"/>
          <w:sz w:val="28"/>
        </w:rPr>
        <w:t xml:space="preserve">Baholash yondashuvlari besh guruhga ajratildi: koeffitsiyentli, reyting, risklarga yo‘naltirilgan, statistik va bozor indikatorlariga asoslangan. Ularning birortasi universal emas. Rivojlanayotgan fond bozoriga ega mamlakatlar uchun buxgalteriya ma’lumotlariga asoslangan, reyting va statistik yondashuvlar afzalliklarini birlashtiruvchi gibrid integral baholash tizimi eng maqbul hisoblanadi.</w:t>
      </w:r>
    </w:p>
    <w:p>
      <w:pPr>
        <w:numPr>
          <w:ilvl w:val="0"/>
          <w:numId w:val="1006"/>
        </w:numPr>
        <w:spacing w:line="360" w:lineRule="auto" w:before="0" w:after="0"/>
        <w:ind w:firstLine="709"/>
        <w:jc w:val="both"/>
      </w:pPr>
      <w:r>
        <w:rPr>
          <w:rFonts w:ascii="Times New Roman" w:hAnsi="Times New Roman" w:cs="Times New Roman" w:eastAsia="Times New Roman"/>
          <w:sz w:val="28"/>
        </w:rPr>
        <w:t xml:space="preserve">Integral baholashning asosiy muammosi – ko‘rsatkichlar vaznini asoslash. Bu muammoni hal qilishning maqbul yo‘li ekspert usulini statistik tekshiruv va xalqaro tizimlar bilan solishtirish orqali to‘ldirishdir. Baholash chegaralari esa regulyativ normativlarga bog‘lanishi va ehtiyotkorlik tamoyiliga ko‘ra birinchi tur xatosini kamaytirishga yo‘naltirilishi kerak.</w:t>
      </w:r>
    </w:p>
    <w:p>
      <w:pPr>
        <w:pStyle w:val="FirstParagraph"/>
        <w:spacing w:line="360" w:lineRule="auto" w:before="0" w:after="0"/>
        <w:ind w:firstLine="709"/>
        <w:jc w:val="both"/>
      </w:pPr>
      <w:r>
        <w:rPr>
          <w:rFonts w:ascii="Times New Roman" w:hAnsi="Times New Roman" w:cs="Times New Roman" w:eastAsia="Times New Roman"/>
          <w:sz w:val="28"/>
        </w:rPr>
        <w:t xml:space="preserve">Tahlil asosida takomillashtirilgan baholash metodikasiga qo‘yiladigan quyidagi talablar shakllantirildi: ochiq ma’lumotlarga asoslanish; ko‘rsatkichlarni xalqaro standartlar (Bazel III, XVJ FSI, MHXS 9) bilan muvofiqlashtirish; mezoniy qiymatlarni normativlarga bog‘lash; vaznlarni asoslash va tekshirish; dinamikani hisobga olish; natijani yagona integral baho shaklida ifodalash; bashorat kuchini statistik usullar bilan tekshirish. Ushbu talablar asosida tuzilgan metodika dissertatsiyaning 3.1-paragrafida bayon qilinadi, xalqaro standartlarning o‘zi esa keyingi, 1.3-paragrafda batafsil tahlil qilinadi.</w:t>
      </w:r>
    </w:p>
    <w:bookmarkEnd w:id="25"/>
    <w:bookmarkStart w:id="26" w:name="foydalanilgan-adabiyotlar"/>
    <w:p>
      <w:pPr>
        <w:pStyle w:val="Heading3"/>
        <w:spacing w:line="360" w:lineRule="auto" w:before="240" w:after="120"/>
        <w:ind w:firstLine="709"/>
        <w:jc w:val="both"/>
      </w:pPr>
      <w:r>
        <w:rPr>
          <w:rFonts w:ascii="Times New Roman" w:hAnsi="Times New Roman" w:cs="Times New Roman" w:eastAsia="Times New Roman"/>
          <w:b/>
          <w:i w:val="0"/>
          <w:sz w:val="28"/>
        </w:rPr>
        <w:t xml:space="preserve">Foydalanilgan adabiyotlar</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Оценка финансовой устойчивости кредитной организации: учебник / под ред. О.И. Лаврушина, И.Д. Мамоновой. – М.: КНОРУС, 2011. – 304 с.</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Карминский А.М. Кредитные рейтинги и их моделирование. – М.: Изд. дом НИУ ВШЭ, 2015. – 304 с.</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Устойчивость банковской системы и развитие банковской политики: монография / под ред. О.И. Лаврушина. – М.: КНОРУС, 2014. – 280 с.</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Регулирование банковской сферы: учебник / под ред. О.Н. Афанасьевой, С.Е. Дубовой. – М.: КНОРУС, [nashr yili tekshirilsin].</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Шаталова Е.П. Банковские рейтинги в системе риск-менеджмента: процедуры мониторинга кредитных рейтингов: учебное пособие. – 2020.</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Karaliyev T.M., Sayfiddinov I.F. Tijorat banklari faoliyatini tartibga solish va nazorati: darslik. – T.: Iqtisod-Moliya, 2019. – 298 b.</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Бердияров Б.Т. Ўзбекистон Республикаси тижорат банкларининг ликвидлилиги ва тўлов қобилиятини таъминлаш масалалари: монография. – Т.: BMA, 2020. – 170 б.</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Tarullo D.K. Banking on Basel: The Future of International Financial Regulation. – Washington, DC: Peterson Institute for International Economics, 2008. – 327 p.</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Lindblom T., Sjögren S., Willesson M. (eds.) Governance, Regulation and Bank Stability. – Basingstoke: Palgrave Macmillan, 2014. (Thakor A.V., pp. 9–19; Chiaramonte L., Poli F., pp. 77–99.)</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Izzi L., Oricchio G., Vitale L. Basel III Credit Rating Systems: An Applied Guide to Quantitative and Qualitative Models. – Basingstoke: Palgrave Macmillan, 2012. – 330 p.</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Modina M. Credit Rating and Bank–Firm Relationships: New Models to Better Evaluate SMEs. – Basingstoke: Palgrave Macmillan, 2015. – 176 p.</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Peláez C.M., Peláez C.A. Regulation of Banks and Finance: Theory and Policy after the Credit Crisis. – Basingstoke: Palgrave Macmillan, 2009. – 287 p.</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Hendrickson J.M. Regulation and Instability in U.S. Commercial Banking: A History of Crises. – Basingstoke: Palgrave Macmillan, 2011. – 313 p.</w:t>
      </w:r>
    </w:p>
    <w:p>
      <w:pPr>
        <w:numPr>
          <w:ilvl w:val="0"/>
          <w:numId w:val="1007"/>
        </w:numPr>
        <w:pStyle w:val="Compact"/>
        <w:spacing w:line="360" w:lineRule="auto" w:before="0" w:after="0"/>
        <w:ind w:firstLine="0"/>
        <w:jc w:val="both"/>
      </w:pPr>
      <w:r>
        <w:rPr>
          <w:rFonts w:ascii="Times New Roman" w:hAnsi="Times New Roman" w:cs="Times New Roman" w:eastAsia="Times New Roman"/>
          <w:sz w:val="28"/>
        </w:rPr>
        <w:t xml:space="preserve">Cargill T.F. The Financial System, Financial Regulation and Central Bank Policy. – Cambridge: Cambridge University Press, 2017. – 424 p.</w:t>
      </w:r>
    </w:p>
    <w:bookmarkEnd w:id="26"/>
    <w:bookmarkEnd w:id="2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2026-10-09T18:03:19Z</dcterms:created>
  <dcterms:modified xsi:type="dcterms:W3CDTF">2026-10-09T18:03:19Z</dcterms:modified>
</cp:coreProperties>
</file>

<file path=docProps/custom.xml><?xml version="1.0" encoding="utf-8"?>
<Properties xmlns="http://schemas.openxmlformats.org/officeDocument/2006/custom-properties" xmlns:vt="http://schemas.openxmlformats.org/officeDocument/2006/docPropsVTypes"/>
</file>