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116</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159</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172</w:t>
      </w:r>
    </w:p>
    <w:p w:rsidR="005603EC" w:rsidRDefault="00AB61AC">
      <w:pPr>
        <w:tabs>
          <w:tab w:val="right" w:leader="dot" w:pos="9354"/>
        </w:tabs>
        <w:spacing w:after="80" w:line="240" w:lineRule="auto"/>
        <w:ind w:left="454"/>
      </w:pPr>
      <w:r>
        <w:rPr>
          <w:sz w:val="26"/>
        </w:rPr>
        <w:t>III bob bo‘yicha xulosalar</w:t>
      </w:r>
      <w:r>
        <w:rPr>
          <w:sz w:val="26"/>
        </w:rPr>
        <w:tab/>
        <w:t>190</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234</w:t>
      </w:r>
    </w:p>
    <w:p w:rsidR="005603EC" w:rsidRDefault="00AB61AC">
      <w:pPr>
        <w:tabs>
          <w:tab w:val="right" w:leader="dot" w:pos="9354"/>
        </w:tabs>
        <w:spacing w:after="80" w:line="240" w:lineRule="auto"/>
      </w:pPr>
      <w:r>
        <w:rPr>
          <w:b/>
          <w:sz w:val="26"/>
        </w:rPr>
        <w:t>XULOSA</w:t>
      </w:r>
      <w:r>
        <w:rPr>
          <w:b/>
          <w:sz w:val="26"/>
        </w:rPr>
        <w:tab/>
        <w:t>237</w:t>
      </w:r>
    </w:p>
    <w:p w:rsidR="005603EC" w:rsidRDefault="00AB61AC">
      <w:pPr>
        <w:tabs>
          <w:tab w:val="right" w:leader="dot" w:pos="9354"/>
        </w:tabs>
        <w:spacing w:after="80" w:line="240" w:lineRule="auto"/>
      </w:pPr>
      <w:r>
        <w:rPr>
          <w:b/>
          <w:sz w:val="26"/>
        </w:rPr>
        <w:t>FOYDALANILGAN ADABIYOTLAR RO‘YXATI</w:t>
      </w:r>
      <w:r>
        <w:rPr>
          <w:b/>
          <w:sz w:val="26"/>
        </w:rPr>
        <w:tab/>
        <w:t>242</w:t>
      </w:r>
    </w:p>
    <w:p w:rsidR="005603EC" w:rsidRDefault="00AB61AC">
      <w:pPr>
        <w:tabs>
          <w:tab w:val="right" w:leader="dot" w:pos="9354"/>
        </w:tabs>
        <w:spacing w:after="80" w:line="240" w:lineRule="auto"/>
      </w:pPr>
      <w:r>
        <w:rPr>
          <w:b/>
          <w:sz w:val="26"/>
        </w:rPr>
        <w:t>ILOVALAR</w:t>
      </w:r>
      <w:r>
        <w:rPr>
          <w:b/>
          <w:sz w:val="26"/>
        </w:rPr>
        <w:tab/>
        <w:t>262</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color w:val="FF0000"/>
        </w:rPr>
        <w:t xml:space="preserve"> – MHXS 9 bo‘yicha bosqichlarga taqsimlangan, ya’ni amortizatsiyalangan qiymatda baholanadigan kreditlar (brutto), </w:t>
      </w:r>
      <w:r>
        <w:rPr>
          <w:i/>
          <w:iCs/>
        </w:rPr>
        <w:t>L</w:t>
      </w:r>
      <w:r>
        <w:rPr>
          <w:vertAlign w:val="subscript"/>
        </w:rPr>
        <w:t>milliy</w:t>
      </w:r>
      <w:r>
        <w:rPr>
          <w:color w:val="FF0000"/>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before="120" w:after="240" w:line="240" w:lineRule="auto"/>
        <w:jc w:val="center"/>
      </w:pPr>
      <w:r>
        <w:rPr>
          <w:i/>
          <w:color w:val="FF0000"/>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color w:val="FF0000"/>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color w:val="FF0000"/>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color w:val="FF0000"/>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color w:val="FF0000"/>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color w:val="FF0000"/>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w:t>
            </w:r>
            <w:r>
              <w:rPr>
                <w:sz w:val="22"/>
              </w:rPr>
              <w:t xml:space="preserve">yashirin kredit riski koeffitsiyenti </w:t>
            </w:r>
            <w:r>
              <w:rPr>
                <w:color w:val="FF0000"/>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color w:val="FF0000"/>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color w:val="FF0000"/>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color w:val="FF0000"/>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color w:val="FF0000"/>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color w:val="FF0000"/>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color w:val="FF0000"/>
        </w:rPr>
        <w:footnoteReference w:id="400"/>
      </w:r>
      <w:r>
        <w:rPr>
          <w:color w:val="FF0000"/>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rPr>
        <w:t xml:space="preserve"> Yuqori likvid aktivlar MHXS hisobotlarida alohida oshkor qilinmagani sababli L1 ko‘rsatkichi ikkala variantda milliy balans asosida olindi, shu sababli likvidlik </w:t>
      </w:r>
      <w:r>
        <w:rPr>
          <w:i/>
          <w:iCs/>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t>indeksi 2,81 ni</w:t>
      </w:r>
      <w:r>
        <w:t xml:space="preserve">, ya’ni II sinfni, “Mikrokreditbank” ATB niki esa 2,47 ni, ya’ni III sinfni tashkil etadi. Boshqacha aytganda, ΔMBII “O‘zsanoatqurilishbank” ATB </w:t>
      </w:r>
      <w:r>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t>91,7 foizga</w:t>
      </w:r>
      <w:r>
        <w:t xml:space="preserve"> yetadi. Banklar tartibining ekspert vaznlaridagi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ekspert vazni barcha empirik baholar oralig‘ida (0,27–0,57) joylashadi va tarqoqlik usullarining o‘rtachasiga (0,31) deyarli teng, bashorat kuchiga asoslangan logit </w:t>
      </w:r>
      <w:r>
        <w:rPr/>
        <w:lastRenderedPageBreak/>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 tashkil etadi. </w:t>
      </w:r>
      <w:r>
        <w:rPr/>
        <w:t>ΔMBII −0,46 va −0,66</w:t>
      </w:r>
      <w:r>
        <w:t xml:space="preserve"> ballga teng bo‘lib, </w:t>
      </w:r>
      <w:r>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t>korrelyatsiya 0,95–0,98 ni</w:t>
      </w:r>
      <w:r>
        <w:t xml:space="preserve"> tashkil etdi, Monte-Karlo tahlilida esa vaznlar </w:t>
      </w:r>
      <w:r>
        <w:lastRenderedPageBreak/>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“Mikrokreditbank” ATB da −0,66 ballni tashkil etib, </w:t>
      </w:r>
      <w:r>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color w:val="FF0000"/>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