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162</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175</w:t>
      </w:r>
    </w:p>
    <w:p w:rsidR="005603EC" w:rsidRDefault="00AB61AC">
      <w:pPr>
        <w:tabs>
          <w:tab w:val="right" w:leader="dot" w:pos="9354"/>
        </w:tabs>
        <w:spacing w:after="80" w:line="240" w:lineRule="auto"/>
        <w:ind w:left="454"/>
      </w:pPr>
      <w:r>
        <w:rPr>
          <w:sz w:val="26"/>
        </w:rPr>
        <w:t>III bob bo‘yicha xulosalar</w:t>
      </w:r>
      <w:r>
        <w:rPr>
          <w:sz w:val="26"/>
        </w:rPr>
        <w:tab/>
        <w:t>193</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196</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196</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212</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224</w:t>
      </w:r>
    </w:p>
    <w:p w:rsidR="005603EC" w:rsidRDefault="00AB61AC">
      <w:pPr>
        <w:tabs>
          <w:tab w:val="right" w:leader="dot" w:pos="9354"/>
        </w:tabs>
        <w:spacing w:after="80" w:line="240" w:lineRule="auto"/>
        <w:ind w:left="454"/>
      </w:pPr>
      <w:r>
        <w:rPr>
          <w:sz w:val="26"/>
        </w:rPr>
        <w:t>IV bob bo‘yicha xulosalar</w:t>
      </w:r>
      <w:r>
        <w:rPr>
          <w:sz w:val="26"/>
        </w:rPr>
        <w:tab/>
        <w:t>237</w:t>
      </w:r>
    </w:p>
    <w:p w:rsidR="005603EC" w:rsidRDefault="00AB61AC">
      <w:pPr>
        <w:tabs>
          <w:tab w:val="right" w:leader="dot" w:pos="9354"/>
        </w:tabs>
        <w:spacing w:after="80" w:line="240" w:lineRule="auto"/>
      </w:pPr>
      <w:r>
        <w:rPr>
          <w:b/>
          <w:sz w:val="26"/>
        </w:rPr>
        <w:t>XULOSA</w:t>
      </w:r>
      <w:r>
        <w:rPr>
          <w:b/>
          <w:sz w:val="26"/>
        </w:rPr>
        <w:tab/>
        <w:t>240</w:t>
      </w:r>
    </w:p>
    <w:p w:rsidR="005603EC" w:rsidRDefault="00AB61AC">
      <w:pPr>
        <w:tabs>
          <w:tab w:val="right" w:leader="dot" w:pos="9354"/>
        </w:tabs>
        <w:spacing w:after="80" w:line="240" w:lineRule="auto"/>
      </w:pPr>
      <w:r>
        <w:rPr>
          <w:b/>
          <w:sz w:val="26"/>
        </w:rPr>
        <w:t>FOYDALANILGAN ADABIYOTLAR RO‘YXATI</w:t>
      </w:r>
      <w:r>
        <w:rPr>
          <w:b/>
          <w:sz w:val="26"/>
        </w:rPr>
        <w:tab/>
        <w:t>246</w:t>
      </w:r>
    </w:p>
    <w:p w:rsidR="005603EC" w:rsidRDefault="00AB61AC">
      <w:pPr>
        <w:tabs>
          <w:tab w:val="right" w:leader="dot" w:pos="9354"/>
        </w:tabs>
        <w:spacing w:after="80" w:line="240" w:lineRule="auto"/>
      </w:pPr>
      <w:r>
        <w:rPr>
          <w:b/>
          <w:sz w:val="26"/>
        </w:rPr>
        <w:t>ILOVALAR</w:t>
      </w:r>
      <w:r>
        <w:rPr>
          <w:b/>
          <w:sz w:val="26"/>
        </w:rPr>
        <w:tab/>
        <w:t>266</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242</w:t>
      </w:r>
      <w:r>
        <w:rPr/>
        <w:t xml:space="preserve">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t xml:space="preserve">;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color w:val="FF0000"/>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color w:val="FF0000"/>
        </w:rPr>
        <w:t xml:space="preserve">NPLtuz = (NPL / Lmilliy) × Kykr,  (2.3)</w:t>
      </w:r>
    </w:p>
    <w:p w:rsidR="005603EC" w:rsidRDefault="00AB61AC">
      <w:pPr>
        <w:pStyle w:val="af"/>
        <w:spacing w:after="0" w:line="360" w:lineRule="auto"/>
        <w:ind w:firstLine="709"/>
        <w:jc w:val="both"/>
      </w:pPr>
      <w:r>
        <w:rPr>
          <w:color w:val="FF0000"/>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 bunda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r w:rsidR="005603EC" w:rsidTr="005603EC">
        <w:trPr>
          <w:cantSplit/>
        </w:trPr>
        <w:tc>
          <w:tcPr>
            <w:tcW w:w="3402" w:type="dxa"/>
          </w:tcPr>
          <w:p w:rsidR="005603EC" w:rsidRDefault="00AB61AC">
            <w:pPr>
              <w:pStyle w:val="Compact"/>
              <w:spacing w:line="240" w:lineRule="auto"/>
            </w:pPr>
            <w:r>
              <w:rPr>
                <w:color w:val="FF0000"/>
                <w:sz w:val="22"/>
              </w:rPr>
              <w:t xml:space="preserve">Yashirin kredit riski koeffitsiyenti</w:t>
            </w:r>
          </w:p>
        </w:tc>
        <w:tc>
          <w:tcPr>
            <w:tcW w:w="1179" w:type="dxa"/>
          </w:tcPr>
          <w:p w:rsidR="005603EC" w:rsidRDefault="00AB61AC">
            <w:pPr>
              <w:pStyle w:val="Compact"/>
              <w:spacing w:line="240" w:lineRule="auto"/>
            </w:pPr>
            <w:r>
              <w:rPr>
                <w:color w:val="FF0000"/>
                <w:sz w:val="22"/>
              </w:rPr>
              <w:t xml:space="preserve">1,65</w:t>
            </w:r>
          </w:p>
        </w:tc>
        <w:tc>
          <w:tcPr>
            <w:tcW w:w="1179" w:type="dxa"/>
          </w:tcPr>
          <w:p w:rsidR="005603EC" w:rsidRDefault="00AB61AC">
            <w:pPr>
              <w:pStyle w:val="Compact"/>
              <w:spacing w:line="240" w:lineRule="auto"/>
            </w:pPr>
            <w:r>
              <w:rPr>
                <w:color w:val="FF0000"/>
                <w:sz w:val="22"/>
              </w:rPr>
              <w:t xml:space="preserve">2,61</w:t>
            </w:r>
          </w:p>
        </w:tc>
        <w:tc>
          <w:tcPr>
            <w:tcW w:w="1179" w:type="dxa"/>
          </w:tcPr>
          <w:p w:rsidR="005603EC" w:rsidRDefault="00AB61AC">
            <w:pPr>
              <w:pStyle w:val="Compact"/>
              <w:spacing w:line="240" w:lineRule="auto"/>
            </w:pPr>
            <w:r>
              <w:rPr>
                <w:color w:val="FF0000"/>
                <w:sz w:val="22"/>
              </w:rPr>
              <w:t xml:space="preserve">2,14</w:t>
            </w:r>
          </w:p>
        </w:tc>
        <w:tc>
          <w:tcPr>
            <w:tcW w:w="1179" w:type="dxa"/>
          </w:tcPr>
          <w:p w:rsidR="005603EC" w:rsidRDefault="00AB61AC">
            <w:pPr>
              <w:pStyle w:val="Compact"/>
              <w:spacing w:line="240" w:lineRule="auto"/>
            </w:pPr>
            <w:r>
              <w:rPr>
                <w:color w:val="FF0000"/>
                <w:sz w:val="22"/>
              </w:rPr>
              <w:t xml:space="preserve">2,08</w:t>
            </w:r>
          </w:p>
        </w:tc>
        <w:tc>
          <w:tcPr>
            <w:tcW w:w="1179" w:type="dxa"/>
          </w:tcPr>
          <w:p w:rsidR="005603EC" w:rsidRDefault="00AB61AC">
            <w:pPr>
              <w:pStyle w:val="Compact"/>
              <w:spacing w:line="240" w:lineRule="auto"/>
            </w:pPr>
            <w:r>
              <w:rPr>
                <w:color w:val="FF0000"/>
                <w:sz w:val="22"/>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3.1.3-rasm</w:t>
      </w:r>
      <w:r>
        <w:rPr>
          <w:b/>
        </w:rPr>
        <w:t xml:space="preserve">.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xml:space="preserve">, unda kapital bloki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Eng katta farq likvidlik va daromadlilik bloklarida kuzatiladi: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 xml:space="preserve">3.2.1-rasm. Integral indeks bloklarining </w:t>
      </w:r>
      <w:r>
        <w:rPr>
          <w:b/>
        </w:rPr>
        <w:t xml:space="preserve">tayanch va empirik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w:t>
      </w:r>
      <w:r>
        <w:rPr/>
        <w:t xml:space="preserve">tayanch vaznlar</w:t>
      </w:r>
      <w:r>
        <w:t xml:space="preserve">dan biroz ustun (AUC 0,864–0,907), biroq farq katta emas, </w:t>
      </w:r>
      <w:r>
        <w:rPr/>
        <w:t xml:space="preserve">tayanch vaznlar</w:t>
      </w:r>
      <w:r>
        <w:t xml:space="preserve">ning bashorat kuchi esa bosh komponentlar usuli bilan 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rPr>
          <w:color w:val="FF0000"/>
        </w:rPr>
        <w:t xml:space="preserve">Shundan so‘ng e</w:t>
      </w:r>
      <w:r>
        <w:t xml:space="preserv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0,16</w:t>
      </w:r>
      <w:r>
        <w:t xml:space="preserve"> ballga oshiradi. Bu natija P. Athanasoglou va hammualliflar xulosasiga mos keladi</w:t>
      </w:r>
      <w:r>
        <w:rPr>
          <w:rStyle w:val="aff8"/>
        </w:rPr>
        <w:footnoteReference w:id="470"/>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color w:val="FF0000"/>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color w:val="FF0000"/>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color w:val="FF0000"/>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Tayanch</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