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0a8f05e5cd7bad167a6c1dddfdd9ff0edf10251"/>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20"/>
      </w:r>
      <w:r>
        <w:rPr>
          <w:rFonts w:ascii="Times New Roman" w:hAnsi="Times New Roman" w:cs="Times New Roman" w:eastAsia="Times New Roman"/>
          <w:sz w:val="28"/>
        </w:rPr>
        <w:t xml:space="preserve">. Ushbu toifalar va ularga mansub milliy tizimlar 1.3.1-rasmda umumlashtirildi.</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304000"/>
                <wp:effectExtent l="0" t="0" r="0" b="0"/>
                <wp:docPr id="1001"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21"/>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2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23"/>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24"/>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25"/>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26"/>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76000" cy="2376000"/>
                <wp:effectExtent l="0" t="0" r="0" b="0"/>
                <wp:docPr id="1002"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2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28"/>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2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880000"/>
            <wp:effectExtent l="0" t="0" r="0" b="0"/>
            <wp:docPr id="1003" name="1.3.3-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30"/>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31"/>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32"/>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33"/>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34"/>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2448000"/>
                <wp:effectExtent l="0" t="0" r="0" b="0"/>
                <wp:docPr id="1004"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36"/>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37"/>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38"/>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39"/>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4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41"/>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42"/>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43"/>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44"/>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4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4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47"/>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48"/>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50"/>
      </w:r>
      <w:r>
        <w:rPr>
          <w:rFonts w:ascii="Times New Roman" w:hAnsi="Times New Roman" w:cs="Times New Roman" w:eastAsia="Times New Roman"/>
          <w:sz w:val="28"/>
        </w:rPr>
        <w:t xml:space="preserve">. Ushbu jadvalni Bazel qo‘mitasining standart jadvali va O‘zbekiston jadvali bilan solishtirish Rossiya sekinroq yo‘ldan borganini ko‘rsatadi (1.3.5-rasm).</w:t>
      </w:r>
    </w:p>
    <w:p>
      <w:pPr>
        <w:pStyle w:val="BodyText"/>
        <w:keepNext/>
        <w:spacing w:line="240" w:lineRule="auto" w:before="0" w:after="0"/>
        <w:ind w:firstLine="0"/>
        <w:jc w:val="center"/>
      </w:pPr>
      <w:r xmlns:c="http://schemas.openxmlformats.org/drawingml/2006/chart">
        <w:rPr>
          <w:noProof/>
        </w:rPr>
        <w:drawing>
          <wp:inline distT="0" distB="0" distL="0" distR="0">
            <wp:extent cx="5580000" cy="2880000"/>
            <wp:effectExtent l="0" t="0" r="0" b="0"/>
            <wp:docPr id="1005" name="1.3.5-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koeffitsiyentini joriy etish jadvallari, %</w:t>
      </w:r>
      <w:r>
        <w:rPr>
          <w:rStyle w:val="FootnoteReference"/>
        </w:rPr>
        <w:footnoteReference w:id="51"/>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60 foizdan boshlab besh yilda to‘liq joriy etishni ko‘zda tutgan. Rossiya undan bir yil kechikib, lekin yuqoriroq boshlang‘ich darajadan boshlagan bo‘lsa, O‘zbekiston 80 foizdan boshlab uch yil ichida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52"/>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53"/>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54"/>
      </w:r>
      <w:r>
        <w:rPr>
          <w:rFonts w:ascii="Times New Roman" w:hAnsi="Times New Roman" w:cs="Times New Roman" w:eastAsia="Times New Roman"/>
          <w:sz w:val="28"/>
        </w:rPr>
        <w:t xml:space="preserve">. Bu arxitektura AQSh Federal rezerv tizimi nazorat stress-testlarining mantig‘iga ancha yaqin (1.3.6-rasm).</w:t>
      </w:r>
    </w:p>
    <w:p>
      <w:pPr>
        <w:pStyle w:val="BodyText"/>
        <w:keepNext/>
        <w:spacing w:line="240" w:lineRule="auto" w:before="0" w:after="0"/>
        <w:ind w:firstLine="0"/>
        <w:jc w:val="center"/>
      </w:pPr>
      <w:r xmlns:mc="http://schemas.openxmlformats.org/markup-compatibility/2006" xmlns:wpg="http://schemas.microsoft.com/office/word/2010/wordprocessingGroup" xmlns:wps="http://schemas.microsoft.com/office/word/2010/wordprocessingShape">
        <w:rPr>
          <w:noProof/>
        </w:rPr>
        <mc:AlternateContent>
          <mc:Choice Requires="wpg">
            <w:drawing>
              <wp:inline distT="0" distB="0" distL="0" distR="0">
                <wp:extent cx="5904000" cy="1548000"/>
                <wp:effectExtent l="0" t="0" r="0" b="0"/>
                <wp:docPr id="1006"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5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5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5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5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59"/>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6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61"/>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6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63"/>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64"/>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65"/>
      </w:r>
      <w:r>
        <w:rPr>
          <w:rFonts w:ascii="Times New Roman" w:hAnsi="Times New Roman" w:cs="Times New Roman" w:eastAsia="Times New Roman"/>
          <w:sz w:val="28"/>
        </w:rPr>
        <w:t xml:space="preserve">. Ushbu ma’lumotlar 1.3.7-rasmda umumlashtirildi.</w:t>
      </w:r>
    </w:p>
    <w:p>
      <w:pPr>
        <w:pStyle w:val="BodyText"/>
        <w:keepNext/>
        <w:spacing w:line="240" w:lineRule="auto" w:before="0" w:after="0"/>
        <w:ind w:firstLine="0"/>
        <w:jc w:val="center"/>
      </w:pPr>
      <w:r xmlns:c="http://schemas.openxmlformats.org/drawingml/2006/chart">
        <w:rPr>
          <w:noProof/>
        </w:rPr>
        <w:drawing>
          <wp:inline distT="0" distB="0" distL="0" distR="0">
            <wp:extent cx="5580000" cy="2592000"/>
            <wp:effectExtent l="0" t="0" r="0" b="0"/>
            <wp:docPr id="1007" name="1.3.7-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67"/>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68"/>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69"/>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70"/>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71"/>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72"/>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73"/>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21">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22">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23">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24">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25">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26">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27">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2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30">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31">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32">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3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35">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3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3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38">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39">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40">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41">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42">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43">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44">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45">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4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4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4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4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5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51">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w:t>
      </w:r>
    </w:p>
  </w:footnote>
  <w:footnote w:id="5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54">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5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5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5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5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5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6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62">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63">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64">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65">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66">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67">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68">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69">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7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7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72">
    <w:p>
      <w:pPr>
        <w:pStyle w:val="FootnoteText"/>
      </w:pPr>
      <w:r>
        <w:rPr>
          <w:rStyle w:val="FootnoteReference"/>
        </w:rPr>
        <w:footnoteRef/>
      </w:r>
      <w:r>
        <w:t xml:space="preserve"> </w:t>
      </w:r>
      <w:r>
        <w:t xml:space="preserve">Tadqiqot natijasida muallif tomonidan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28575">
              <a:solidFill>
                <a:srgbClr val="2A78D6"/>
              </a:solidFill>
            </a:ln>
          </c:spPr>
          <c:marker>
            <c:symbol val="circle"/>
            <c:size val="7"/>
            <c:spPr>
              <a:solidFill>
                <a:srgbClr val="2A78D6"/>
              </a:solidFill>
              <a:ln>
                <a:noFill/>
              </a:ln>
            </c:spPr>
          </c:marker>
          <c:xVal>
            <c:numRef>
              <c:f>Sheet1!$A$2:$A$6</c:f>
              <c:numCache>
                <c:formatCode>General</c:formatCode>
                <c:ptCount val="5"/>
                <c:pt idx="0">
                  <c:v>2015</c:v>
                </c:pt>
                <c:pt idx="1">
                  <c:v>2016</c:v>
                </c:pt>
                <c:pt idx="2">
                  <c:v>2017</c:v>
                </c:pt>
                <c:pt idx="3">
                  <c:v>2018</c:v>
                </c:pt>
                <c:pt idx="4">
                  <c:v>2019</c:v>
                </c:pt>
              </c:numCache>
            </c:numRef>
          </c:xVal>
          <c:yVal>
            <c:numRef>
              <c:f>Sheet1!$B$2:$B$6</c:f>
              <c:numCache>
                <c:formatCode>General</c:formatCode>
                <c:ptCount val="5"/>
                <c:pt idx="0">
                  <c:v>60</c:v>
                </c:pt>
                <c:pt idx="1">
                  <c:v>70</c:v>
                </c:pt>
                <c:pt idx="2">
                  <c:v>80</c:v>
                </c:pt>
                <c:pt idx="3">
                  <c:v>90</c:v>
                </c:pt>
                <c:pt idx="4">
                  <c:v>100</c:v>
                </c:pt>
              </c:numCache>
            </c:numRef>
          </c:yVal>
          <c:smooth val="0"/>
        </c:ser>
        <c:ser>
          <c:idx val="1"/>
          <c:order val="1"/>
          <c:tx>
            <c:strRef>
              <c:f>Sheet1!$D$1</c:f>
              <c:strCache>
                <c:ptCount val="1"/>
                <c:pt idx="0">
                  <c:v>Rossiya (tizimli banklar)</c:v>
                </c:pt>
              </c:strCache>
            </c:strRef>
          </c:tx>
          <c:spPr>
            <a:ln w="28575">
              <a:solidFill>
                <a:srgbClr val="EB6834"/>
              </a:solidFill>
            </a:ln>
          </c:spPr>
          <c:marker>
            <c:symbol val="square"/>
            <c:size val="7"/>
            <c:spPr>
              <a:solidFill>
                <a:srgbClr val="EB6834"/>
              </a:solidFill>
              <a:ln>
                <a:noFill/>
              </a:ln>
            </c:spPr>
          </c:marker>
          <c:xVal>
            <c:numRef>
              <c:f>Sheet1!$C$2:$C$5</c:f>
              <c:numCache>
                <c:formatCode>General</c:formatCode>
                <c:ptCount val="4"/>
                <c:pt idx="0">
                  <c:v>2016</c:v>
                </c:pt>
                <c:pt idx="1">
                  <c:v>2017</c:v>
                </c:pt>
                <c:pt idx="2">
                  <c:v>2018</c:v>
                </c:pt>
                <c:pt idx="3">
                  <c:v>2019</c:v>
                </c:pt>
              </c:numCache>
            </c:numRef>
          </c:xVal>
          <c:yVal>
            <c:numRef>
              <c:f>Sheet1!$D$2:$D$5</c:f>
              <c:numCache>
                <c:formatCode>General</c:formatCode>
                <c:ptCount val="4"/>
                <c:pt idx="0">
                  <c:v>70</c:v>
                </c:pt>
                <c:pt idx="1">
                  <c:v>80</c:v>
                </c:pt>
                <c:pt idx="2">
                  <c:v>90</c:v>
                </c:pt>
                <c:pt idx="3">
                  <c:v>100</c:v>
                </c:pt>
              </c:numCache>
            </c:numRef>
          </c:yVal>
          <c:smooth val="0"/>
        </c:ser>
        <c:ser>
          <c:idx val="2"/>
          <c:order val="2"/>
          <c:tx>
            <c:strRef>
              <c:f>Sheet1!$F$1</c:f>
              <c:strCache>
                <c:ptCount val="1"/>
                <c:pt idx="0">
                  <c:v>O‘zbekiston</c:v>
                </c:pt>
              </c:strCache>
            </c:strRef>
          </c:tx>
          <c:spPr>
            <a:ln w="28575">
              <a:solidFill>
                <a:srgbClr val="70AD47"/>
              </a:solidFill>
            </a:ln>
          </c:spPr>
          <c:marker>
            <c:symbol val="triangle"/>
            <c:size val="7"/>
            <c:spPr>
              <a:solidFill>
                <a:srgbClr val="70AD47"/>
              </a:solidFill>
              <a:ln>
                <a:noFill/>
              </a:ln>
            </c:spPr>
          </c:marker>
          <c:xVal>
            <c:numRef>
              <c:f>Sheet1!$E$2:$E$4</c:f>
              <c:numCache>
                <c:formatCode>General</c:formatCode>
                <c:ptCount val="3"/>
                <c:pt idx="0">
                  <c:v>2016</c:v>
                </c:pt>
                <c:pt idx="1">
                  <c:v>2017</c:v>
                </c:pt>
                <c:pt idx="2">
                  <c:v>2018</c:v>
                </c:pt>
              </c:numCache>
            </c:numRef>
          </c:xVal>
          <c:yVal>
            <c:numRef>
              <c:f>Sheet1!$F$2:$F$4</c:f>
              <c:numCache>
                <c:formatCode>General</c:formatCode>
                <c:ptCount val="3"/>
                <c:pt idx="0">
                  <c:v>80</c:v>
                </c:pt>
                <c:pt idx="1">
                  <c:v>90</c:v>
                </c:pt>
                <c:pt idx="2">
                  <c:v>100</c:v>
                </c:pt>
              </c:numCache>
            </c:numRef>
          </c:yVal>
          <c:smooth val="0"/>
        </c:ser>
        <c:axId val="333"/>
        <c:axId val="444"/>
      </c:scatterChart>
      <c:valAx>
        <c:axId val="333"/>
        <c:scaling>
          <c:orientation val="minMax"/>
          <c:max val="2020"/>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05"/>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nextTo"/>
        <c:spPr>
          <a:ln w="9525">
            <a:solidFill>
              <a:srgbClr val="595959"/>
            </a:solidFill>
          </a:ln>
        </c:spPr>
        <c:txPr>
          <a:bodyPr/>
          <a:lstStyle/>
          <a:p>
            <a:pPr>
              <a:defRPr sz="1100" b="0">
                <a:solidFill>
                  <a:srgbClr val="000000"/>
                </a:solidFill>
                <a:latin typeface="Times New Roman"/>
                <a:cs typeface="Times New Roman"/>
              </a:defRPr>
            </a:pPr>
            <a:endParaRPr lang="uz-Latn-UZ"/>
          </a:p>
        </c:txPr>
        <c:crossAx val="222"/>
        <c:crosses val="autoZero"/>
        <c:auto val="1"/>
        <c:lblAlgn val="ctr"/>
        <c:lblOffset val="100"/>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midCat"/>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2026-10-10T07:19:26Z</dcterms:created>
  <dcterms:modified xsi:type="dcterms:W3CDTF">2026-10-10T07:19:26Z</dcterms:modified>
</cp:coreProperties>
</file>

<file path=docProps/custom.xml><?xml version="1.0" encoding="utf-8"?>
<Properties xmlns="http://schemas.openxmlformats.org/officeDocument/2006/custom-properties" xmlns:vt="http://schemas.openxmlformats.org/officeDocument/2006/docPropsVTypes"/>
</file>