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DINSHUNOSLIK</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DIN1204</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4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120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60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“Dinshunoslik” modulining maqsadi talabalarda dinning mohiyati, dunyoning diniy manzarasi, diniy va dunyoviy qarashlarning o‘zaro munosabati, diniy radikalizm, ekstremizm va terrorizmning davlat va jamiyat xavfsizligiga salbiy ta’siri haqidagi nazariy bilimlar va amaliy ko‘nikmalarni rivojlantirish orqali bag‘rikenglik va muloqot madaniyatini tarbiyalashdan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Dinning mohiyati, uning jamiyat va shaxs hayotidagi o‘rni, diniy dunyoqarash, dunyoviy va diniy bilimlar mutanosibligi, din va fanning o‘zaro munosabati hamda diniy va dunyoviy ta’lim maqsadlarini tushuntirib bera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Turli dinlarning mohiyati, ularning urf-odatlari va e’tiqodlaridagi farqlar va umumiy jihatlar, milliy va jahon dinlari, diniy-axloqiy g‘oyalar tahlili, dinshunoslikning asosiy tushunchalari (Xudo, payg‘ambarlar, inson, taqdir, oxirat va iymon), shuningdek, buddizm va xristianlik tarixi, islomdagi yo‘nalishlar, kalom va tasavvuf ta’limotining shakllanishi haqidagi bilimlarni biladi va qo‘llaydi.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Sekulyarizatsiya jarayonlarini tushunadi, turli dinlarga e’tiqod qiluvchilar va dinga e’tiqod qilmaydiganlar bilan muloqot va murosa madaniyatini rivojlantiradi, din bilan sun’iy ravishda bog‘lanadigan ma’naviy tahdidlar va axborot xurujlariga qarshi kurashish ko‘nikmalarini egallaydi.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Dinshunoslik fanining predmeti, maqsadi va vazifalari:</w:t>
            </w:r>
            <w:r>
              <w:rPr>
                <w:rFonts w:ascii="Arial" w:hAnsi="Arial" w:cs="Arial" w:eastAsia="Arial"/>
                <w:b w:val="0"/>
                <w:sz w:val="28"/>
              </w:rPr>
              <w:t xml:space="preserve"> Dinshunoslik fanining predmeti, maqsadi va vazifalarini ko‘rib chiqish.</w:t>
            </w:r>
          </w:p>
          <w:p>
            <w:pPr>
              <w:spacing w:before="0" w:after="0" w:line="240" w:lineRule="auto"/>
              <w:jc w:val="both"/>
            </w:pPr>
            <w:r>
              <w:rPr>
                <w:rFonts w:ascii="Arial" w:hAnsi="Arial" w:cs="Arial" w:eastAsia="Arial"/>
                <w:b/>
                <w:sz w:val="28"/>
              </w:rPr>
              <w:t>L2. Milliy dinlar:</w:t>
            </w:r>
            <w:r>
              <w:rPr>
                <w:rFonts w:ascii="Arial" w:hAnsi="Arial" w:cs="Arial" w:eastAsia="Arial"/>
                <w:b w:val="0"/>
                <w:sz w:val="28"/>
              </w:rPr>
              <w:t xml:space="preserve"> Milliy dinlar va ularning xususiyatlarini o‘rganish.</w:t>
            </w:r>
          </w:p>
          <w:p>
            <w:pPr>
              <w:spacing w:before="0" w:after="0" w:line="240" w:lineRule="auto"/>
              <w:jc w:val="both"/>
            </w:pPr>
            <w:r>
              <w:rPr>
                <w:rFonts w:ascii="Arial" w:hAnsi="Arial" w:cs="Arial" w:eastAsia="Arial"/>
                <w:b/>
                <w:sz w:val="28"/>
              </w:rPr>
              <w:t>L3. Buddizm tarixi va asosiy g‘oyalari:</w:t>
            </w:r>
            <w:r>
              <w:rPr>
                <w:rFonts w:ascii="Arial" w:hAnsi="Arial" w:cs="Arial" w:eastAsia="Arial"/>
                <w:b w:val="0"/>
                <w:sz w:val="28"/>
              </w:rPr>
              <w:t xml:space="preserve"> Buddizm tarixi va asosiy g‘oyalarini o‘rganish.</w:t>
            </w:r>
          </w:p>
          <w:p>
            <w:pPr>
              <w:spacing w:before="0" w:after="0" w:line="240" w:lineRule="auto"/>
              <w:jc w:val="both"/>
            </w:pPr>
            <w:r>
              <w:rPr>
                <w:rFonts w:ascii="Arial" w:hAnsi="Arial" w:cs="Arial" w:eastAsia="Arial"/>
                <w:b/>
                <w:sz w:val="28"/>
              </w:rPr>
              <w:t>L4. Xristianlik tarixi va asosiy g‘oyalari:</w:t>
            </w:r>
            <w:r>
              <w:rPr>
                <w:rFonts w:ascii="Arial" w:hAnsi="Arial" w:cs="Arial" w:eastAsia="Arial"/>
                <w:b w:val="0"/>
                <w:sz w:val="28"/>
              </w:rPr>
              <w:t xml:space="preserve"> Xristianlik tarixi va asosiy g‘oyalarini o‘rganish.</w:t>
            </w:r>
          </w:p>
          <w:p>
            <w:pPr>
              <w:spacing w:before="0" w:after="0" w:line="240" w:lineRule="auto"/>
              <w:jc w:val="both"/>
            </w:pPr>
            <w:r>
              <w:rPr>
                <w:rFonts w:ascii="Arial" w:hAnsi="Arial" w:cs="Arial" w:eastAsia="Arial"/>
                <w:b/>
                <w:sz w:val="28"/>
              </w:rPr>
              <w:t>L5. Islom tarixi va mohiyati:</w:t>
            </w:r>
            <w:r>
              <w:rPr>
                <w:rFonts w:ascii="Arial" w:hAnsi="Arial" w:cs="Arial" w:eastAsia="Arial"/>
                <w:b w:val="0"/>
                <w:sz w:val="28"/>
              </w:rPr>
              <w:t xml:space="preserve"> Islom tarixi va mohiyatini ko‘rib chiqish.</w:t>
            </w:r>
          </w:p>
          <w:p>
            <w:pPr>
              <w:spacing w:before="0" w:after="0" w:line="240" w:lineRule="auto"/>
              <w:jc w:val="both"/>
            </w:pPr>
            <w:r>
              <w:rPr>
                <w:rFonts w:ascii="Arial" w:hAnsi="Arial" w:cs="Arial" w:eastAsia="Arial"/>
                <w:b/>
                <w:sz w:val="28"/>
              </w:rPr>
              <w:t>L6. Islom manbalari, aqidaviy maktablar va ularning bugungi ahamiyati:</w:t>
            </w:r>
            <w:r>
              <w:rPr>
                <w:rFonts w:ascii="Arial" w:hAnsi="Arial" w:cs="Arial" w:eastAsia="Arial"/>
                <w:b w:val="0"/>
                <w:sz w:val="28"/>
              </w:rPr>
              <w:t xml:space="preserve"> Islom manbalari, aqidaviy maktablar va ularning bugungi ahamiyatini o‘rganish.</w:t>
            </w:r>
          </w:p>
          <w:p>
            <w:pPr>
              <w:spacing w:before="0" w:after="0" w:line="240" w:lineRule="auto"/>
              <w:jc w:val="both"/>
            </w:pPr>
            <w:r>
              <w:rPr>
                <w:rFonts w:ascii="Arial" w:hAnsi="Arial" w:cs="Arial" w:eastAsia="Arial"/>
                <w:b/>
                <w:sz w:val="28"/>
              </w:rPr>
              <w:t>L7. Islomdagi fiqhiy mazhablar:</w:t>
            </w:r>
            <w:r>
              <w:rPr>
                <w:rFonts w:ascii="Arial" w:hAnsi="Arial" w:cs="Arial" w:eastAsia="Arial"/>
                <w:b w:val="0"/>
                <w:sz w:val="28"/>
              </w:rPr>
              <w:t xml:space="preserve"> Islomdagi fiqhiy mazhablarni o‘rganish.</w:t>
            </w:r>
          </w:p>
          <w:p>
            <w:pPr>
              <w:spacing w:before="0" w:after="0" w:line="240" w:lineRule="auto"/>
              <w:jc w:val="both"/>
            </w:pPr>
            <w:r>
              <w:rPr>
                <w:rFonts w:ascii="Arial" w:hAnsi="Arial" w:cs="Arial" w:eastAsia="Arial"/>
                <w:b/>
                <w:sz w:val="28"/>
              </w:rPr>
              <w:t>L8. Tasavvuf ta’limotining Sharq madaniyatiga ta’siri:</w:t>
            </w:r>
            <w:r>
              <w:rPr>
                <w:rFonts w:ascii="Arial" w:hAnsi="Arial" w:cs="Arial" w:eastAsia="Arial"/>
                <w:b w:val="0"/>
                <w:sz w:val="28"/>
              </w:rPr>
              <w:t xml:space="preserve"> Tasavvuf ta’limotining Sharq madaniyatiga ta’sirini ko‘rib chiqish.</w:t>
            </w:r>
          </w:p>
          <w:p>
            <w:pPr>
              <w:spacing w:before="0" w:after="0" w:line="240" w:lineRule="auto"/>
              <w:jc w:val="both"/>
            </w:pPr>
            <w:r>
              <w:rPr>
                <w:rFonts w:ascii="Arial" w:hAnsi="Arial" w:cs="Arial" w:eastAsia="Arial"/>
                <w:b/>
                <w:sz w:val="28"/>
              </w:rPr>
              <w:t>L9. Islomiy qadriyatlar va ma’rifatning bugungi ahamiyati:</w:t>
            </w:r>
            <w:r>
              <w:rPr>
                <w:rFonts w:ascii="Arial" w:hAnsi="Arial" w:cs="Arial" w:eastAsia="Arial"/>
                <w:b w:val="0"/>
                <w:sz w:val="28"/>
              </w:rPr>
              <w:t xml:space="preserve"> Islomiy qadriyatlar va ma’rifatning bugungi ahamiyatini o‘rganish.</w:t>
            </w:r>
          </w:p>
          <w:p>
            <w:pPr>
              <w:spacing w:before="0" w:after="0" w:line="240" w:lineRule="auto"/>
              <w:jc w:val="both"/>
            </w:pPr>
            <w:r>
              <w:rPr>
                <w:rFonts w:ascii="Arial" w:hAnsi="Arial" w:cs="Arial" w:eastAsia="Arial"/>
                <w:b/>
                <w:sz w:val="28"/>
              </w:rPr>
              <w:t>L10. Globallashuv va din:</w:t>
            </w:r>
            <w:r>
              <w:rPr>
                <w:rFonts w:ascii="Arial" w:hAnsi="Arial" w:cs="Arial" w:eastAsia="Arial"/>
                <w:b w:val="0"/>
                <w:sz w:val="28"/>
              </w:rPr>
              <w:t xml:space="preserve"> Globallashuv va din o‘rtasidagi munosabatni o‘rganish.</w:t>
            </w:r>
          </w:p>
          <w:p>
            <w:pPr>
              <w:spacing w:before="0" w:after="0" w:line="240" w:lineRule="auto"/>
              <w:jc w:val="both"/>
            </w:pPr>
            <w:r>
              <w:rPr>
                <w:rFonts w:ascii="Arial" w:hAnsi="Arial" w:cs="Arial" w:eastAsia="Arial"/>
                <w:b/>
                <w:sz w:val="28"/>
              </w:rPr>
              <w:t>L11. Kibermakonda din. Missionerlik va prozelitizmning ijtimoiy-siyosiy xavfi:</w:t>
            </w:r>
            <w:r>
              <w:rPr>
                <w:rFonts w:ascii="Arial" w:hAnsi="Arial" w:cs="Arial" w:eastAsia="Arial"/>
                <w:b w:val="0"/>
                <w:sz w:val="28"/>
              </w:rPr>
              <w:t xml:space="preserve"> Kibermakonda din hamda missionerlik va prozelitizmning ijtimoiy-siyosiy xavfini ko‘rib chiqish.</w:t>
            </w:r>
          </w:p>
          <w:p>
            <w:pPr>
              <w:spacing w:before="0" w:after="0" w:line="240" w:lineRule="auto"/>
              <w:jc w:val="both"/>
            </w:pPr>
            <w:r>
              <w:rPr>
                <w:rFonts w:ascii="Arial" w:hAnsi="Arial" w:cs="Arial" w:eastAsia="Arial"/>
                <w:b/>
                <w:sz w:val="28"/>
              </w:rPr>
              <w:t>L12. Diniy fanatizm, ekstremizm, fundamentalizm va terrorizm tarixi:</w:t>
            </w:r>
            <w:r>
              <w:rPr>
                <w:rFonts w:ascii="Arial" w:hAnsi="Arial" w:cs="Arial" w:eastAsia="Arial"/>
                <w:b w:val="0"/>
                <w:sz w:val="28"/>
              </w:rPr>
              <w:t xml:space="preserve"> Diniy fanatizm, ekstremizm, fundamentalizm va terrorizm tarixini o‘rganish.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Dinshunoslik fanining predmeti, maqsadi va vazifalari:</w:t>
            </w:r>
            <w:r>
              <w:rPr>
                <w:rFonts w:ascii="Arial" w:hAnsi="Arial" w:cs="Arial" w:eastAsia="Arial"/>
                <w:b w:val="0"/>
                <w:sz w:val="28"/>
              </w:rPr>
              <w:t xml:space="preserve"> Dinshunoslik fanining predmeti va vazifalarini amaliy o‘rganish.</w:t>
            </w:r>
          </w:p>
          <w:p>
            <w:pPr>
              <w:spacing w:before="0" w:after="0" w:line="240" w:lineRule="auto"/>
              <w:jc w:val="both"/>
            </w:pPr>
            <w:r>
              <w:rPr>
                <w:rFonts w:ascii="Arial" w:hAnsi="Arial" w:cs="Arial" w:eastAsia="Arial"/>
                <w:b/>
                <w:sz w:val="28"/>
              </w:rPr>
              <w:t>P2. Milliy dinlar:</w:t>
            </w:r>
            <w:r>
              <w:rPr>
                <w:rFonts w:ascii="Arial" w:hAnsi="Arial" w:cs="Arial" w:eastAsia="Arial"/>
                <w:b w:val="0"/>
                <w:sz w:val="28"/>
              </w:rPr>
              <w:t xml:space="preserve"> Milliy dinlarni amaliy o‘rganish.</w:t>
            </w:r>
          </w:p>
          <w:p>
            <w:pPr>
              <w:spacing w:before="0" w:after="0" w:line="240" w:lineRule="auto"/>
              <w:jc w:val="both"/>
            </w:pPr>
            <w:r>
              <w:rPr>
                <w:rFonts w:ascii="Arial" w:hAnsi="Arial" w:cs="Arial" w:eastAsia="Arial"/>
                <w:b/>
                <w:sz w:val="28"/>
              </w:rPr>
              <w:t>P3. Buddizm tarixi va asosiy g‘oyalari:</w:t>
            </w:r>
            <w:r>
              <w:rPr>
                <w:rFonts w:ascii="Arial" w:hAnsi="Arial" w:cs="Arial" w:eastAsia="Arial"/>
                <w:b w:val="0"/>
                <w:sz w:val="28"/>
              </w:rPr>
              <w:t xml:space="preserve"> Buddizm tarixi va g‘oyalarini amaliy o‘rganish.</w:t>
            </w:r>
          </w:p>
          <w:p>
            <w:pPr>
              <w:spacing w:before="0" w:after="0" w:line="240" w:lineRule="auto"/>
              <w:jc w:val="both"/>
            </w:pPr>
            <w:r>
              <w:rPr>
                <w:rFonts w:ascii="Arial" w:hAnsi="Arial" w:cs="Arial" w:eastAsia="Arial"/>
                <w:b/>
                <w:sz w:val="28"/>
              </w:rPr>
              <w:t>P4. Xristianlik tarixi va asosiy g‘oyalari:</w:t>
            </w:r>
            <w:r>
              <w:rPr>
                <w:rFonts w:ascii="Arial" w:hAnsi="Arial" w:cs="Arial" w:eastAsia="Arial"/>
                <w:b w:val="0"/>
                <w:sz w:val="28"/>
              </w:rPr>
              <w:t xml:space="preserve"> Xristianlik tarixi va g‘oyalarini amaliy o‘rganish.</w:t>
            </w:r>
          </w:p>
          <w:p>
            <w:pPr>
              <w:spacing w:before="0" w:after="0" w:line="240" w:lineRule="auto"/>
              <w:jc w:val="both"/>
            </w:pPr>
            <w:r>
              <w:rPr>
                <w:rFonts w:ascii="Arial" w:hAnsi="Arial" w:cs="Arial" w:eastAsia="Arial"/>
                <w:b/>
                <w:sz w:val="28"/>
              </w:rPr>
              <w:t>P5. Islom tarixi va mohiyati:</w:t>
            </w:r>
            <w:r>
              <w:rPr>
                <w:rFonts w:ascii="Arial" w:hAnsi="Arial" w:cs="Arial" w:eastAsia="Arial"/>
                <w:b w:val="0"/>
                <w:sz w:val="28"/>
              </w:rPr>
              <w:t xml:space="preserve"> Islom tarixi va mohiyatini amaliy o‘rganish.</w:t>
            </w:r>
          </w:p>
          <w:p>
            <w:pPr>
              <w:spacing w:before="0" w:after="0" w:line="240" w:lineRule="auto"/>
              <w:jc w:val="both"/>
            </w:pPr>
            <w:r>
              <w:rPr>
                <w:rFonts w:ascii="Arial" w:hAnsi="Arial" w:cs="Arial" w:eastAsia="Arial"/>
                <w:b/>
                <w:sz w:val="28"/>
              </w:rPr>
              <w:t>P6. Islom manbalari, aqidaviy maktablar va ularning bugungi ahamiyati:</w:t>
            </w:r>
            <w:r>
              <w:rPr>
                <w:rFonts w:ascii="Arial" w:hAnsi="Arial" w:cs="Arial" w:eastAsia="Arial"/>
                <w:b w:val="0"/>
                <w:sz w:val="28"/>
              </w:rPr>
              <w:t xml:space="preserve"> Islom manbalari va aqidaviy maktablarni amaliy o‘rganish.</w:t>
            </w:r>
          </w:p>
          <w:p>
            <w:pPr>
              <w:spacing w:before="0" w:after="0" w:line="240" w:lineRule="auto"/>
              <w:jc w:val="both"/>
            </w:pPr>
            <w:r>
              <w:rPr>
                <w:rFonts w:ascii="Arial" w:hAnsi="Arial" w:cs="Arial" w:eastAsia="Arial"/>
                <w:b/>
                <w:sz w:val="28"/>
              </w:rPr>
              <w:t>P7. Islomdagi fiqhiy mazhablar:</w:t>
            </w:r>
            <w:r>
              <w:rPr>
                <w:rFonts w:ascii="Arial" w:hAnsi="Arial" w:cs="Arial" w:eastAsia="Arial"/>
                <w:b w:val="0"/>
                <w:sz w:val="28"/>
              </w:rPr>
              <w:t xml:space="preserve"> Islomdagi fiqhiy mazhablarni amaliy o‘rganish.</w:t>
            </w:r>
          </w:p>
          <w:p>
            <w:pPr>
              <w:spacing w:before="0" w:after="0" w:line="240" w:lineRule="auto"/>
              <w:jc w:val="both"/>
            </w:pPr>
            <w:r>
              <w:rPr>
                <w:rFonts w:ascii="Arial" w:hAnsi="Arial" w:cs="Arial" w:eastAsia="Arial"/>
                <w:b/>
                <w:sz w:val="28"/>
              </w:rPr>
              <w:t>P8. Tasavvuf ta’limotining Sharq madaniyatiga ta’siri:</w:t>
            </w:r>
            <w:r>
              <w:rPr>
                <w:rFonts w:ascii="Arial" w:hAnsi="Arial" w:cs="Arial" w:eastAsia="Arial"/>
                <w:b w:val="0"/>
                <w:sz w:val="28"/>
              </w:rPr>
              <w:t xml:space="preserve"> Tasavvuf ta’limotining Sharq madaniyatiga ta’sirini amaliy o‘rganish.</w:t>
            </w:r>
          </w:p>
          <w:p>
            <w:pPr>
              <w:spacing w:before="0" w:after="0" w:line="240" w:lineRule="auto"/>
              <w:jc w:val="both"/>
            </w:pPr>
            <w:r>
              <w:rPr>
                <w:rFonts w:ascii="Arial" w:hAnsi="Arial" w:cs="Arial" w:eastAsia="Arial"/>
                <w:b/>
                <w:sz w:val="28"/>
              </w:rPr>
              <w:t>P9. Islomiy qadriyatlar va ma’rifatning bugungi ahamiyati:</w:t>
            </w:r>
            <w:r>
              <w:rPr>
                <w:rFonts w:ascii="Arial" w:hAnsi="Arial" w:cs="Arial" w:eastAsia="Arial"/>
                <w:b w:val="0"/>
                <w:sz w:val="28"/>
              </w:rPr>
              <w:t xml:space="preserve"> Islomiy qadriyatlarning bugungi ahamiyatini amaliy o‘rganish.</w:t>
            </w:r>
          </w:p>
          <w:p>
            <w:pPr>
              <w:spacing w:before="0" w:after="0" w:line="240" w:lineRule="auto"/>
              <w:jc w:val="both"/>
            </w:pPr>
            <w:r>
              <w:rPr>
                <w:rFonts w:ascii="Arial" w:hAnsi="Arial" w:cs="Arial" w:eastAsia="Arial"/>
                <w:b/>
                <w:sz w:val="28"/>
              </w:rPr>
              <w:t>P10. Globallashuv va din:</w:t>
            </w:r>
            <w:r>
              <w:rPr>
                <w:rFonts w:ascii="Arial" w:hAnsi="Arial" w:cs="Arial" w:eastAsia="Arial"/>
                <w:b w:val="0"/>
                <w:sz w:val="28"/>
              </w:rPr>
              <w:t xml:space="preserve"> Globallashuv va dinni amaliy o‘rganish.</w:t>
            </w:r>
          </w:p>
          <w:p>
            <w:pPr>
              <w:spacing w:before="0" w:after="0" w:line="240" w:lineRule="auto"/>
              <w:jc w:val="both"/>
            </w:pPr>
            <w:r>
              <w:rPr>
                <w:rFonts w:ascii="Arial" w:hAnsi="Arial" w:cs="Arial" w:eastAsia="Arial"/>
                <w:b/>
                <w:sz w:val="28"/>
              </w:rPr>
              <w:t>P11. Kibermakonda din. Missionerlik va prozelitizmning ijtimoiy-siyosiy xavfi:</w:t>
            </w:r>
            <w:r>
              <w:rPr>
                <w:rFonts w:ascii="Arial" w:hAnsi="Arial" w:cs="Arial" w:eastAsia="Arial"/>
                <w:b w:val="0"/>
                <w:sz w:val="28"/>
              </w:rPr>
              <w:t xml:space="preserve"> Kibermakonda din va missionerlik xavfini amaliy o‘rganish.</w:t>
            </w:r>
          </w:p>
          <w:p>
            <w:pPr>
              <w:spacing w:before="0" w:after="0" w:line="240" w:lineRule="auto"/>
              <w:jc w:val="both"/>
            </w:pPr>
            <w:r>
              <w:rPr>
                <w:rFonts w:ascii="Arial" w:hAnsi="Arial" w:cs="Arial" w:eastAsia="Arial"/>
                <w:b/>
                <w:sz w:val="28"/>
              </w:rPr>
              <w:t>P12. Diniy fanatizm, ekstremizm, fundamentalizm va terrorizm tarixi:</w:t>
            </w:r>
            <w:r>
              <w:rPr>
                <w:rFonts w:ascii="Arial" w:hAnsi="Arial" w:cs="Arial" w:eastAsia="Arial"/>
                <w:b w:val="0"/>
                <w:sz w:val="28"/>
              </w:rPr>
              <w:t xml:space="preserve"> Diniy fanatizm, ekstremizm va terrorizm tarixini amaliy o‘rganish.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Dinshunoslik fanining predmeti, maqsadi va vazifalari:</w:t>
            </w:r>
            <w:r>
              <w:rPr>
                <w:rFonts w:ascii="Arial" w:hAnsi="Arial" w:cs="Arial" w:eastAsia="Arial"/>
                <w:b w:val="0"/>
                <w:sz w:val="28"/>
              </w:rPr>
              <w:t xml:space="preserve"> Dinshunoslik fanining predmeti, maqsadi va vazifalarini mustaqil o‘rganish.</w:t>
            </w:r>
          </w:p>
          <w:p>
            <w:pPr>
              <w:spacing w:before="0" w:after="0" w:line="240" w:lineRule="auto"/>
              <w:jc w:val="both"/>
            </w:pPr>
            <w:r>
              <w:rPr>
                <w:rFonts w:ascii="Arial" w:hAnsi="Arial" w:cs="Arial" w:eastAsia="Arial"/>
                <w:b/>
                <w:sz w:val="28"/>
              </w:rPr>
              <w:t>SA2. Milliy dinlar:</w:t>
            </w:r>
            <w:r>
              <w:rPr>
                <w:rFonts w:ascii="Arial" w:hAnsi="Arial" w:cs="Arial" w:eastAsia="Arial"/>
                <w:b w:val="0"/>
                <w:sz w:val="28"/>
              </w:rPr>
              <w:t xml:space="preserve"> Milliy dinlarni mustaqil o‘rganish.</w:t>
            </w:r>
          </w:p>
          <w:p>
            <w:pPr>
              <w:spacing w:before="0" w:after="0" w:line="240" w:lineRule="auto"/>
              <w:jc w:val="both"/>
            </w:pPr>
            <w:r>
              <w:rPr>
                <w:rFonts w:ascii="Arial" w:hAnsi="Arial" w:cs="Arial" w:eastAsia="Arial"/>
                <w:b/>
                <w:sz w:val="28"/>
              </w:rPr>
              <w:t>SA3. Buddizm tarixi va asosiy g‘oyalari:</w:t>
            </w:r>
            <w:r>
              <w:rPr>
                <w:rFonts w:ascii="Arial" w:hAnsi="Arial" w:cs="Arial" w:eastAsia="Arial"/>
                <w:b w:val="0"/>
                <w:sz w:val="28"/>
              </w:rPr>
              <w:t xml:space="preserve"> Buddizm tarixi va asosiy g‘oyalarini mustaqil o‘rganish.</w:t>
            </w:r>
          </w:p>
          <w:p>
            <w:pPr>
              <w:spacing w:before="0" w:after="0" w:line="240" w:lineRule="auto"/>
              <w:jc w:val="both"/>
            </w:pPr>
            <w:r>
              <w:rPr>
                <w:rFonts w:ascii="Arial" w:hAnsi="Arial" w:cs="Arial" w:eastAsia="Arial"/>
                <w:b/>
                <w:sz w:val="28"/>
              </w:rPr>
              <w:t>SA4. Xristianlik tarixi va asosiy g‘oyalari:</w:t>
            </w:r>
            <w:r>
              <w:rPr>
                <w:rFonts w:ascii="Arial" w:hAnsi="Arial" w:cs="Arial" w:eastAsia="Arial"/>
                <w:b w:val="0"/>
                <w:sz w:val="28"/>
              </w:rPr>
              <w:t xml:space="preserve"> Xristianlik tarixi va asosiy g‘oyalarini mustaqil o‘rganish.</w:t>
            </w:r>
          </w:p>
          <w:p>
            <w:pPr>
              <w:spacing w:before="0" w:after="0" w:line="240" w:lineRule="auto"/>
              <w:jc w:val="both"/>
            </w:pPr>
            <w:r>
              <w:rPr>
                <w:rFonts w:ascii="Arial" w:hAnsi="Arial" w:cs="Arial" w:eastAsia="Arial"/>
                <w:b/>
                <w:sz w:val="28"/>
              </w:rPr>
              <w:t>SA5. Islom tarixi va mohiyati:</w:t>
            </w:r>
            <w:r>
              <w:rPr>
                <w:rFonts w:ascii="Arial" w:hAnsi="Arial" w:cs="Arial" w:eastAsia="Arial"/>
                <w:b w:val="0"/>
                <w:sz w:val="28"/>
              </w:rPr>
              <w:t xml:space="preserve"> Islom tarixi va mohiyatini mustaqil o‘rganish.</w:t>
            </w:r>
          </w:p>
          <w:p>
            <w:pPr>
              <w:spacing w:before="0" w:after="0" w:line="240" w:lineRule="auto"/>
              <w:jc w:val="both"/>
            </w:pPr>
            <w:r>
              <w:rPr>
                <w:rFonts w:ascii="Arial" w:hAnsi="Arial" w:cs="Arial" w:eastAsia="Arial"/>
                <w:b/>
                <w:sz w:val="28"/>
              </w:rPr>
              <w:t>SA6. Islom manbalari, aqidaviy maktablar va ularning bugungi ahamiyati:</w:t>
            </w:r>
            <w:r>
              <w:rPr>
                <w:rFonts w:ascii="Arial" w:hAnsi="Arial" w:cs="Arial" w:eastAsia="Arial"/>
                <w:b w:val="0"/>
                <w:sz w:val="28"/>
              </w:rPr>
              <w:t xml:space="preserve"> Islom manbalari, aqidaviy maktablar va ularning bugungi ahamiyatini mustaqil o‘rganish.</w:t>
            </w:r>
          </w:p>
          <w:p>
            <w:pPr>
              <w:spacing w:before="0" w:after="0" w:line="240" w:lineRule="auto"/>
              <w:jc w:val="both"/>
            </w:pPr>
            <w:r>
              <w:rPr>
                <w:rFonts w:ascii="Arial" w:hAnsi="Arial" w:cs="Arial" w:eastAsia="Arial"/>
                <w:b/>
                <w:sz w:val="28"/>
              </w:rPr>
              <w:t>SA7. Islomdagi fiqhiy mazhablar:</w:t>
            </w:r>
            <w:r>
              <w:rPr>
                <w:rFonts w:ascii="Arial" w:hAnsi="Arial" w:cs="Arial" w:eastAsia="Arial"/>
                <w:b w:val="0"/>
                <w:sz w:val="28"/>
              </w:rPr>
              <w:t xml:space="preserve"> Islomdagi fiqhiy mazhablarni mustaqil o‘rganish.</w:t>
            </w:r>
          </w:p>
          <w:p>
            <w:pPr>
              <w:spacing w:before="0" w:after="0" w:line="240" w:lineRule="auto"/>
              <w:jc w:val="both"/>
            </w:pPr>
            <w:r>
              <w:rPr>
                <w:rFonts w:ascii="Arial" w:hAnsi="Arial" w:cs="Arial" w:eastAsia="Arial"/>
                <w:b/>
                <w:sz w:val="28"/>
              </w:rPr>
              <w:t>SA8. Tasavvuf ta’limotining Sharq madaniyatiga ta’siri:</w:t>
            </w:r>
            <w:r>
              <w:rPr>
                <w:rFonts w:ascii="Arial" w:hAnsi="Arial" w:cs="Arial" w:eastAsia="Arial"/>
                <w:b w:val="0"/>
                <w:sz w:val="28"/>
              </w:rPr>
              <w:t xml:space="preserve"> Tasavvuf ta’limotining Sharq madaniyatiga ta’sirini mustaqil o‘rganish.</w:t>
            </w:r>
          </w:p>
          <w:p>
            <w:pPr>
              <w:spacing w:before="0" w:after="0" w:line="240" w:lineRule="auto"/>
              <w:jc w:val="both"/>
            </w:pPr>
            <w:r>
              <w:rPr>
                <w:rFonts w:ascii="Arial" w:hAnsi="Arial" w:cs="Arial" w:eastAsia="Arial"/>
                <w:b/>
                <w:sz w:val="28"/>
              </w:rPr>
              <w:t>SA9. Islomiy qadriyatlar va ma’rifatning bugungi ahamiyati:</w:t>
            </w:r>
            <w:r>
              <w:rPr>
                <w:rFonts w:ascii="Arial" w:hAnsi="Arial" w:cs="Arial" w:eastAsia="Arial"/>
                <w:b w:val="0"/>
                <w:sz w:val="28"/>
              </w:rPr>
              <w:t xml:space="preserve"> Islomiy qadriyatlar va ma’rifatning bugungi ahamiyatini mustaqil o‘rganish.</w:t>
            </w:r>
          </w:p>
          <w:p>
            <w:pPr>
              <w:spacing w:before="0" w:after="0" w:line="240" w:lineRule="auto"/>
              <w:jc w:val="both"/>
            </w:pPr>
            <w:r>
              <w:rPr>
                <w:rFonts w:ascii="Arial" w:hAnsi="Arial" w:cs="Arial" w:eastAsia="Arial"/>
                <w:b/>
                <w:sz w:val="28"/>
              </w:rPr>
              <w:t>SA10. Globallashuv va din:</w:t>
            </w:r>
            <w:r>
              <w:rPr>
                <w:rFonts w:ascii="Arial" w:hAnsi="Arial" w:cs="Arial" w:eastAsia="Arial"/>
                <w:b w:val="0"/>
                <w:sz w:val="28"/>
              </w:rPr>
              <w:t xml:space="preserve"> Globallashuv va dinni mustaqil o‘rganish.</w:t>
            </w:r>
          </w:p>
          <w:p>
            <w:pPr>
              <w:spacing w:before="0" w:after="0" w:line="240" w:lineRule="auto"/>
              <w:jc w:val="both"/>
            </w:pPr>
            <w:r>
              <w:rPr>
                <w:rFonts w:ascii="Arial" w:hAnsi="Arial" w:cs="Arial" w:eastAsia="Arial"/>
                <w:b/>
                <w:sz w:val="28"/>
              </w:rPr>
              <w:t>SA11. Kibermakonda din, missionerlik va prozelitizm xavfi:</w:t>
            </w:r>
            <w:r>
              <w:rPr>
                <w:rFonts w:ascii="Arial" w:hAnsi="Arial" w:cs="Arial" w:eastAsia="Arial"/>
                <w:b w:val="0"/>
                <w:sz w:val="28"/>
              </w:rPr>
              <w:t xml:space="preserve"> Kibermakonda din hamda missionerlik va prozelitizm xavfini mustaqil o‘rganish.</w:t>
            </w:r>
          </w:p>
          <w:p>
            <w:pPr>
              <w:spacing w:before="0" w:after="0" w:line="240" w:lineRule="auto"/>
              <w:jc w:val="both"/>
            </w:pPr>
            <w:r>
              <w:rPr>
                <w:rFonts w:ascii="Arial" w:hAnsi="Arial" w:cs="Arial" w:eastAsia="Arial"/>
                <w:b/>
                <w:sz w:val="28"/>
              </w:rPr>
              <w:t>SA12. Diniy fanatizm, ekstremizm, fundamentalizm va terrorizm tarixi:</w:t>
            </w:r>
            <w:r>
              <w:rPr>
                <w:rFonts w:ascii="Arial" w:hAnsi="Arial" w:cs="Arial" w:eastAsia="Arial"/>
                <w:b w:val="0"/>
                <w:sz w:val="28"/>
              </w:rPr>
              <w:t xml:space="preserve"> Diniy fanatizm, ekstremizm, fundamentalizm va terrorizm tarixini mustaqil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testlar, og‘zaki va yozma ishlar orqali baholanadi. Standart tuzilmaga muvofiq o‘zlashtirish joriy nazorat (20%), oraliq nazorat (30%) va yakuniy imtihon (50%) orqali baholanadi. Joriy nazorat ma’ruza va amaliy mashg‘ulotlardagi faol ishtirokni, seminar muhokamalarini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tizimli mustaqil ta’lim loyihalarini baholashdan iborat. Yakuniy imtihon kursning nazariy va amaliy jihatdan o‘zlashtirilishini har tomonlama tekshiradi va dinning predmeti va mohiyati, milliy va jahon dinlari, buddizm va xristianlik tarixi va g‘oyalari, islom tarixi, mohiyati va manbalari, aqidaviy va fiqhiy maktablar, tasavvuf ta’limoti va islomiy qadriyatlar, globallashuv va din hamda diniy radikalizm, ekstremizm va terrorizm xavfi mavzularini qamrab oladi. Berilgan barcha mustaqil ta’lim topshiriqlarini muvaffaqiyatli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 va chalkashliklarga yo‘l qo‘ymasdan ilmiy aniqlik va mantiqiylikni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ettirgan va tarixiy jarayonlarni tushuntirib bera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va mantiqiy chalkashliklarsiz tushunadi, mazmunning amaliy ahamiyatini anglaydi, o‘quv dasturi doirasidagi vazifa va topshiriqlarni bajaradi, berilgan savollarga to‘g‘ri javob beradi, konspektlarni puxta rasmiylashtiradi, mustaqil topshiriqlarni to‘liq bajaradi hamda fanga oid qonunlar va boshqa normativ hujjatlarni o‘zlashtirgan.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va ayrim chalkashliklar bilan yoritadi va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Jalilov B. (2019). Dinlar falsafasi. Darslik. Toshkent, 148 b.</w:t>
            </w:r>
          </w:p>
          <w:p>
            <w:pPr>
              <w:spacing w:before="0" w:after="0" w:line="240" w:lineRule="auto"/>
              <w:jc w:val="both"/>
            </w:pPr>
            <w:r>
              <w:rPr>
                <w:rFonts w:ascii="Arial" w:hAnsi="Arial" w:cs="Arial" w:eastAsia="Arial"/>
                <w:b w:val="0"/>
                <w:sz w:val="28"/>
              </w:rPr>
              <w:t>2. Komilov D. (2021). Dinshunoslik. Darslik. T.: Lesson Press, 128 b.</w:t>
            </w:r>
          </w:p>
          <w:p>
            <w:pPr>
              <w:spacing w:before="0" w:after="0" w:line="240" w:lineRule="auto"/>
              <w:jc w:val="both"/>
            </w:pPr>
            <w:r>
              <w:rPr>
                <w:rFonts w:ascii="Arial" w:hAnsi="Arial" w:cs="Arial" w:eastAsia="Arial"/>
                <w:b w:val="0"/>
                <w:sz w:val="28"/>
              </w:rPr>
              <w:t>3. Shermuhamedova N.A. Diniy fanatizm fenomeni // Inson falsafasi. Toshkent.</w:t>
            </w:r>
          </w:p>
          <w:p>
            <w:pPr>
              <w:spacing w:before="0" w:after="0" w:line="240" w:lineRule="auto"/>
              <w:jc w:val="both"/>
            </w:pPr>
            <w:r>
              <w:rPr>
                <w:rFonts w:ascii="Arial" w:hAnsi="Arial" w:cs="Arial" w:eastAsia="Arial"/>
                <w:b w:val="0"/>
                <w:sz w:val="28"/>
              </w:rPr>
              <w:t>4. Muratov D., Alimova M., Karimov J. Dinshunoslik. Darslik. Toshkent: “Navro‘z”.</w:t>
            </w:r>
          </w:p>
          <w:p>
            <w:pPr>
              <w:spacing w:before="0" w:after="0" w:line="240" w:lineRule="auto"/>
              <w:jc w:val="both"/>
            </w:pPr>
            <w:r>
              <w:rPr>
                <w:rFonts w:ascii="Arial" w:hAnsi="Arial" w:cs="Arial" w:eastAsia="Arial"/>
                <w:b w:val="0"/>
                <w:sz w:val="28"/>
              </w:rPr>
              <w:t>5. Rahimjonov D., Ernazarov O. Dinshunoslikka kirish. Darslik. Toshkent.</w:t>
            </w:r>
          </w:p>
          <w:p>
            <w:pPr>
              <w:spacing w:before="0" w:after="0" w:line="240" w:lineRule="auto"/>
              <w:jc w:val="both"/>
            </w:pPr>
            <w:r>
              <w:rPr>
                <w:rFonts w:ascii="Arial" w:hAnsi="Arial" w:cs="Arial" w:eastAsia="Arial"/>
                <w:b w:val="0"/>
                <w:sz w:val="28"/>
              </w:rPr>
              <w:t>6. Mirziyoyev Sh.M. (2022). Yangi O‘zbekiston strategiyasi. Toshkent: O‘zbekiston, 416 b.</w:t>
            </w:r>
          </w:p>
          <w:p>
            <w:pPr>
              <w:spacing w:before="0" w:after="0" w:line="240" w:lineRule="auto"/>
              <w:jc w:val="both"/>
            </w:pPr>
            <w:r>
              <w:rPr>
                <w:rFonts w:ascii="Arial" w:hAnsi="Arial" w:cs="Arial" w:eastAsia="Arial"/>
                <w:b w:val="0"/>
                <w:sz w:val="28"/>
              </w:rPr>
              <w:t>7. Abu Homid G‘azzoliy. Kimyoi saodat // Saodatga yetaklovchi bilim.</w:t>
            </w:r>
          </w:p>
          <w:p>
            <w:pPr>
              <w:spacing w:before="0" w:after="0" w:line="240" w:lineRule="auto"/>
              <w:jc w:val="both"/>
            </w:pPr>
            <w:r>
              <w:rPr>
                <w:rFonts w:ascii="Arial" w:hAnsi="Arial" w:cs="Arial" w:eastAsia="Arial"/>
                <w:b w:val="0"/>
                <w:sz w:val="28"/>
              </w:rPr>
              <w:t>8. Rumiy J. (2019). Yetti majlis. Toshkent: Yangi asr avlodi, 194 b.</w:t>
            </w:r>
          </w:p>
          <w:p>
            <w:pPr>
              <w:spacing w:before="0" w:after="0" w:line="240" w:lineRule="auto"/>
              <w:jc w:val="both"/>
            </w:pPr>
            <w:r>
              <w:rPr>
                <w:rFonts w:ascii="Arial" w:hAnsi="Arial" w:cs="Arial" w:eastAsia="Arial"/>
                <w:b w:val="0"/>
                <w:sz w:val="28"/>
              </w:rPr>
              <w:t>9. Saifnazarov I., Sultonov T., Ilhomjonov L., Xalimmetova R. Dinshunoslik. Darslik.</w:t>
            </w:r>
          </w:p>
          <w:p>
            <w:pPr>
              <w:spacing w:before="0" w:after="0" w:line="240" w:lineRule="auto"/>
              <w:jc w:val="both"/>
            </w:pPr>
            <w:r>
              <w:rPr>
                <w:rFonts w:ascii="Arial" w:hAnsi="Arial" w:cs="Arial" w:eastAsia="Arial"/>
                <w:b w:val="0"/>
                <w:sz w:val="28"/>
              </w:rPr>
              <w:t>10. Islomov Z., Haydarov I. Xristianlik: ibodatxonalar, ibodatlar va marosimlar. Toshkent.</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Rasulov Ortiq Yakubovich,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