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SHAXSIY MOLIYA</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PM1405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“Shaxsiy moliya” modulining maqsadi talabalarda asosli shaxsiy moliyaviy strategiyalarni ishlab chiqish, boylik va qarzlarni samarali boshqarish hamda zamonaviy raqamli bank ekotizimlarida FinTech yechimlaridan xavfsiz va samarali foydalanish bo‘yicha tahliliy va amaliy qobiliyatlarni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Shaxsiy moliyaviy qarorlar qabul qilishning nazariy asoslari va asosiy tushunchalarini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Daromad olish, xarajatlarni boshqarish, jamg‘arish va diversifikatsiyalangan investitsiyalarning asosiy tamoyillarini izohlash.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Budjet tuzish vositalari, qarzni boshqarish strategiyalari, sug‘urta polislari va pensiya rejalari kabi turli moliyaviy instrumentlarni tasniflash.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“50-30-20” qoidasi kabi tamoyillar va zamonaviy mobil ilovalarni qo‘llagan holda keng qamrovli shaxsiy va oilaviy budjetlarni tuzish va tahlil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Moliyaviy xavflarni hisoblash hamda tegishli shaxsiy xavflarni boshqarish va sug‘urta strategiyalarini qo‘llash.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Kiberxavfsizlik tahdidlarining oldini olgan holda shaxsiy moliyaviy operatsiyalarni optimallashtirish uchun tegishli bank xizmatlari, raqamli aktivlar va FinTech yechimlarini baholash va ulardan foydalanish.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Muayyan moliyaviy maqsadlar va kelajakdagi farovonlikka erishish uchun strategik uzoq va qisqa muddatli moliyaviy rejalarni ishlab chiqish va amalga oshirish.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Moliyaviy mustaqillik va barqarorlikni saqlash uchun ipoteka kreditlash, yirik xaridlar va qarz yukiga oid murakkab moliyaviy muammolarni baholash va hal etish.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Boylik to‘plash, erta nafaqaga chiqish (masalan, FIRE strategiyalari) va diversifikatsiyalangan investitsiyalash bo‘yicha umrbod keng qamrovli strategiyalarni ishlab chiqish.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Karyerani rejalashtirish va shaxsiy daromad manbalari:</w:t>
            </w:r>
            <w:r>
              <w:rPr>
                <w:rFonts w:ascii="Arial" w:hAnsi="Arial" w:cs="Arial" w:eastAsia="Arial"/>
                <w:b w:val="0"/>
                <w:sz w:val="28"/>
              </w:rPr>
              <w:t xml:space="preserve"> Moliyaviy maqsadlarni karyerani rejalashtirishga integratsiyalash o‘rganiladi va shaxsiy daromadning turli manbalari baholanadi.</w:t>
            </w:r>
          </w:p>
          <w:p>
            <w:pPr>
              <w:spacing w:before="0" w:after="0" w:line="240" w:lineRule="auto"/>
              <w:jc w:val="both"/>
            </w:pPr>
            <w:r>
              <w:rPr>
                <w:rFonts w:ascii="Arial" w:hAnsi="Arial" w:cs="Arial" w:eastAsia="Arial"/>
                <w:b/>
                <w:sz w:val="28"/>
              </w:rPr>
              <w:t>L2. Shaxsiy va oilaviy budjet tuzish tamoyillari:</w:t>
            </w:r>
            <w:r>
              <w:rPr>
                <w:rFonts w:ascii="Arial" w:hAnsi="Arial" w:cs="Arial" w:eastAsia="Arial"/>
                <w:b w:val="0"/>
                <w:sz w:val="28"/>
              </w:rPr>
              <w:t xml:space="preserve"> “50-30-20” qoidasi va barqaror rejalashtirish uchun oilaviy budjetning ahamiyatiga urg‘u bergan holda shaxsiy budjetlar mexanizmi qamrab olinadi.</w:t>
            </w:r>
          </w:p>
          <w:p>
            <w:pPr>
              <w:spacing w:before="0" w:after="0" w:line="240" w:lineRule="auto"/>
              <w:jc w:val="both"/>
            </w:pPr>
            <w:r>
              <w:rPr>
                <w:rFonts w:ascii="Arial" w:hAnsi="Arial" w:cs="Arial" w:eastAsia="Arial"/>
                <w:b/>
                <w:sz w:val="28"/>
              </w:rPr>
              <w:t>L3. Jamg‘arish va boylik to‘plash asoslari:</w:t>
            </w:r>
            <w:r>
              <w:rPr>
                <w:rFonts w:ascii="Arial" w:hAnsi="Arial" w:cs="Arial" w:eastAsia="Arial"/>
                <w:b w:val="0"/>
                <w:sz w:val="28"/>
              </w:rPr>
              <w:t xml:space="preserve"> Jamg‘arish odatlari, favqulodda vaziyatlar uchun zaxira fondini yaratish va kichik summalardan katta kapital to‘plash tamoyili tahlil qilinadi.</w:t>
            </w:r>
          </w:p>
          <w:p>
            <w:pPr>
              <w:spacing w:before="0" w:after="0" w:line="240" w:lineRule="auto"/>
              <w:jc w:val="both"/>
            </w:pPr>
            <w:r>
              <w:rPr>
                <w:rFonts w:ascii="Arial" w:hAnsi="Arial" w:cs="Arial" w:eastAsia="Arial"/>
                <w:b/>
                <w:sz w:val="28"/>
              </w:rPr>
              <w:t>L4. Bank xizmatlari va shaxsiy hisobvaraqlar:</w:t>
            </w:r>
            <w:r>
              <w:rPr>
                <w:rFonts w:ascii="Arial" w:hAnsi="Arial" w:cs="Arial" w:eastAsia="Arial"/>
                <w:b w:val="0"/>
                <w:sz w:val="28"/>
              </w:rPr>
              <w:t xml:space="preserve"> Bank kartalari, omonatlar, joriy hisobvaraqlar o‘rtasidagi farqlar va mobil banking xavflari o‘rganiladi.</w:t>
            </w:r>
          </w:p>
          <w:p>
            <w:pPr>
              <w:spacing w:before="0" w:after="0" w:line="240" w:lineRule="auto"/>
              <w:jc w:val="both"/>
            </w:pPr>
            <w:r>
              <w:rPr>
                <w:rFonts w:ascii="Arial" w:hAnsi="Arial" w:cs="Arial" w:eastAsia="Arial"/>
                <w:b/>
                <w:sz w:val="28"/>
              </w:rPr>
              <w:t>L5. Foiz stavkalari va ularning moliyaviy ta’siri:</w:t>
            </w:r>
            <w:r>
              <w:rPr>
                <w:rFonts w:ascii="Arial" w:hAnsi="Arial" w:cs="Arial" w:eastAsia="Arial"/>
                <w:b w:val="0"/>
                <w:sz w:val="28"/>
              </w:rPr>
              <w:t xml:space="preserve"> Turli bank mahsulotlari, jumladan, ipoteka, iste’mol kreditlari va omonatlar bo‘yicha foiz stavkalari taqqoslanadi.</w:t>
            </w:r>
          </w:p>
          <w:p>
            <w:pPr>
              <w:spacing w:before="0" w:after="0" w:line="240" w:lineRule="auto"/>
              <w:jc w:val="both"/>
            </w:pPr>
            <w:r>
              <w:rPr>
                <w:rFonts w:ascii="Arial" w:hAnsi="Arial" w:cs="Arial" w:eastAsia="Arial"/>
                <w:b/>
                <w:sz w:val="28"/>
              </w:rPr>
              <w:t>L6. Shaxsiy qarzlarni boshqarish va kredit kartalari:</w:t>
            </w:r>
            <w:r>
              <w:rPr>
                <w:rFonts w:ascii="Arial" w:hAnsi="Arial" w:cs="Arial" w:eastAsia="Arial"/>
                <w:b w:val="0"/>
                <w:sz w:val="28"/>
              </w:rPr>
              <w:t xml:space="preserve"> Kredit reytingining ta’siri hamda qarz yukini boshqarish va qarz bilan jamg‘arma o‘rtasidagi maqbul muvozanatga erishishning samarali strategiyalari muhokama qilinadi.</w:t>
            </w:r>
          </w:p>
          <w:p>
            <w:pPr>
              <w:spacing w:before="0" w:after="0" w:line="240" w:lineRule="auto"/>
              <w:jc w:val="both"/>
            </w:pPr>
            <w:r>
              <w:rPr>
                <w:rFonts w:ascii="Arial" w:hAnsi="Arial" w:cs="Arial" w:eastAsia="Arial"/>
                <w:b/>
                <w:sz w:val="28"/>
              </w:rPr>
              <w:t>L7. Yirik xaridlar: avtomobillar va chakana tovarlarni moliyalashtirish:</w:t>
            </w:r>
            <w:r>
              <w:rPr>
                <w:rFonts w:ascii="Arial" w:hAnsi="Arial" w:cs="Arial" w:eastAsia="Arial"/>
                <w:b w:val="0"/>
                <w:sz w:val="28"/>
              </w:rPr>
              <w:t xml:space="preserve"> Kredit va lizing shartlari taqqoslanadi hamda yirik iste’mol xaridlarining moliyaviy oqibatlari tahlil qilinadi.</w:t>
            </w:r>
          </w:p>
          <w:p>
            <w:pPr>
              <w:spacing w:before="0" w:after="0" w:line="240" w:lineRule="auto"/>
              <w:jc w:val="both"/>
            </w:pPr>
            <w:r>
              <w:rPr>
                <w:rFonts w:ascii="Arial" w:hAnsi="Arial" w:cs="Arial" w:eastAsia="Arial"/>
                <w:b/>
                <w:sz w:val="28"/>
              </w:rPr>
              <w:t>L8. Ipoteka kreditlash va uy-joy bo‘yicha qarorlar:</w:t>
            </w:r>
            <w:r>
              <w:rPr>
                <w:rFonts w:ascii="Arial" w:hAnsi="Arial" w:cs="Arial" w:eastAsia="Arial"/>
                <w:b w:val="0"/>
                <w:sz w:val="28"/>
              </w:rPr>
              <w:t xml:space="preserve"> Uy sotib olish va ijaraga olishning moliyaviy afzalliklari hamda ipotekaning uzoq muddatli barqarorlikka ta’siri baholanadi.</w:t>
            </w:r>
          </w:p>
          <w:p>
            <w:pPr>
              <w:spacing w:before="0" w:after="0" w:line="240" w:lineRule="auto"/>
              <w:jc w:val="both"/>
            </w:pPr>
            <w:r>
              <w:rPr>
                <w:rFonts w:ascii="Arial" w:hAnsi="Arial" w:cs="Arial" w:eastAsia="Arial"/>
                <w:b/>
                <w:sz w:val="28"/>
              </w:rPr>
              <w:t>L9. Shaxsiy moliyada kiberxavfsizlik va firibgarlikning oldini olish:</w:t>
            </w:r>
            <w:r>
              <w:rPr>
                <w:rFonts w:ascii="Arial" w:hAnsi="Arial" w:cs="Arial" w:eastAsia="Arial"/>
                <w:b w:val="0"/>
                <w:sz w:val="28"/>
              </w:rPr>
              <w:t xml:space="preserve"> Kiberxavfsizlik tahdidlari aniqlanadi va onlayn firibgarlik hamda fishing hujumlaridan saqlanishning amaliy yondashuvlari taqdim etiladi.</w:t>
            </w:r>
          </w:p>
          <w:p>
            <w:pPr>
              <w:spacing w:before="0" w:after="0" w:line="240" w:lineRule="auto"/>
              <w:jc w:val="both"/>
            </w:pPr>
            <w:r>
              <w:rPr>
                <w:rFonts w:ascii="Arial" w:hAnsi="Arial" w:cs="Arial" w:eastAsia="Arial"/>
                <w:b/>
                <w:sz w:val="28"/>
              </w:rPr>
              <w:t>L10. Shaxsiy xavflarni boshqarish va sug‘urta:</w:t>
            </w:r>
            <w:r>
              <w:rPr>
                <w:rFonts w:ascii="Arial" w:hAnsi="Arial" w:cs="Arial" w:eastAsia="Arial"/>
                <w:b w:val="0"/>
                <w:sz w:val="28"/>
              </w:rPr>
              <w:t xml:space="preserve"> Sug‘urta mukofotini hisoblash mexanizmlari hamda hayot va sog‘liq sug‘urtasining o‘rni tahlil qilinadi.</w:t>
            </w:r>
          </w:p>
          <w:p>
            <w:pPr>
              <w:spacing w:before="0" w:after="0" w:line="240" w:lineRule="auto"/>
              <w:jc w:val="both"/>
            </w:pPr>
            <w:r>
              <w:rPr>
                <w:rFonts w:ascii="Arial" w:hAnsi="Arial" w:cs="Arial" w:eastAsia="Arial"/>
                <w:b/>
                <w:sz w:val="28"/>
              </w:rPr>
              <w:t>L11. Sog‘liqni saqlash xarajatlari va farovonlikni boshqarish:</w:t>
            </w:r>
            <w:r>
              <w:rPr>
                <w:rFonts w:ascii="Arial" w:hAnsi="Arial" w:cs="Arial" w:eastAsia="Arial"/>
                <w:b w:val="0"/>
                <w:sz w:val="28"/>
              </w:rPr>
              <w:t xml:space="preserve"> Profilaktika, sog‘lom turmush tarzi va uzoq muddatli sog‘liqni saqlash xarajatlarini kamaytirish strategiyalariga e’tibor qaratiladi.</w:t>
            </w:r>
          </w:p>
          <w:p>
            <w:pPr>
              <w:spacing w:before="0" w:after="0" w:line="240" w:lineRule="auto"/>
              <w:jc w:val="both"/>
            </w:pPr>
            <w:r>
              <w:rPr>
                <w:rFonts w:ascii="Arial" w:hAnsi="Arial" w:cs="Arial" w:eastAsia="Arial"/>
                <w:b/>
                <w:sz w:val="28"/>
              </w:rPr>
              <w:t>L12. Uzoq muddatli investitsiya va diversifikatsiyaga kirish:</w:t>
            </w:r>
            <w:r>
              <w:rPr>
                <w:rFonts w:ascii="Arial" w:hAnsi="Arial" w:cs="Arial" w:eastAsia="Arial"/>
                <w:b w:val="0"/>
                <w:sz w:val="28"/>
              </w:rPr>
              <w:t xml:space="preserve"> Xavf va daromadlilik tahlili hamda o‘z malakasi va ta’limini oshirishning moliyaviy samarasi o‘rganiladi.</w:t>
            </w:r>
          </w:p>
          <w:p>
            <w:pPr>
              <w:spacing w:before="0" w:after="0" w:line="240" w:lineRule="auto"/>
              <w:jc w:val="both"/>
            </w:pPr>
            <w:r>
              <w:rPr>
                <w:rFonts w:ascii="Arial" w:hAnsi="Arial" w:cs="Arial" w:eastAsia="Arial"/>
                <w:b/>
                <w:sz w:val="28"/>
              </w:rPr>
              <w:t>L13. Kelajakka investitsiya: raqamli aktivlar va FinTech yechimlari:</w:t>
            </w:r>
            <w:r>
              <w:rPr>
                <w:rFonts w:ascii="Arial" w:hAnsi="Arial" w:cs="Arial" w:eastAsia="Arial"/>
                <w:b w:val="0"/>
                <w:sz w:val="28"/>
              </w:rPr>
              <w:t xml:space="preserve"> Innovatsion texnologiyalar va startaplardagi investitsiya imkoniyatlari hamda kriptovalyuta va NFT kabi raqamli aktivlarning xavflari baholanadi.</w:t>
            </w:r>
          </w:p>
          <w:p>
            <w:pPr>
              <w:spacing w:before="0" w:after="0" w:line="240" w:lineRule="auto"/>
              <w:jc w:val="both"/>
            </w:pPr>
            <w:r>
              <w:rPr>
                <w:rFonts w:ascii="Arial" w:hAnsi="Arial" w:cs="Arial" w:eastAsia="Arial"/>
                <w:b/>
                <w:sz w:val="28"/>
              </w:rPr>
              <w:t>L14. Pensiya tizimlari va pensiyani rejalashtirish:</w:t>
            </w:r>
            <w:r>
              <w:rPr>
                <w:rFonts w:ascii="Arial" w:hAnsi="Arial" w:cs="Arial" w:eastAsia="Arial"/>
                <w:b w:val="0"/>
                <w:sz w:val="28"/>
              </w:rPr>
              <w:t xml:space="preserve"> Pensiya jamg‘armalari va individual pensiya rejalarining samaradorligi baholanadi.</w:t>
            </w:r>
          </w:p>
          <w:p>
            <w:pPr>
              <w:spacing w:before="0" w:after="0" w:line="240" w:lineRule="auto"/>
              <w:jc w:val="both"/>
            </w:pPr>
            <w:r>
              <w:rPr>
                <w:rFonts w:ascii="Arial" w:hAnsi="Arial" w:cs="Arial" w:eastAsia="Arial"/>
                <w:b/>
                <w:sz w:val="28"/>
              </w:rPr>
              <w:t>L15. Moliyaviy mustaqillik va barqarorlik strategiyalari:</w:t>
            </w:r>
            <w:r>
              <w:rPr>
                <w:rFonts w:ascii="Arial" w:hAnsi="Arial" w:cs="Arial" w:eastAsia="Arial"/>
                <w:b w:val="0"/>
                <w:sz w:val="28"/>
              </w:rPr>
              <w:t xml:space="preserve"> Erta nafaqaga chiqish strategiyalari (FIRE) va keng qamrovli moliyaviy mustaqillik modellari uyg‘unlashtiriladi.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Karyerani rejalashtirish va shaxsiy daromad manbalari:</w:t>
            </w:r>
            <w:r>
              <w:rPr>
                <w:rFonts w:ascii="Arial" w:hAnsi="Arial" w:cs="Arial" w:eastAsia="Arial"/>
                <w:b w:val="0"/>
                <w:sz w:val="28"/>
              </w:rPr>
              <w:t xml:space="preserve"> Hayotiy daromad oqimlarini aniqlash va uzoq muddatli karyera yo‘llarini muayyan shaxsiy moliyaviy maqsadlar bilan uyg‘unlashtirishga qaratilgan amaliy mashqlar va keys-stadilar.</w:t>
            </w:r>
          </w:p>
          <w:p>
            <w:pPr>
              <w:spacing w:before="0" w:after="0" w:line="240" w:lineRule="auto"/>
              <w:jc w:val="both"/>
            </w:pPr>
            <w:r>
              <w:rPr>
                <w:rFonts w:ascii="Arial" w:hAnsi="Arial" w:cs="Arial" w:eastAsia="Arial"/>
                <w:b/>
                <w:sz w:val="28"/>
              </w:rPr>
              <w:t>P2. Shaxsiy va oilaviy budjet tuzish tamoyillari:</w:t>
            </w:r>
            <w:r>
              <w:rPr>
                <w:rFonts w:ascii="Arial" w:hAnsi="Arial" w:cs="Arial" w:eastAsia="Arial"/>
                <w:b w:val="0"/>
                <w:sz w:val="28"/>
              </w:rPr>
              <w:t xml:space="preserve"> Matematik modellar va daromadni taqsimlash strategiyalaridan foydalanib real oilaviy budjetlarni tuzish va tahlil qilish uchun budjet tuzish yondashuvlarini qo‘llash.</w:t>
            </w:r>
          </w:p>
          <w:p>
            <w:pPr>
              <w:spacing w:before="0" w:after="0" w:line="240" w:lineRule="auto"/>
              <w:jc w:val="both"/>
            </w:pPr>
            <w:r>
              <w:rPr>
                <w:rFonts w:ascii="Arial" w:hAnsi="Arial" w:cs="Arial" w:eastAsia="Arial"/>
                <w:b/>
                <w:sz w:val="28"/>
              </w:rPr>
              <w:t>P3. Jamg‘arish va boylik to‘plash asoslari:</w:t>
            </w:r>
            <w:r>
              <w:rPr>
                <w:rFonts w:ascii="Arial" w:hAnsi="Arial" w:cs="Arial" w:eastAsia="Arial"/>
                <w:b w:val="0"/>
                <w:sz w:val="28"/>
              </w:rPr>
              <w:t xml:space="preserve"> Jamg‘armalarning vaqt o‘tishi bilan o‘sishini amalda hisoblash, favqulodda vaziyatlar zaxira fondi formulalarini belgilash va boylik to‘plash strategiyalarini ishlab chiqish.</w:t>
            </w:r>
          </w:p>
          <w:p>
            <w:pPr>
              <w:spacing w:before="0" w:after="0" w:line="240" w:lineRule="auto"/>
              <w:jc w:val="both"/>
            </w:pPr>
            <w:r>
              <w:rPr>
                <w:rFonts w:ascii="Arial" w:hAnsi="Arial" w:cs="Arial" w:eastAsia="Arial"/>
                <w:b/>
                <w:sz w:val="28"/>
              </w:rPr>
              <w:t>P4. Bank xizmatlari va shaxsiy hisobvaraqlar:</w:t>
            </w:r>
            <w:r>
              <w:rPr>
                <w:rFonts w:ascii="Arial" w:hAnsi="Arial" w:cs="Arial" w:eastAsia="Arial"/>
                <w:b w:val="0"/>
                <w:sz w:val="28"/>
              </w:rPr>
              <w:t xml:space="preserve"> Turli bank xizmatlarini qiyosiy tahlil qilish, turli shaxsiy hisobvaraqlar va omonatlarning funksional imkoniyatlari, xarajatlari va afzalliklarini baholash.</w:t>
            </w:r>
          </w:p>
          <w:p>
            <w:pPr>
              <w:spacing w:before="0" w:after="0" w:line="240" w:lineRule="auto"/>
              <w:jc w:val="both"/>
            </w:pPr>
            <w:r>
              <w:rPr>
                <w:rFonts w:ascii="Arial" w:hAnsi="Arial" w:cs="Arial" w:eastAsia="Arial"/>
                <w:b/>
                <w:sz w:val="28"/>
              </w:rPr>
              <w:t>P5. Foiz stavkalari va ularning moliyaviy ta’siri:</w:t>
            </w:r>
            <w:r>
              <w:rPr>
                <w:rFonts w:ascii="Arial" w:hAnsi="Arial" w:cs="Arial" w:eastAsia="Arial"/>
                <w:b w:val="0"/>
                <w:sz w:val="28"/>
              </w:rPr>
              <w:t xml:space="preserve"> Oddiy va murakkab foiz stavkalarining uzoq muddatli kreditlar va jamg‘armalarga ta’sirini hisoblash bo‘yicha moliyaviy matematika mashqlari.</w:t>
            </w:r>
          </w:p>
          <w:p>
            <w:pPr>
              <w:spacing w:before="0" w:after="0" w:line="240" w:lineRule="auto"/>
              <w:jc w:val="both"/>
            </w:pPr>
            <w:r>
              <w:rPr>
                <w:rFonts w:ascii="Arial" w:hAnsi="Arial" w:cs="Arial" w:eastAsia="Arial"/>
                <w:b/>
                <w:sz w:val="28"/>
              </w:rPr>
              <w:t>P6. Shaxsiy qarzlarni boshqarish va kredit kartalari:</w:t>
            </w:r>
            <w:r>
              <w:rPr>
                <w:rFonts w:ascii="Arial" w:hAnsi="Arial" w:cs="Arial" w:eastAsia="Arial"/>
                <w:b w:val="0"/>
                <w:sz w:val="28"/>
              </w:rPr>
              <w:t xml:space="preserve"> Qarzni to‘lash bo‘yicha shaxsiy strategiyalarni ishlab chiqish, kredit karta ko‘chirmalarini tahlil qilish va iste’mol qarzining qiymatini baholash.</w:t>
            </w:r>
          </w:p>
          <w:p>
            <w:pPr>
              <w:spacing w:before="0" w:after="0" w:line="240" w:lineRule="auto"/>
              <w:jc w:val="both"/>
            </w:pPr>
            <w:r>
              <w:rPr>
                <w:rFonts w:ascii="Arial" w:hAnsi="Arial" w:cs="Arial" w:eastAsia="Arial"/>
                <w:b/>
                <w:sz w:val="28"/>
              </w:rPr>
              <w:t>P7. Yirik xaridlar: avtomobillar va chakana tovarlarni moliyalashtirish:</w:t>
            </w:r>
            <w:r>
              <w:rPr>
                <w:rFonts w:ascii="Arial" w:hAnsi="Arial" w:cs="Arial" w:eastAsia="Arial"/>
                <w:b w:val="0"/>
                <w:sz w:val="28"/>
              </w:rPr>
              <w:t xml:space="preserve"> Real moliyaviy keys-stadilar orqali avtokredit tuzilmalari va lizing shartlarini baholash va taqqoslash.</w:t>
            </w:r>
          </w:p>
          <w:p>
            <w:pPr>
              <w:spacing w:before="0" w:after="0" w:line="240" w:lineRule="auto"/>
              <w:jc w:val="both"/>
            </w:pPr>
            <w:r>
              <w:rPr>
                <w:rFonts w:ascii="Arial" w:hAnsi="Arial" w:cs="Arial" w:eastAsia="Arial"/>
                <w:b/>
                <w:sz w:val="28"/>
              </w:rPr>
              <w:t>P8. Ipoteka kreditlash va uy-joy bo‘yicha qarorlar:</w:t>
            </w:r>
            <w:r>
              <w:rPr>
                <w:rFonts w:ascii="Arial" w:hAnsi="Arial" w:cs="Arial" w:eastAsia="Arial"/>
                <w:b w:val="0"/>
                <w:sz w:val="28"/>
              </w:rPr>
              <w:t xml:space="preserve"> “Sotib olish yoki ijaraga olish” bo‘yicha keng qamrovli moliyaviy tahlil o‘tkazish va ipoteka kreditini so‘ndirish jadvallarini hisoblash.</w:t>
            </w:r>
          </w:p>
          <w:p>
            <w:pPr>
              <w:spacing w:before="0" w:after="0" w:line="240" w:lineRule="auto"/>
              <w:jc w:val="both"/>
            </w:pPr>
            <w:r>
              <w:rPr>
                <w:rFonts w:ascii="Arial" w:hAnsi="Arial" w:cs="Arial" w:eastAsia="Arial"/>
                <w:b/>
                <w:sz w:val="28"/>
              </w:rPr>
              <w:t>P9. Shaxsiy moliyada kiberxavfsizlik va firibgarlikning oldini olish:</w:t>
            </w:r>
            <w:r>
              <w:rPr>
                <w:rFonts w:ascii="Arial" w:hAnsi="Arial" w:cs="Arial" w:eastAsia="Arial"/>
                <w:b w:val="0"/>
                <w:sz w:val="28"/>
              </w:rPr>
              <w:t xml:space="preserve"> Fishing hujumlarini aniqlash, kiberxavfsizlik tahdidlarini baholash va firibgarlikning oldini olish usullarini qo‘llash bo‘yicha amaliy simulyatsiyalar.</w:t>
            </w:r>
          </w:p>
          <w:p>
            <w:pPr>
              <w:spacing w:before="0" w:after="0" w:line="240" w:lineRule="auto"/>
              <w:jc w:val="both"/>
            </w:pPr>
            <w:r>
              <w:rPr>
                <w:rFonts w:ascii="Arial" w:hAnsi="Arial" w:cs="Arial" w:eastAsia="Arial"/>
                <w:b/>
                <w:sz w:val="28"/>
              </w:rPr>
              <w:t>P10. Shaxsiy xavflarni boshqarish va sug‘urta:</w:t>
            </w:r>
            <w:r>
              <w:rPr>
                <w:rFonts w:ascii="Arial" w:hAnsi="Arial" w:cs="Arial" w:eastAsia="Arial"/>
                <w:b w:val="0"/>
                <w:sz w:val="28"/>
              </w:rPr>
              <w:t xml:space="preserve"> Sug‘urta mukofotlarini hisoblash, xavfga ta’sirchanlikni baholash va shaxsiy aktivlarni himoya qilish uchun tegishli qoplama darajalarini aniqlash.</w:t>
            </w:r>
          </w:p>
          <w:p>
            <w:pPr>
              <w:spacing w:before="0" w:after="0" w:line="240" w:lineRule="auto"/>
              <w:jc w:val="both"/>
            </w:pPr>
            <w:r>
              <w:rPr>
                <w:rFonts w:ascii="Arial" w:hAnsi="Arial" w:cs="Arial" w:eastAsia="Arial"/>
                <w:b/>
                <w:sz w:val="28"/>
              </w:rPr>
              <w:t>P11. Sog‘liqni saqlash xarajatlari va farovonlikni boshqarish:</w:t>
            </w:r>
            <w:r>
              <w:rPr>
                <w:rFonts w:ascii="Arial" w:hAnsi="Arial" w:cs="Arial" w:eastAsia="Arial"/>
                <w:b w:val="0"/>
                <w:sz w:val="28"/>
              </w:rPr>
              <w:t xml:space="preserve"> Sog‘liqni saqlash uchun shaxsiy cho‘ntakdan qilinadigan xarajatlarni baholash va profilaktik yordam hamda tibbiy sug‘urta polislarining moliyaviy ta’sirini hisoblash.</w:t>
            </w:r>
          </w:p>
          <w:p>
            <w:pPr>
              <w:spacing w:before="0" w:after="0" w:line="240" w:lineRule="auto"/>
              <w:jc w:val="both"/>
            </w:pPr>
            <w:r>
              <w:rPr>
                <w:rFonts w:ascii="Arial" w:hAnsi="Arial" w:cs="Arial" w:eastAsia="Arial"/>
                <w:b/>
                <w:sz w:val="28"/>
              </w:rPr>
              <w:t>P12. Uzoq muddatli investitsiya va diversifikatsiyaga kirish:</w:t>
            </w:r>
            <w:r>
              <w:rPr>
                <w:rFonts w:ascii="Arial" w:hAnsi="Arial" w:cs="Arial" w:eastAsia="Arial"/>
                <w:b w:val="0"/>
                <w:sz w:val="28"/>
              </w:rPr>
              <w:t xml:space="preserve"> Amaliy simulyatsiyalarda diversifikatsiyalangan investitsiya portfellarini shakllantirish va turli aktiv sinflarining xavf-daromadlilik nisbatini baholash.</w:t>
            </w:r>
          </w:p>
          <w:p>
            <w:pPr>
              <w:spacing w:before="0" w:after="0" w:line="240" w:lineRule="auto"/>
              <w:jc w:val="both"/>
            </w:pPr>
            <w:r>
              <w:rPr>
                <w:rFonts w:ascii="Arial" w:hAnsi="Arial" w:cs="Arial" w:eastAsia="Arial"/>
                <w:b/>
                <w:sz w:val="28"/>
              </w:rPr>
              <w:t>P13. Kelajakka investitsiya: raqamli aktivlar va FinTech yechimlari:</w:t>
            </w:r>
            <w:r>
              <w:rPr>
                <w:rFonts w:ascii="Arial" w:hAnsi="Arial" w:cs="Arial" w:eastAsia="Arial"/>
                <w:b w:val="0"/>
                <w:sz w:val="28"/>
              </w:rPr>
              <w:t xml:space="preserve"> FinTech platformalarini tahlil qilish hamda raqamli aktivlar bilan bog‘liq o‘ziga xos xavflar va bozor dinamikasini baholash.</w:t>
            </w:r>
          </w:p>
          <w:p>
            <w:pPr>
              <w:spacing w:before="0" w:after="0" w:line="240" w:lineRule="auto"/>
              <w:jc w:val="both"/>
            </w:pPr>
            <w:r>
              <w:rPr>
                <w:rFonts w:ascii="Arial" w:hAnsi="Arial" w:cs="Arial" w:eastAsia="Arial"/>
                <w:b/>
                <w:sz w:val="28"/>
              </w:rPr>
              <w:t>P14. Pensiya tizimlari va pensiyani rejalashtirish:</w:t>
            </w:r>
            <w:r>
              <w:rPr>
                <w:rFonts w:ascii="Arial" w:hAnsi="Arial" w:cs="Arial" w:eastAsia="Arial"/>
                <w:b w:val="0"/>
                <w:sz w:val="28"/>
              </w:rPr>
              <w:t xml:space="preserve"> Inflyatsiyani hisobga olgan holda kelajakdagi pensiya ehtiyojlarini hisoblash va turli pensiya tizimlarining moliyaviy daromadliligini taqqoslash.</w:t>
            </w:r>
          </w:p>
          <w:p>
            <w:pPr>
              <w:spacing w:before="0" w:after="0" w:line="240" w:lineRule="auto"/>
              <w:jc w:val="both"/>
            </w:pPr>
            <w:r>
              <w:rPr>
                <w:rFonts w:ascii="Arial" w:hAnsi="Arial" w:cs="Arial" w:eastAsia="Arial"/>
                <w:b/>
                <w:sz w:val="28"/>
              </w:rPr>
              <w:t>P15. Moliyaviy mustaqillik va barqarorlik strategiyalari:</w:t>
            </w:r>
            <w:r>
              <w:rPr>
                <w:rFonts w:ascii="Arial" w:hAnsi="Arial" w:cs="Arial" w:eastAsia="Arial"/>
                <w:b w:val="0"/>
                <w:sz w:val="28"/>
              </w:rPr>
              <w:t xml:space="preserve"> Muayyan shaxsiy moliyaviy profil va maqsadlar asosida keng qamrovli moliyaviy mustaqillik strategiyalarini ishlab chiqish.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Shaxsiy budjet tuzish va zamonaviy mobil ilovalardan foydalanishning samarali usullari;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Daromad va xarajatlarni boshqarishda “50-30-20” qoidasini amalda qo‘llash;</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Barqaror moliyaviy rejalashtirishda oilaviy budjetning ahamiyati;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Kelajakdagi farovonlik uchun qisqa, o‘rta va uzoq muddatli moliyaviy maqsadlarni belgilash;</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Favqulodda vaziyatlar uchun moliyaviy zaxira (zaxira fondi) yaratish;</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Jamg‘arish odatlari: “kichik summalardan katta kapitalga” tamoyili;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Karyerani rejalashtirishda moliyaviy maqsadlarni hisobga olish;</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Bank kartalari, omonatlar va joriy hisobvaraqlar o‘rtasidagi farqlar;</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Mobil banking va onlayn to‘lov tizimlarining afzalliklari va xavflari;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Mobil banking va onlayn to‘lov tizimlarining afzalliklari va xavflari;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Shaxsiy moliyadagi kiberxavfsizlik tahdidlari va ulardan himoyalanish yo‘llari;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Onlayn firibgarlik va fishing hujumlaridan saqlanishning amaliy misollari;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Foiz stavkalari va bank mahsulotlarini (ipoteka, iste’mol krediti, omonatlar) taqqoslash;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Kredit olishning afzalliklari va kamchiliklari;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Qarz yukini boshqarish va qarzdan qutulishning samarali strategiyalari;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Kredit reytingi va uning moliyaviy imkoniyatlarga ta’siri;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Qarz va jamg‘arma o‘rtasidagi maqbul muvozanatni topish yo‘llari;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Uy sotib olish yoki ijaraga olish: qaysi biri moliyaviy jihatdan foydaliroq?;</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Ipoteka kreditlashning uzoq muddatli moliyaviy barqarorlikka ta’siri;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Avtomobil sotib olishda kredit va lizing shartlarini taqqoslash;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Sug‘urta mukofoti va sug‘urta tovonini hisoblash mexanizmlari;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Shaxsiy moliyada hayot sug‘urtasi va tibbiy sug‘urtaning o‘rni;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Avtomobil sug‘urtasi va unga texnik xizmat ko‘rsatish xarajatlarini hisoblash;</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Sog‘liqni saqlash xarajatlarini kamaytirishda profilaktika va sog‘lom turmush tarzi;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Uzoq muddatli investitsiyalash va diversifikatsiya: xavf va daromadlilik tahlili;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Innovatsion texnologiyalar va startap loyihalardagi investitsiya imkoniyatlari;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Raqamli aktivlarga (kriptovalyuta, NFT) investitsiya kiritishning afzalliklari va xavflari;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Ta’limga investitsiya: malakani oshirishning moliyaviy samarasi;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Pensiya jamg‘armalari va individual pensiya rejalarining samaradorligi;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Moliyaviy mustaqillik va erta nafaqaga chiqish strategiyalari (FIRE).</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Makroiqtisodiyot (MAK1305)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 mashqlaridagi faoliyat, seminar muhokamalari va asosiy mustaqil ta’lim topshiriqlarining muvaffaqiyatli bajarilishini baholaydi. Bularga mobil ilovalar orqali shaxsiy xarajatlarni real vaqt rejimida kuzatish, “50-30-20” budjet qoidasini amalda qo‘llash, favqulodda vaziyatlar zaxira fondini hisoblash, kredit karta ko‘chirmalari va foiz to‘lovlarini tahlil qilish hamda kiberxavfsizlik/fishing tahdidlarini amalda aniqlash kiradi. Oraliq nazorat (30%) yozma nazariy testlar, auditoriyadagi qisqa testlar va tizimli mustaqil ta’lim loyihalarini baholashdan iborat. Asosiy loyihalar qatoriga tijorat banklari mahsulotlarining (ipoteka, iste’mol kreditlari va omonatlar) qiyosiy empirik tadqiqi, uy sotib olish va ijaraga olishni taqqoslovchi 15 yillik moliyaviy modellashtirish hisoboti, avtokredit va lizingning xarajat-foyda tahlili, FinTech va raqamli aktivlar xavfini baholash hisoboti hamda moliyaviy mustaqillik va erta nafaqaga chiqish (FIRE) strategiyalari bo‘yicha tahliliy esse kiradi.</w:t>
            </w:r>
          </w:p>
          <w:p>
            <w:pPr>
              <w:spacing w:before="0" w:after="0" w:line="240" w:lineRule="auto"/>
              <w:jc w:val="both"/>
            </w:pPr>
            <w:r>
              <w:rPr>
                <w:rFonts w:ascii="Arial" w:hAnsi="Arial" w:cs="Arial" w:eastAsia="Arial"/>
                <w:b w:val="0"/>
                <w:sz w:val="28"/>
              </w:rPr>
              <w:t>Yakuniy nazorat (50%) nazariy savollar va amaliy moliyaviy masalalardan (masalan, ipoteka kreditini so‘ndirish jadvallarini, murakkab foiz o‘sishini, sug‘urta mukofoti chegirmalarini va pensiya jamg‘armasi daromadliligini hisoblash) iborat keng qamrovli yakuniy yozma imtihondir. U talabalarning shaxsiy moliya tamoyillarini, miqdoriy qaror qabul qilish ko‘nikmalarini va raqamli moliyaviy ekotizimlarda mo‘ljal ola bilish qobiliyatini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shaxsiy moliya tamoyillarini har tomonlama, chuqur tushunadi, konseptual xatolarsiz to‘liq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shaxsiy moliya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Madura, J. (2020). Personal Finance. 7th ed. Pearson Education, 642 p.</w:t>
            </w:r>
          </w:p>
          <w:p>
            <w:pPr>
              <w:spacing w:before="0" w:after="0" w:line="240" w:lineRule="auto"/>
              <w:jc w:val="both"/>
            </w:pPr>
            <w:r>
              <w:rPr>
                <w:rFonts w:ascii="Arial" w:hAnsi="Arial" w:cs="Arial" w:eastAsia="Arial"/>
                <w:b w:val="0"/>
                <w:sz w:val="28"/>
              </w:rPr>
              <w:t>2. Malikov T.S. (2021). Moliyaviy savodxonlik asoslari: o‘quv qo‘llanma. Iqtisod-Moliya, 403 b.</w:t>
            </w:r>
          </w:p>
          <w:p>
            <w:pPr>
              <w:spacing w:before="0" w:after="0" w:line="240" w:lineRule="auto"/>
              <w:jc w:val="both"/>
            </w:pPr>
            <w:r>
              <w:rPr>
                <w:rFonts w:ascii="Arial" w:hAnsi="Arial" w:cs="Arial" w:eastAsia="Arial"/>
                <w:b w:val="0"/>
                <w:sz w:val="28"/>
              </w:rPr>
              <w:t>3. E. Thomas Garman &amp; Raymond E. Forgue. (2021). Personal Finance Tax Update, 13th Edition. Cengage, 642 p.</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Abdurahmonov Bahriddin Abdumannon o‘g‘li,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