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 w:before="0" w:after="0"/>
        <w:ind w:firstLine="0"/>
        <w:jc w:val="center"/>
      </w:pPr>
      <w:r xmlns:a="http://schemas.openxmlformats.org/drawingml/2006/main" xmlns:c="http://schemas.openxmlformats.org/drawingml/2006/chart">
        <w:rPr>
          <w:noProof/>
        </w:rPr>
        <w:drawing>
          <wp:inline distT="0" distB="0" distL="0" distR="0">
            <wp:extent cx="5760000" cy="3240000"/>
            <wp:effectExtent l="0" t="0" r="0" b="0"/>
            <wp:docPr id="1001" name="1.3.5-rasm"/>
            <wp:cNvGraphicFramePr/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/>
          <w:sz w:val="28"/>
        </w:rPr>
        <w:t>1.3.5-rasm. Likvidlikni qoplash koeffitsiyentiga qo‘yiladigan talablar: islohotning boshlanishi va davomi, %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uz-Latn-UZ"/>
  <c:roundedCorners val="0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Bazel qo‘mitasi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5"/>
              <c:delete val="1"/>
            </c:dLbl>
            <c:dLbl>
              <c:idx val="6"/>
              <c:delete val="1"/>
            </c:dLbl>
            <c:dLbl>
              <c:idx val="7"/>
              <c:delete val="1"/>
            </c:dLbl>
            <c:dLbl>
              <c:idx val="8"/>
              <c:delete val="1"/>
            </c:dLbl>
            <c:dLbl>
              <c:idx val="9"/>
              <c:delete val="1"/>
            </c:dLbl>
            <c:dLbl>
              <c:idx val="10"/>
              <c:delete val="1"/>
            </c:dLbl>
            <c:dLbl>
              <c:idx val="11"/>
              <c:delete val="1"/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1F4E79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</c:dLbls>
          <c:xVal>
            <c:numRef>
              <c:f>Sheet1!$A$2:$A$13</c:f>
              <c:numCache>
                <c:formatCode>General</c:formatCode>
                <c:ptCount val="12"/>
                <c:pt idx="0">
                  <c:v>2015</c:v>
                </c:pt>
                <c:pt idx="1">
                  <c:v>2016</c:v>
                </c:pt>
                <c:pt idx="2">
                  <c:v>2017</c:v>
                </c:pt>
                <c:pt idx="3">
                  <c:v>2018</c:v>
                </c:pt>
                <c:pt idx="4">
                  <c:v>2019</c:v>
                </c:pt>
                <c:pt idx="5">
                  <c:v>2020</c:v>
                </c:pt>
                <c:pt idx="6">
                  <c:v>2021</c:v>
                </c:pt>
                <c:pt idx="7">
                  <c:v>2022</c:v>
                </c:pt>
                <c:pt idx="8">
                  <c:v>2023</c:v>
                </c:pt>
                <c:pt idx="9">
                  <c:v>2024</c:v>
                </c:pt>
                <c:pt idx="10">
                  <c:v>2025</c:v>
                </c:pt>
                <c:pt idx="11">
                  <c:v>2026</c:v>
                </c:pt>
              </c:numCache>
            </c:numRef>
          </c:xVal>
          <c:yVal>
            <c:numRef>
              <c:f>Sheet1!$B$2:$B$13</c:f>
              <c:numCache>
                <c:formatCode>General</c:formatCode>
                <c:ptCount val="12"/>
                <c:pt idx="0">
                  <c:v>60</c:v>
                </c:pt>
                <c:pt idx="1">
                  <c:v>70</c:v>
                </c:pt>
                <c:pt idx="2">
                  <c:v>80</c:v>
                </c:pt>
                <c:pt idx="3">
                  <c:v>90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Rossiya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squar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dLbl>
              <c:idx val="0"/>
              <c:delete val="1"/>
            </c:dLbl>
            <c:dLbl>
              <c:idx val="5"/>
              <c:delete val="1"/>
            </c:dLbl>
            <c:dLbl>
              <c:idx val="6"/>
              <c:delete val="1"/>
            </c:dLbl>
            <c:dLbl>
              <c:idx val="7"/>
              <c:delete val="1"/>
            </c:dLbl>
            <c:dLbl>
              <c:idx val="8"/>
              <c:delete val="1"/>
            </c:dLbl>
            <c:dLbl>
              <c:idx val="10"/>
              <c:delete val="1"/>
            </c:dLbl>
            <c:dLbl>
              <c:idx val="11"/>
              <c:delete val="1"/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</c:dLbls>
          <c:xVal>
            <c:numRef>
              <c:f>Sheet1!$C$2:$C$13</c:f>
              <c:numCache>
                <c:formatCode>General</c:formatCode>
                <c:ptCount val="12"/>
                <c:pt idx="0">
                  <c:v>2015</c:v>
                </c:pt>
                <c:pt idx="1">
                  <c:v>2016</c:v>
                </c:pt>
                <c:pt idx="2">
                  <c:v>2017</c:v>
                </c:pt>
                <c:pt idx="3">
                  <c:v>2018</c:v>
                </c:pt>
                <c:pt idx="4">
                  <c:v>2019</c:v>
                </c:pt>
                <c:pt idx="5">
                  <c:v>2020</c:v>
                </c:pt>
                <c:pt idx="6">
                  <c:v>2021</c:v>
                </c:pt>
                <c:pt idx="7">
                  <c:v>2022</c:v>
                </c:pt>
                <c:pt idx="8">
                  <c:v>2023</c:v>
                </c:pt>
                <c:pt idx="9">
                  <c:v>2024</c:v>
                </c:pt>
                <c:pt idx="10">
                  <c:v>2025</c:v>
                </c:pt>
                <c:pt idx="11">
                  <c:v>2026</c:v>
                </c:pt>
              </c:numCache>
            </c:numRef>
          </c:xVal>
          <c:yVal>
            <c:numRef>
              <c:f>Sheet1!$D$2:$D$13</c:f>
              <c:numCache>
                <c:formatCode>General</c:formatCode>
                <c:ptCount val="12"/>
                <c:pt idx="1">
                  <c:v>70</c:v>
                </c:pt>
                <c:pt idx="2">
                  <c:v>80</c:v>
                </c:pt>
                <c:pt idx="3">
                  <c:v>90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O‘zbekiston</c:v>
                </c:pt>
              </c:strCache>
            </c:strRef>
          </c:tx>
          <c:spPr>
            <a:ln w="28575">
              <a:solidFill>
                <a:srgbClr val="70AD47"/>
              </a:solidFill>
            </a:ln>
          </c:spPr>
          <c:marker>
            <c:symbol val="triangle"/>
            <c:size val="7"/>
            <c:spPr>
              <a:solidFill>
                <a:srgbClr val="70AD47"/>
              </a:solidFill>
              <a:ln>
                <a:noFill/>
              </a:ln>
            </c:spPr>
          </c:marker>
          <c:dLbls>
            <c:dLbl>
              <c:idx val="0"/>
              <c:delete val="1"/>
            </c:dLbl>
            <c:dLbl>
              <c:idx val="4"/>
              <c:delete val="1"/>
            </c:dLbl>
            <c:dLbl>
              <c:idx val="5"/>
              <c:delete val="1"/>
            </c:dLbl>
            <c:dLbl>
              <c:idx val="6"/>
              <c:delete val="1"/>
            </c:dLbl>
            <c:dLbl>
              <c:idx val="7"/>
              <c:delete val="1"/>
            </c:dLbl>
            <c:dLbl>
              <c:idx val="8"/>
              <c:delete val="1"/>
            </c:dLbl>
            <c:dLbl>
              <c:idx val="9"/>
              <c:delete val="1"/>
            </c:dLbl>
            <c:dLbl>
              <c:idx val="10"/>
              <c:delete val="1"/>
            </c:dLbl>
            <c:dLbl>
              <c:idx val="11"/>
              <c:delete val="1"/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70AD47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l"/>
            <c:showLegendKey val="0"/>
            <c:showVal val="1"/>
            <c:showCatName val="0"/>
            <c:showSerName val="0"/>
            <c:showPercent val="0"/>
            <c:showBubbleSize val="0"/>
          </c:dLbls>
          <c:xVal>
            <c:numRef>
              <c:f>Sheet1!$E$2:$E$13</c:f>
              <c:numCache>
                <c:formatCode>General</c:formatCode>
                <c:ptCount val="12"/>
                <c:pt idx="0">
                  <c:v>2015</c:v>
                </c:pt>
                <c:pt idx="1">
                  <c:v>2016</c:v>
                </c:pt>
                <c:pt idx="2">
                  <c:v>2017</c:v>
                </c:pt>
                <c:pt idx="3">
                  <c:v>2018</c:v>
                </c:pt>
                <c:pt idx="4">
                  <c:v>2019</c:v>
                </c:pt>
                <c:pt idx="5">
                  <c:v>2020</c:v>
                </c:pt>
                <c:pt idx="6">
                  <c:v>2021</c:v>
                </c:pt>
                <c:pt idx="7">
                  <c:v>2022</c:v>
                </c:pt>
                <c:pt idx="8">
                  <c:v>2023</c:v>
                </c:pt>
                <c:pt idx="9">
                  <c:v>2024</c:v>
                </c:pt>
                <c:pt idx="10">
                  <c:v>2025</c:v>
                </c:pt>
                <c:pt idx="11">
                  <c:v>2026</c:v>
                </c:pt>
              </c:numCache>
            </c:numRef>
          </c:xVal>
          <c:yVal>
            <c:numRef>
              <c:f>Sheet1!$F$2:$F$13</c:f>
              <c:numCache>
                <c:formatCode>General</c:formatCode>
                <c:ptCount val="12"/>
                <c:pt idx="1">
                  <c:v>80</c:v>
                </c:pt>
                <c:pt idx="2">
                  <c:v>90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</c:numCache>
            </c:numRef>
          </c:yVal>
          <c:smooth val="0"/>
        </c:ser>
        <c:axId val="333"/>
        <c:axId val="444"/>
      </c:scatterChart>
      <c:valAx>
        <c:axId val="333"/>
        <c:scaling>
          <c:orientation val="minMax"/>
          <c:max val="2027"/>
          <c:min val="2014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110"/>
          <c:min val="5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Minimal talab,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